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B51864">
      <w:pPr>
        <w:spacing w:line="360" w:lineRule="auto"/>
        <w:jc w:val="center"/>
        <w:rPr>
          <w:rFonts w:ascii="宋体" w:hAnsi="宋体" w:cs="华文中宋"/>
          <w:sz w:val="56"/>
          <w:szCs w:val="52"/>
        </w:rPr>
      </w:pPr>
      <w:r>
        <w:rPr>
          <w:rFonts w:hint="eastAsia" w:ascii="宋体" w:hAnsi="宋体" w:cs="华文中宋"/>
          <w:sz w:val="52"/>
          <w:szCs w:val="52"/>
        </w:rPr>
        <w:t>安徽省第二人民医院分布式光伏发电节能服务项目</w:t>
      </w:r>
      <w:r>
        <w:rPr>
          <w:rFonts w:hint="eastAsia" w:ascii="宋体" w:hAnsi="宋体" w:cs="宋体"/>
          <w:b/>
          <w:kern w:val="0"/>
          <w:sz w:val="52"/>
          <w:szCs w:val="52"/>
        </w:rPr>
        <w:t xml:space="preserve"> </w:t>
      </w:r>
    </w:p>
    <w:p w14:paraId="70ABECE4">
      <w:pPr>
        <w:spacing w:line="360" w:lineRule="auto"/>
        <w:jc w:val="center"/>
        <w:rPr>
          <w:rFonts w:ascii="宋体" w:hAnsi="宋体"/>
          <w:b/>
          <w:color w:val="000000"/>
          <w:sz w:val="96"/>
          <w:szCs w:val="120"/>
        </w:rPr>
      </w:pPr>
    </w:p>
    <w:p w14:paraId="54117145">
      <w:pPr>
        <w:spacing w:line="360" w:lineRule="auto"/>
        <w:jc w:val="center"/>
        <w:rPr>
          <w:rFonts w:ascii="宋体" w:hAnsi="宋体"/>
          <w:b/>
          <w:color w:val="000000"/>
          <w:sz w:val="96"/>
          <w:szCs w:val="120"/>
        </w:rPr>
      </w:pPr>
      <w:r>
        <w:rPr>
          <w:rFonts w:hint="eastAsia" w:ascii="宋体" w:hAnsi="宋体"/>
          <w:b/>
          <w:color w:val="000000"/>
          <w:sz w:val="96"/>
          <w:szCs w:val="120"/>
        </w:rPr>
        <w:t>招 标 文 件</w:t>
      </w:r>
    </w:p>
    <w:p w14:paraId="2097FC34">
      <w:pPr>
        <w:spacing w:line="360" w:lineRule="auto"/>
        <w:ind w:firstLine="2957" w:firstLineChars="1052"/>
        <w:rPr>
          <w:rFonts w:ascii="宋体" w:hAnsi="宋体"/>
          <w:b/>
          <w:sz w:val="28"/>
          <w:szCs w:val="28"/>
        </w:rPr>
      </w:pPr>
    </w:p>
    <w:p w14:paraId="09A587D2">
      <w:pPr>
        <w:spacing w:line="360" w:lineRule="auto"/>
        <w:ind w:firstLine="2957" w:firstLineChars="1052"/>
        <w:rPr>
          <w:rFonts w:ascii="宋体" w:hAnsi="宋体"/>
          <w:b/>
          <w:color w:val="FF0000"/>
          <w:sz w:val="28"/>
          <w:szCs w:val="28"/>
        </w:rPr>
      </w:pPr>
      <w:r>
        <w:rPr>
          <w:rFonts w:hint="eastAsia" w:ascii="宋体" w:hAnsi="宋体"/>
          <w:b/>
          <w:color w:val="FF0000"/>
          <w:sz w:val="28"/>
          <w:szCs w:val="28"/>
        </w:rPr>
        <w:t>项目编号：</w:t>
      </w:r>
    </w:p>
    <w:p w14:paraId="39A20B1E">
      <w:pPr>
        <w:spacing w:line="360" w:lineRule="auto"/>
        <w:ind w:firstLine="2957" w:firstLineChars="1052"/>
        <w:rPr>
          <w:rFonts w:ascii="宋体" w:hAnsi="宋体"/>
          <w:b/>
          <w:sz w:val="28"/>
          <w:szCs w:val="28"/>
        </w:rPr>
      </w:pPr>
    </w:p>
    <w:p w14:paraId="62DD8073">
      <w:pPr>
        <w:spacing w:line="360" w:lineRule="auto"/>
        <w:ind w:firstLine="2957" w:firstLineChars="1052"/>
        <w:rPr>
          <w:rFonts w:ascii="宋体" w:hAnsi="宋体"/>
          <w:b/>
          <w:sz w:val="28"/>
          <w:szCs w:val="28"/>
        </w:rPr>
      </w:pPr>
    </w:p>
    <w:p w14:paraId="74ADD8D6">
      <w:pPr>
        <w:spacing w:line="360" w:lineRule="auto"/>
        <w:ind w:firstLine="2957" w:firstLineChars="1052"/>
        <w:rPr>
          <w:rFonts w:ascii="宋体" w:hAnsi="宋体"/>
          <w:b/>
          <w:sz w:val="28"/>
          <w:szCs w:val="28"/>
        </w:rPr>
      </w:pPr>
    </w:p>
    <w:p w14:paraId="1F49FA51">
      <w:pPr>
        <w:spacing w:line="360" w:lineRule="auto"/>
        <w:ind w:firstLine="2957" w:firstLineChars="1052"/>
        <w:rPr>
          <w:rFonts w:ascii="宋体" w:hAnsi="宋体"/>
          <w:b/>
          <w:sz w:val="28"/>
          <w:szCs w:val="28"/>
        </w:rPr>
      </w:pPr>
    </w:p>
    <w:p w14:paraId="173AB342">
      <w:pPr>
        <w:spacing w:line="360" w:lineRule="auto"/>
        <w:jc w:val="center"/>
        <w:rPr>
          <w:rFonts w:ascii="宋体" w:hAnsi="宋体" w:cs="宋体"/>
          <w:sz w:val="28"/>
          <w:szCs w:val="28"/>
        </w:rPr>
      </w:pPr>
      <w:r>
        <w:rPr>
          <w:rFonts w:hint="eastAsia" w:ascii="宋体" w:hAnsi="宋体" w:cs="宋体"/>
          <w:sz w:val="28"/>
          <w:szCs w:val="28"/>
        </w:rPr>
        <w:t>招 标 人：安徽省第二人民医院</w:t>
      </w:r>
    </w:p>
    <w:p w14:paraId="476ADF18">
      <w:pPr>
        <w:spacing w:line="360" w:lineRule="auto"/>
        <w:jc w:val="center"/>
        <w:rPr>
          <w:lang w:val="zh-CN"/>
        </w:rPr>
      </w:pPr>
      <w:r>
        <w:rPr>
          <w:rFonts w:hint="eastAsia" w:ascii="宋体" w:hAnsi="宋体"/>
          <w:sz w:val="28"/>
          <w:szCs w:val="28"/>
        </w:rPr>
        <w:t>编制时间：202</w:t>
      </w:r>
      <w:r>
        <w:rPr>
          <w:rFonts w:ascii="宋体" w:hAnsi="宋体"/>
          <w:sz w:val="28"/>
          <w:szCs w:val="28"/>
        </w:rPr>
        <w:t>3</w:t>
      </w:r>
      <w:r>
        <w:rPr>
          <w:rFonts w:hint="eastAsia" w:ascii="宋体" w:hAnsi="宋体"/>
          <w:sz w:val="28"/>
          <w:szCs w:val="28"/>
        </w:rPr>
        <w:t>年0</w:t>
      </w:r>
      <w:r>
        <w:rPr>
          <w:rFonts w:hint="eastAsia" w:ascii="宋体" w:hAnsi="宋体"/>
          <w:sz w:val="28"/>
          <w:szCs w:val="28"/>
          <w:lang w:val="en-US" w:eastAsia="zh-CN"/>
        </w:rPr>
        <w:t>6</w:t>
      </w:r>
      <w:r>
        <w:rPr>
          <w:rFonts w:hint="eastAsia" w:ascii="宋体" w:hAnsi="宋体"/>
          <w:sz w:val="28"/>
          <w:szCs w:val="28"/>
        </w:rPr>
        <w:t>月</w:t>
      </w:r>
    </w:p>
    <w:p w14:paraId="63614B99">
      <w:pPr>
        <w:pStyle w:val="2"/>
        <w:rPr>
          <w:lang w:val="zh-CN"/>
        </w:rPr>
      </w:pPr>
    </w:p>
    <w:p w14:paraId="5ED09958">
      <w:pPr>
        <w:pStyle w:val="2"/>
        <w:rPr>
          <w:lang w:val="zh-CN"/>
        </w:rPr>
      </w:pPr>
    </w:p>
    <w:p w14:paraId="29ABC82F">
      <w:pPr>
        <w:rPr>
          <w:lang w:val="zh-CN"/>
        </w:rPr>
      </w:pPr>
      <w:r>
        <w:rPr>
          <w:lang w:val="zh-CN"/>
        </w:rPr>
        <w:br w:type="page"/>
      </w:r>
    </w:p>
    <w:p w14:paraId="7C4D68E8">
      <w:pPr>
        <w:pStyle w:val="116"/>
        <w:spacing w:line="360" w:lineRule="auto"/>
        <w:jc w:val="center"/>
        <w:rPr>
          <w:color w:val="000000"/>
          <w:sz w:val="48"/>
          <w:lang w:val="zh-CN"/>
        </w:rPr>
      </w:pPr>
      <w:bookmarkStart w:id="0" w:name="_Toc20824"/>
      <w:r>
        <w:rPr>
          <w:color w:val="000000"/>
          <w:sz w:val="48"/>
          <w:lang w:val="zh-CN"/>
        </w:rPr>
        <w:t>目</w:t>
      </w:r>
      <w:r>
        <w:rPr>
          <w:rFonts w:hint="eastAsia"/>
          <w:color w:val="000000"/>
          <w:sz w:val="48"/>
          <w:lang w:val="zh-CN"/>
        </w:rPr>
        <w:t xml:space="preserve">    </w:t>
      </w:r>
      <w:r>
        <w:rPr>
          <w:color w:val="000000"/>
          <w:sz w:val="48"/>
          <w:lang w:val="zh-CN"/>
        </w:rPr>
        <w:t>录</w:t>
      </w:r>
      <w:bookmarkEnd w:id="0"/>
    </w:p>
    <w:p w14:paraId="20A17AF7">
      <w:pPr>
        <w:spacing w:line="360" w:lineRule="auto"/>
        <w:rPr>
          <w:rFonts w:ascii="宋体" w:hAnsi="宋体"/>
          <w:color w:val="000000"/>
          <w:sz w:val="32"/>
          <w:szCs w:val="28"/>
          <w:lang w:val="zh-CN"/>
        </w:rPr>
      </w:pPr>
    </w:p>
    <w:p w14:paraId="68488C35">
      <w:pPr>
        <w:pStyle w:val="34"/>
        <w:tabs>
          <w:tab w:val="right" w:leader="dot" w:pos="8845"/>
        </w:tabs>
      </w:pPr>
      <w:r>
        <w:rPr>
          <w:rFonts w:ascii="宋体" w:hAnsi="宋体"/>
          <w:color w:val="000000"/>
          <w:sz w:val="32"/>
          <w:szCs w:val="28"/>
        </w:rPr>
        <w:fldChar w:fldCharType="begin"/>
      </w:r>
      <w:r>
        <w:rPr>
          <w:rFonts w:ascii="宋体" w:hAnsi="宋体"/>
          <w:color w:val="000000"/>
          <w:sz w:val="32"/>
          <w:szCs w:val="28"/>
        </w:rPr>
        <w:instrText xml:space="preserve"> TOC \o "1-3" \h \z \u </w:instrText>
      </w:r>
      <w:r>
        <w:rPr>
          <w:rFonts w:ascii="宋体" w:hAnsi="宋体"/>
          <w:color w:val="000000"/>
          <w:sz w:val="32"/>
          <w:szCs w:val="28"/>
        </w:rPr>
        <w:fldChar w:fldCharType="separate"/>
      </w:r>
    </w:p>
    <w:p w14:paraId="56A12719">
      <w:pPr>
        <w:pStyle w:val="42"/>
        <w:tabs>
          <w:tab w:val="right" w:leader="dot" w:pos="8845"/>
        </w:tabs>
        <w:spacing w:line="480" w:lineRule="auto"/>
        <w:rPr>
          <w:sz w:val="32"/>
          <w:szCs w:val="28"/>
        </w:rPr>
      </w:pPr>
      <w:r>
        <w:fldChar w:fldCharType="begin"/>
      </w:r>
      <w:r>
        <w:instrText xml:space="preserve"> HYPERLINK \l "_Toc15639" </w:instrText>
      </w:r>
      <w:r>
        <w:fldChar w:fldCharType="separate"/>
      </w:r>
      <w:r>
        <w:rPr>
          <w:rFonts w:hint="eastAsia" w:ascii="宋体" w:hAnsi="宋体"/>
          <w:sz w:val="32"/>
          <w:szCs w:val="28"/>
        </w:rPr>
        <w:t>第一章 招标</w:t>
      </w:r>
      <w:bookmarkStart w:id="1" w:name="_Hlt132016023"/>
      <w:bookmarkStart w:id="2" w:name="_Hlt132016022"/>
      <w:r>
        <w:rPr>
          <w:rFonts w:hint="eastAsia" w:ascii="宋体" w:hAnsi="宋体"/>
          <w:sz w:val="32"/>
          <w:szCs w:val="28"/>
        </w:rPr>
        <w:t>公</w:t>
      </w:r>
      <w:bookmarkEnd w:id="1"/>
      <w:bookmarkEnd w:id="2"/>
      <w:r>
        <w:rPr>
          <w:rFonts w:hint="eastAsia" w:ascii="宋体" w:hAnsi="宋体"/>
          <w:sz w:val="32"/>
          <w:szCs w:val="28"/>
        </w:rPr>
        <w:t>告</w:t>
      </w:r>
      <w:r>
        <w:rPr>
          <w:sz w:val="32"/>
          <w:szCs w:val="28"/>
        </w:rPr>
        <w:tab/>
      </w:r>
      <w:r>
        <w:rPr>
          <w:sz w:val="32"/>
          <w:szCs w:val="28"/>
        </w:rPr>
        <w:fldChar w:fldCharType="begin"/>
      </w:r>
      <w:r>
        <w:rPr>
          <w:sz w:val="32"/>
          <w:szCs w:val="28"/>
        </w:rPr>
        <w:instrText xml:space="preserve"> PAGEREF _Toc15639 \h </w:instrText>
      </w:r>
      <w:r>
        <w:rPr>
          <w:sz w:val="32"/>
          <w:szCs w:val="28"/>
        </w:rPr>
        <w:fldChar w:fldCharType="separate"/>
      </w:r>
      <w:r>
        <w:rPr>
          <w:sz w:val="32"/>
          <w:szCs w:val="28"/>
        </w:rPr>
        <w:t>- 3 -</w:t>
      </w:r>
      <w:r>
        <w:rPr>
          <w:sz w:val="32"/>
          <w:szCs w:val="28"/>
        </w:rPr>
        <w:fldChar w:fldCharType="end"/>
      </w:r>
      <w:r>
        <w:rPr>
          <w:sz w:val="32"/>
          <w:szCs w:val="28"/>
        </w:rPr>
        <w:fldChar w:fldCharType="end"/>
      </w:r>
    </w:p>
    <w:p w14:paraId="72745726">
      <w:pPr>
        <w:pStyle w:val="42"/>
        <w:tabs>
          <w:tab w:val="right" w:leader="dot" w:pos="8845"/>
        </w:tabs>
        <w:spacing w:line="480" w:lineRule="auto"/>
        <w:rPr>
          <w:sz w:val="32"/>
          <w:szCs w:val="28"/>
        </w:rPr>
      </w:pPr>
      <w:r>
        <w:fldChar w:fldCharType="begin"/>
      </w:r>
      <w:r>
        <w:instrText xml:space="preserve"> HYPERLINK \l "_Toc72" </w:instrText>
      </w:r>
      <w:r>
        <w:fldChar w:fldCharType="separate"/>
      </w:r>
      <w:r>
        <w:rPr>
          <w:rFonts w:hint="eastAsia" w:ascii="宋体" w:hAnsi="宋体"/>
          <w:bCs/>
          <w:sz w:val="32"/>
          <w:szCs w:val="28"/>
        </w:rPr>
        <w:t>第二章 投标人须知前附表</w:t>
      </w:r>
      <w:r>
        <w:rPr>
          <w:sz w:val="32"/>
          <w:szCs w:val="28"/>
        </w:rPr>
        <w:tab/>
      </w:r>
      <w:r>
        <w:rPr>
          <w:sz w:val="32"/>
          <w:szCs w:val="28"/>
        </w:rPr>
        <w:fldChar w:fldCharType="begin"/>
      </w:r>
      <w:r>
        <w:rPr>
          <w:sz w:val="32"/>
          <w:szCs w:val="28"/>
        </w:rPr>
        <w:instrText xml:space="preserve"> PAGEREF _Toc72 \h </w:instrText>
      </w:r>
      <w:r>
        <w:rPr>
          <w:sz w:val="32"/>
          <w:szCs w:val="28"/>
        </w:rPr>
        <w:fldChar w:fldCharType="separate"/>
      </w:r>
      <w:r>
        <w:rPr>
          <w:sz w:val="32"/>
          <w:szCs w:val="28"/>
        </w:rPr>
        <w:t>- 6 -</w:t>
      </w:r>
      <w:r>
        <w:rPr>
          <w:sz w:val="32"/>
          <w:szCs w:val="28"/>
        </w:rPr>
        <w:fldChar w:fldCharType="end"/>
      </w:r>
      <w:r>
        <w:rPr>
          <w:sz w:val="32"/>
          <w:szCs w:val="28"/>
        </w:rPr>
        <w:fldChar w:fldCharType="end"/>
      </w:r>
    </w:p>
    <w:p w14:paraId="24EE0F17">
      <w:pPr>
        <w:pStyle w:val="42"/>
        <w:tabs>
          <w:tab w:val="right" w:leader="dot" w:pos="8845"/>
        </w:tabs>
        <w:spacing w:line="480" w:lineRule="auto"/>
        <w:rPr>
          <w:sz w:val="32"/>
          <w:szCs w:val="28"/>
        </w:rPr>
      </w:pPr>
      <w:r>
        <w:fldChar w:fldCharType="begin"/>
      </w:r>
      <w:r>
        <w:instrText xml:space="preserve"> HYPERLINK \l "_Toc24087" </w:instrText>
      </w:r>
      <w:r>
        <w:fldChar w:fldCharType="separate"/>
      </w:r>
      <w:r>
        <w:rPr>
          <w:rFonts w:hint="eastAsia" w:ascii="宋体" w:hAnsi="宋体"/>
          <w:sz w:val="32"/>
          <w:szCs w:val="28"/>
        </w:rPr>
        <w:t>第三章 招标需求</w:t>
      </w:r>
      <w:r>
        <w:rPr>
          <w:sz w:val="32"/>
          <w:szCs w:val="28"/>
        </w:rPr>
        <w:tab/>
      </w:r>
      <w:r>
        <w:rPr>
          <w:sz w:val="32"/>
          <w:szCs w:val="28"/>
        </w:rPr>
        <w:fldChar w:fldCharType="begin"/>
      </w:r>
      <w:r>
        <w:rPr>
          <w:sz w:val="32"/>
          <w:szCs w:val="28"/>
        </w:rPr>
        <w:instrText xml:space="preserve"> PAGEREF _Toc24087 \h </w:instrText>
      </w:r>
      <w:r>
        <w:rPr>
          <w:sz w:val="32"/>
          <w:szCs w:val="28"/>
        </w:rPr>
        <w:fldChar w:fldCharType="separate"/>
      </w:r>
      <w:r>
        <w:rPr>
          <w:sz w:val="32"/>
          <w:szCs w:val="28"/>
        </w:rPr>
        <w:t>- 14 -</w:t>
      </w:r>
      <w:r>
        <w:rPr>
          <w:sz w:val="32"/>
          <w:szCs w:val="28"/>
        </w:rPr>
        <w:fldChar w:fldCharType="end"/>
      </w:r>
      <w:r>
        <w:rPr>
          <w:sz w:val="32"/>
          <w:szCs w:val="28"/>
        </w:rPr>
        <w:fldChar w:fldCharType="end"/>
      </w:r>
    </w:p>
    <w:p w14:paraId="57269FF0">
      <w:pPr>
        <w:pStyle w:val="42"/>
        <w:tabs>
          <w:tab w:val="right" w:leader="dot" w:pos="8845"/>
        </w:tabs>
        <w:spacing w:line="480" w:lineRule="auto"/>
        <w:rPr>
          <w:sz w:val="32"/>
          <w:szCs w:val="28"/>
        </w:rPr>
      </w:pPr>
      <w:r>
        <w:fldChar w:fldCharType="begin"/>
      </w:r>
      <w:r>
        <w:instrText xml:space="preserve"> HYPERLINK \l "_Toc24178" </w:instrText>
      </w:r>
      <w:r>
        <w:fldChar w:fldCharType="separate"/>
      </w:r>
      <w:r>
        <w:rPr>
          <w:rFonts w:hint="eastAsia" w:ascii="宋体" w:hAnsi="宋体"/>
          <w:sz w:val="32"/>
          <w:szCs w:val="28"/>
        </w:rPr>
        <w:t>第四章 评标办法</w:t>
      </w:r>
      <w:r>
        <w:rPr>
          <w:sz w:val="32"/>
          <w:szCs w:val="28"/>
        </w:rPr>
        <w:tab/>
      </w:r>
      <w:r>
        <w:rPr>
          <w:sz w:val="32"/>
          <w:szCs w:val="28"/>
        </w:rPr>
        <w:fldChar w:fldCharType="begin"/>
      </w:r>
      <w:r>
        <w:rPr>
          <w:sz w:val="32"/>
          <w:szCs w:val="28"/>
        </w:rPr>
        <w:instrText xml:space="preserve"> PAGEREF _Toc24178 \h </w:instrText>
      </w:r>
      <w:r>
        <w:rPr>
          <w:sz w:val="32"/>
          <w:szCs w:val="28"/>
        </w:rPr>
        <w:fldChar w:fldCharType="separate"/>
      </w:r>
      <w:r>
        <w:rPr>
          <w:sz w:val="32"/>
          <w:szCs w:val="28"/>
        </w:rPr>
        <w:t>- 18 -</w:t>
      </w:r>
      <w:r>
        <w:rPr>
          <w:sz w:val="32"/>
          <w:szCs w:val="28"/>
        </w:rPr>
        <w:fldChar w:fldCharType="end"/>
      </w:r>
      <w:r>
        <w:rPr>
          <w:sz w:val="32"/>
          <w:szCs w:val="28"/>
        </w:rPr>
        <w:fldChar w:fldCharType="end"/>
      </w:r>
    </w:p>
    <w:p w14:paraId="327FCDCF">
      <w:pPr>
        <w:pStyle w:val="42"/>
        <w:tabs>
          <w:tab w:val="right" w:leader="dot" w:pos="8845"/>
        </w:tabs>
        <w:spacing w:line="480" w:lineRule="auto"/>
        <w:rPr>
          <w:sz w:val="32"/>
          <w:szCs w:val="28"/>
        </w:rPr>
      </w:pPr>
      <w:r>
        <w:fldChar w:fldCharType="begin"/>
      </w:r>
      <w:r>
        <w:instrText xml:space="preserve"> HYPERLINK \l "_Toc8253" </w:instrText>
      </w:r>
      <w:r>
        <w:fldChar w:fldCharType="separate"/>
      </w:r>
      <w:r>
        <w:rPr>
          <w:rFonts w:hint="eastAsia" w:ascii="宋体" w:hAnsi="宋体"/>
          <w:sz w:val="32"/>
          <w:szCs w:val="28"/>
        </w:rPr>
        <w:t>第五章 投标人须知</w:t>
      </w:r>
      <w:r>
        <w:rPr>
          <w:sz w:val="32"/>
          <w:szCs w:val="28"/>
        </w:rPr>
        <w:tab/>
      </w:r>
      <w:r>
        <w:rPr>
          <w:sz w:val="32"/>
          <w:szCs w:val="28"/>
        </w:rPr>
        <w:fldChar w:fldCharType="begin"/>
      </w:r>
      <w:r>
        <w:rPr>
          <w:sz w:val="32"/>
          <w:szCs w:val="28"/>
        </w:rPr>
        <w:instrText xml:space="preserve"> PAGEREF _Toc8253 \h </w:instrText>
      </w:r>
      <w:r>
        <w:rPr>
          <w:sz w:val="32"/>
          <w:szCs w:val="28"/>
        </w:rPr>
        <w:fldChar w:fldCharType="separate"/>
      </w:r>
      <w:r>
        <w:rPr>
          <w:sz w:val="32"/>
          <w:szCs w:val="28"/>
        </w:rPr>
        <w:t>- 25 -</w:t>
      </w:r>
      <w:r>
        <w:rPr>
          <w:sz w:val="32"/>
          <w:szCs w:val="28"/>
        </w:rPr>
        <w:fldChar w:fldCharType="end"/>
      </w:r>
      <w:r>
        <w:rPr>
          <w:sz w:val="32"/>
          <w:szCs w:val="28"/>
        </w:rPr>
        <w:fldChar w:fldCharType="end"/>
      </w:r>
    </w:p>
    <w:p w14:paraId="19BDD281">
      <w:pPr>
        <w:pStyle w:val="42"/>
        <w:tabs>
          <w:tab w:val="right" w:leader="dot" w:pos="8845"/>
        </w:tabs>
        <w:spacing w:line="480" w:lineRule="auto"/>
        <w:rPr>
          <w:sz w:val="32"/>
          <w:szCs w:val="28"/>
        </w:rPr>
      </w:pPr>
      <w:r>
        <w:fldChar w:fldCharType="begin"/>
      </w:r>
      <w:r>
        <w:instrText xml:space="preserve"> HYPERLINK \l "_Toc19521" </w:instrText>
      </w:r>
      <w:r>
        <w:fldChar w:fldCharType="separate"/>
      </w:r>
      <w:r>
        <w:rPr>
          <w:rFonts w:hint="eastAsia" w:ascii="宋体" w:hAnsi="宋体"/>
          <w:sz w:val="32"/>
          <w:szCs w:val="28"/>
        </w:rPr>
        <w:t>第六章 服</w:t>
      </w:r>
      <w:bookmarkStart w:id="3" w:name="_Hlt132027210"/>
      <w:bookmarkStart w:id="4" w:name="_Hlt132027211"/>
      <w:r>
        <w:rPr>
          <w:rFonts w:hint="eastAsia" w:ascii="宋体" w:hAnsi="宋体"/>
          <w:sz w:val="32"/>
          <w:szCs w:val="28"/>
        </w:rPr>
        <w:t>务</w:t>
      </w:r>
      <w:bookmarkEnd w:id="3"/>
      <w:bookmarkEnd w:id="4"/>
      <w:r>
        <w:rPr>
          <w:rFonts w:hint="eastAsia" w:ascii="宋体" w:hAnsi="宋体"/>
          <w:sz w:val="32"/>
          <w:szCs w:val="28"/>
        </w:rPr>
        <w:t>合同</w:t>
      </w:r>
      <w:r>
        <w:rPr>
          <w:sz w:val="32"/>
          <w:szCs w:val="28"/>
        </w:rPr>
        <w:tab/>
      </w:r>
      <w:r>
        <w:rPr>
          <w:sz w:val="32"/>
          <w:szCs w:val="28"/>
        </w:rPr>
        <w:fldChar w:fldCharType="begin"/>
      </w:r>
      <w:r>
        <w:rPr>
          <w:sz w:val="32"/>
          <w:szCs w:val="28"/>
        </w:rPr>
        <w:instrText xml:space="preserve"> PAGEREF _Toc19521 \h </w:instrText>
      </w:r>
      <w:r>
        <w:rPr>
          <w:sz w:val="32"/>
          <w:szCs w:val="28"/>
        </w:rPr>
        <w:fldChar w:fldCharType="separate"/>
      </w:r>
      <w:r>
        <w:rPr>
          <w:sz w:val="32"/>
          <w:szCs w:val="28"/>
        </w:rPr>
        <w:t>- 36 -</w:t>
      </w:r>
      <w:r>
        <w:rPr>
          <w:sz w:val="32"/>
          <w:szCs w:val="28"/>
        </w:rPr>
        <w:fldChar w:fldCharType="end"/>
      </w:r>
      <w:r>
        <w:rPr>
          <w:sz w:val="32"/>
          <w:szCs w:val="28"/>
        </w:rPr>
        <w:fldChar w:fldCharType="end"/>
      </w:r>
    </w:p>
    <w:p w14:paraId="5F500E3E">
      <w:pPr>
        <w:pStyle w:val="42"/>
        <w:tabs>
          <w:tab w:val="right" w:leader="dot" w:pos="8845"/>
        </w:tabs>
        <w:spacing w:line="480" w:lineRule="auto"/>
      </w:pPr>
      <w:r>
        <w:fldChar w:fldCharType="begin"/>
      </w:r>
      <w:r>
        <w:instrText xml:space="preserve"> HYPERLINK \l "_Toc23556" </w:instrText>
      </w:r>
      <w:r>
        <w:fldChar w:fldCharType="separate"/>
      </w:r>
      <w:r>
        <w:rPr>
          <w:rFonts w:hint="eastAsia" w:ascii="宋体" w:hAnsi="宋体"/>
          <w:sz w:val="32"/>
          <w:szCs w:val="28"/>
        </w:rPr>
        <w:t>第七章 投标文件格式</w:t>
      </w:r>
      <w:r>
        <w:rPr>
          <w:sz w:val="32"/>
          <w:szCs w:val="28"/>
        </w:rPr>
        <w:tab/>
      </w:r>
      <w:r>
        <w:rPr>
          <w:sz w:val="32"/>
          <w:szCs w:val="28"/>
        </w:rPr>
        <w:fldChar w:fldCharType="begin"/>
      </w:r>
      <w:r>
        <w:rPr>
          <w:sz w:val="32"/>
          <w:szCs w:val="28"/>
        </w:rPr>
        <w:instrText xml:space="preserve"> PAGEREF _Toc23556 \h </w:instrText>
      </w:r>
      <w:r>
        <w:rPr>
          <w:sz w:val="32"/>
          <w:szCs w:val="28"/>
        </w:rPr>
        <w:fldChar w:fldCharType="separate"/>
      </w:r>
      <w:r>
        <w:rPr>
          <w:sz w:val="32"/>
          <w:szCs w:val="28"/>
        </w:rPr>
        <w:t>- 45 -</w:t>
      </w:r>
      <w:r>
        <w:rPr>
          <w:sz w:val="32"/>
          <w:szCs w:val="28"/>
        </w:rPr>
        <w:fldChar w:fldCharType="end"/>
      </w:r>
      <w:r>
        <w:rPr>
          <w:sz w:val="32"/>
          <w:szCs w:val="28"/>
        </w:rPr>
        <w:fldChar w:fldCharType="end"/>
      </w:r>
    </w:p>
    <w:p w14:paraId="47AB98E6">
      <w:pPr>
        <w:pStyle w:val="25"/>
        <w:tabs>
          <w:tab w:val="right" w:leader="dot" w:pos="8845"/>
        </w:tabs>
      </w:pPr>
    </w:p>
    <w:p w14:paraId="4626EB66">
      <w:pPr>
        <w:spacing w:line="360" w:lineRule="auto"/>
        <w:rPr>
          <w:rFonts w:ascii="宋体" w:hAnsi="宋体"/>
          <w:color w:val="000000"/>
          <w:szCs w:val="28"/>
        </w:rPr>
      </w:pPr>
      <w:r>
        <w:rPr>
          <w:rFonts w:ascii="宋体" w:hAnsi="宋体"/>
          <w:color w:val="000000"/>
          <w:szCs w:val="28"/>
        </w:rPr>
        <w:fldChar w:fldCharType="end"/>
      </w:r>
      <w:bookmarkStart w:id="5" w:name="_Toc172171538"/>
    </w:p>
    <w:p w14:paraId="58E0DED2">
      <w:pPr>
        <w:pStyle w:val="2"/>
      </w:pPr>
    </w:p>
    <w:p w14:paraId="160B9D96">
      <w:pPr>
        <w:pStyle w:val="2"/>
      </w:pPr>
    </w:p>
    <w:p w14:paraId="16A22BD0">
      <w:pPr>
        <w:pStyle w:val="2"/>
      </w:pPr>
    </w:p>
    <w:p w14:paraId="23021E29">
      <w:pPr>
        <w:pStyle w:val="2"/>
      </w:pPr>
    </w:p>
    <w:p w14:paraId="0DEEB11D">
      <w:pPr>
        <w:pStyle w:val="2"/>
      </w:pPr>
    </w:p>
    <w:p w14:paraId="36287C1D">
      <w:pPr>
        <w:pStyle w:val="2"/>
      </w:pPr>
    </w:p>
    <w:p w14:paraId="0E153998">
      <w:pPr>
        <w:pStyle w:val="2"/>
      </w:pPr>
    </w:p>
    <w:p w14:paraId="46359F80">
      <w:pPr>
        <w:pStyle w:val="2"/>
      </w:pPr>
    </w:p>
    <w:p w14:paraId="5825226E">
      <w:pPr>
        <w:pStyle w:val="2"/>
      </w:pPr>
    </w:p>
    <w:p w14:paraId="47D5FFA6">
      <w:pPr>
        <w:pStyle w:val="2"/>
      </w:pPr>
    </w:p>
    <w:p w14:paraId="4C4ECFA6">
      <w:pPr>
        <w:pStyle w:val="2"/>
      </w:pPr>
    </w:p>
    <w:p w14:paraId="7CD9779C">
      <w:pPr>
        <w:pStyle w:val="2"/>
      </w:pPr>
    </w:p>
    <w:p w14:paraId="5CB6D933">
      <w:pPr>
        <w:pStyle w:val="2"/>
      </w:pPr>
    </w:p>
    <w:p w14:paraId="390EC54F">
      <w:pPr>
        <w:pStyle w:val="2"/>
      </w:pPr>
    </w:p>
    <w:bookmarkEnd w:id="5"/>
    <w:p w14:paraId="71F1FC5E">
      <w:pPr>
        <w:pStyle w:val="6"/>
        <w:spacing w:before="0" w:after="0" w:line="360" w:lineRule="auto"/>
        <w:rPr>
          <w:rFonts w:ascii="宋体" w:hAnsi="宋体" w:eastAsia="宋体"/>
          <w:color w:val="000000"/>
        </w:rPr>
      </w:pPr>
      <w:bookmarkStart w:id="6" w:name="_Toc1479818"/>
      <w:bookmarkStart w:id="7" w:name="_Toc15639"/>
      <w:r>
        <w:rPr>
          <w:rFonts w:hint="eastAsia" w:ascii="宋体" w:hAnsi="宋体" w:eastAsia="宋体"/>
          <w:color w:val="000000"/>
        </w:rPr>
        <w:t>第一章 招标公告</w:t>
      </w:r>
      <w:bookmarkEnd w:id="6"/>
      <w:bookmarkEnd w:id="7"/>
    </w:p>
    <w:p w14:paraId="1AE3BDC2">
      <w:pPr>
        <w:autoSpaceDE w:val="0"/>
        <w:autoSpaceDN w:val="0"/>
        <w:adjustRightInd w:val="0"/>
        <w:spacing w:line="360" w:lineRule="auto"/>
        <w:jc w:val="left"/>
        <w:rPr>
          <w:rFonts w:ascii="宋体" w:hAnsi="宋体" w:cs="宋体"/>
          <w:b/>
          <w:bCs/>
          <w:color w:val="000000"/>
          <w:sz w:val="24"/>
          <w:szCs w:val="28"/>
        </w:rPr>
      </w:pPr>
      <w:bookmarkStart w:id="8" w:name="_Toc1479819"/>
      <w:r>
        <w:rPr>
          <w:rFonts w:ascii="宋体" w:hAnsi="宋体" w:cs="宋体"/>
          <w:b/>
          <w:bCs/>
          <w:color w:val="000000"/>
          <w:sz w:val="24"/>
          <w:szCs w:val="28"/>
        </w:rPr>
        <w:t>一、招标项目名称及内容：</w:t>
      </w:r>
    </w:p>
    <w:p w14:paraId="7D1AF43A">
      <w:pPr>
        <w:autoSpaceDE w:val="0"/>
        <w:autoSpaceDN w:val="0"/>
        <w:adjustRightInd w:val="0"/>
        <w:spacing w:line="360" w:lineRule="auto"/>
        <w:ind w:firstLine="480" w:firstLineChars="200"/>
        <w:jc w:val="left"/>
        <w:rPr>
          <w:rFonts w:ascii="宋体" w:hAnsi="宋体" w:cs="宋体"/>
          <w:color w:val="FF0000"/>
          <w:sz w:val="24"/>
          <w:szCs w:val="28"/>
        </w:rPr>
      </w:pPr>
      <w:r>
        <w:rPr>
          <w:rFonts w:hint="eastAsia" w:ascii="宋体" w:hAnsi="宋体" w:cs="宋体"/>
          <w:color w:val="FF0000"/>
          <w:sz w:val="24"/>
          <w:szCs w:val="28"/>
        </w:rPr>
        <w:t xml:space="preserve">项目编号：  </w:t>
      </w:r>
      <w:r>
        <w:rPr>
          <w:rFonts w:ascii="宋体" w:hAnsi="宋体" w:cs="宋体"/>
          <w:color w:val="FF0000"/>
          <w:sz w:val="24"/>
          <w:szCs w:val="28"/>
        </w:rPr>
        <w:t>；</w:t>
      </w:r>
    </w:p>
    <w:p w14:paraId="674F5EB4">
      <w:pPr>
        <w:autoSpaceDE w:val="0"/>
        <w:autoSpaceDN w:val="0"/>
        <w:adjustRightInd w:val="0"/>
        <w:spacing w:line="360" w:lineRule="auto"/>
        <w:ind w:firstLine="480" w:firstLineChars="200"/>
        <w:jc w:val="left"/>
        <w:rPr>
          <w:rFonts w:ascii="宋体" w:hAnsi="宋体" w:cs="宋体"/>
          <w:color w:val="000000"/>
          <w:sz w:val="24"/>
          <w:szCs w:val="28"/>
        </w:rPr>
      </w:pPr>
      <w:r>
        <w:rPr>
          <w:rFonts w:ascii="宋体" w:hAnsi="宋体" w:cs="宋体"/>
          <w:color w:val="000000"/>
          <w:sz w:val="24"/>
          <w:szCs w:val="28"/>
        </w:rPr>
        <w:t>项目名称：</w:t>
      </w:r>
      <w:r>
        <w:rPr>
          <w:rFonts w:hint="eastAsia" w:ascii="宋体" w:hAnsi="宋体" w:cs="宋体"/>
          <w:color w:val="000000"/>
          <w:sz w:val="24"/>
          <w:szCs w:val="28"/>
        </w:rPr>
        <w:t>安徽省第二人民医院分布式光伏发电节能服务项目</w:t>
      </w:r>
      <w:r>
        <w:rPr>
          <w:rFonts w:ascii="宋体" w:hAnsi="宋体" w:cs="宋体"/>
          <w:color w:val="000000"/>
          <w:sz w:val="24"/>
          <w:szCs w:val="28"/>
        </w:rPr>
        <w:t>；</w:t>
      </w:r>
    </w:p>
    <w:p w14:paraId="4655FBF2">
      <w:pPr>
        <w:autoSpaceDE w:val="0"/>
        <w:autoSpaceDN w:val="0"/>
        <w:adjustRightInd w:val="0"/>
        <w:spacing w:line="360" w:lineRule="auto"/>
        <w:ind w:firstLine="480" w:firstLineChars="200"/>
        <w:jc w:val="left"/>
        <w:rPr>
          <w:rFonts w:ascii="宋体" w:hAnsi="宋体" w:cs="宋体"/>
          <w:color w:val="000000"/>
          <w:sz w:val="24"/>
          <w:szCs w:val="28"/>
        </w:rPr>
      </w:pPr>
      <w:r>
        <w:rPr>
          <w:rFonts w:hint="eastAsia" w:ascii="宋体" w:hAnsi="宋体" w:cs="宋体"/>
          <w:color w:val="000000"/>
          <w:sz w:val="24"/>
          <w:szCs w:val="28"/>
        </w:rPr>
        <w:t>招标方式</w:t>
      </w:r>
      <w:r>
        <w:rPr>
          <w:rFonts w:ascii="宋体" w:hAnsi="宋体" w:cs="宋体"/>
          <w:color w:val="000000"/>
          <w:sz w:val="24"/>
          <w:szCs w:val="28"/>
        </w:rPr>
        <w:t>：</w:t>
      </w:r>
      <w:r>
        <w:rPr>
          <w:rFonts w:hint="eastAsia" w:ascii="宋体" w:hAnsi="宋体" w:cs="宋体"/>
          <w:color w:val="000000"/>
          <w:sz w:val="24"/>
          <w:szCs w:val="28"/>
        </w:rPr>
        <w:t>公开招标</w:t>
      </w:r>
      <w:r>
        <w:rPr>
          <w:rFonts w:ascii="宋体" w:hAnsi="宋体" w:cs="宋体"/>
          <w:color w:val="000000"/>
          <w:sz w:val="24"/>
          <w:szCs w:val="28"/>
        </w:rPr>
        <w:t>；</w:t>
      </w:r>
    </w:p>
    <w:p w14:paraId="29BCCF72">
      <w:pPr>
        <w:autoSpaceDE w:val="0"/>
        <w:autoSpaceDN w:val="0"/>
        <w:adjustRightInd w:val="0"/>
        <w:spacing w:line="360" w:lineRule="auto"/>
        <w:ind w:firstLine="480" w:firstLineChars="200"/>
        <w:jc w:val="left"/>
        <w:rPr>
          <w:rFonts w:hint="eastAsia" w:ascii="宋体" w:hAnsi="宋体" w:cs="宋体"/>
          <w:color w:val="000000"/>
          <w:sz w:val="24"/>
          <w:szCs w:val="28"/>
        </w:rPr>
      </w:pPr>
      <w:r>
        <w:rPr>
          <w:rFonts w:hint="eastAsia" w:ascii="宋体" w:hAnsi="宋体" w:cs="宋体"/>
          <w:color w:val="000000"/>
          <w:sz w:val="24"/>
          <w:szCs w:val="28"/>
        </w:rPr>
        <w:t>招标内容：为积极落实国家“双碳”战略，响应节能减排号召，减少碳排放，计划在院区的A楼、B楼、C楼、D楼及加速器楼屋顶采用合同能源管理模式建设屋顶分布式光伏电站，光伏电站设计容量约为0.52MWp</w:t>
      </w:r>
      <w:r>
        <w:rPr>
          <w:rFonts w:hint="eastAsia" w:ascii="宋体" w:hAnsi="宋体" w:cs="宋体"/>
          <w:color w:val="000000"/>
          <w:sz w:val="24"/>
          <w:szCs w:val="28"/>
          <w:lang w:eastAsia="zh-CN"/>
        </w:rPr>
        <w:t>（</w:t>
      </w:r>
      <w:r>
        <w:rPr>
          <w:rFonts w:hint="eastAsia" w:ascii="宋体" w:hAnsi="宋体" w:cs="宋体"/>
          <w:color w:val="000000"/>
          <w:sz w:val="24"/>
          <w:szCs w:val="28"/>
          <w:lang w:val="en-US" w:eastAsia="zh-CN"/>
        </w:rPr>
        <w:t>具体容量按照电网批准为准</w:t>
      </w:r>
      <w:r>
        <w:rPr>
          <w:rFonts w:hint="eastAsia" w:ascii="宋体" w:hAnsi="宋体" w:cs="宋体"/>
          <w:color w:val="000000"/>
          <w:sz w:val="24"/>
          <w:szCs w:val="28"/>
          <w:lang w:eastAsia="zh-CN"/>
        </w:rPr>
        <w:t>）</w:t>
      </w:r>
      <w:r>
        <w:rPr>
          <w:rFonts w:hint="eastAsia" w:ascii="宋体" w:hAnsi="宋体" w:cs="宋体"/>
          <w:color w:val="000000"/>
          <w:sz w:val="24"/>
          <w:szCs w:val="28"/>
        </w:rPr>
        <w:t>，所发电力并入院区配电房400V供电系统，屋顶光伏电站按照“自发自用，余电上网”模式设计。</w:t>
      </w:r>
    </w:p>
    <w:p w14:paraId="77302DB0">
      <w:pPr>
        <w:autoSpaceDE w:val="0"/>
        <w:autoSpaceDN w:val="0"/>
        <w:adjustRightInd w:val="0"/>
        <w:spacing w:line="360" w:lineRule="auto"/>
        <w:ind w:firstLine="480" w:firstLineChars="200"/>
        <w:jc w:val="left"/>
        <w:rPr>
          <w:rFonts w:ascii="宋体" w:hAnsi="宋体" w:cs="宋体"/>
          <w:color w:val="000000"/>
          <w:sz w:val="24"/>
          <w:szCs w:val="28"/>
        </w:rPr>
      </w:pPr>
      <w:r>
        <w:rPr>
          <w:rFonts w:hint="eastAsia" w:ascii="宋体" w:hAnsi="宋体" w:cs="宋体"/>
          <w:color w:val="000000"/>
          <w:sz w:val="24"/>
          <w:szCs w:val="28"/>
        </w:rPr>
        <w:t>本项目将采用合同能源管理模式建设，投标方一旦获得建设资格，则投标方需要全额出资完成从项目设计、设备主材和辅材、施工、接入、并网、调试、验收的全流程工作并承担后期25年的运行维护工作。屋顶分布式光伏项目并网发电后，投标方需按投标时的</w:t>
      </w:r>
      <w:r>
        <w:rPr>
          <w:rFonts w:hint="eastAsia" w:ascii="宋体" w:hAnsi="宋体" w:cs="宋体"/>
          <w:color w:val="000000"/>
          <w:sz w:val="24"/>
          <w:szCs w:val="28"/>
          <w:lang w:val="en-US" w:eastAsia="zh-CN"/>
        </w:rPr>
        <w:t>折扣比例</w:t>
      </w:r>
      <w:r>
        <w:rPr>
          <w:rFonts w:hint="eastAsia" w:ascii="宋体" w:hAnsi="宋体" w:cs="宋体"/>
          <w:color w:val="000000"/>
          <w:sz w:val="24"/>
          <w:szCs w:val="28"/>
        </w:rPr>
        <w:t>供给安徽省第二人民医院使用，并对工程的安全、环保、质量、工期</w:t>
      </w:r>
      <w:r>
        <w:rPr>
          <w:rFonts w:hint="eastAsia" w:ascii="宋体" w:hAnsi="宋体" w:cs="宋体"/>
          <w:color w:val="000000"/>
          <w:sz w:val="24"/>
          <w:szCs w:val="28"/>
          <w:lang w:eastAsia="zh-CN"/>
        </w:rPr>
        <w:t>，以及</w:t>
      </w:r>
      <w:r>
        <w:rPr>
          <w:rFonts w:hint="eastAsia" w:ascii="宋体" w:hAnsi="宋体" w:cs="宋体"/>
          <w:color w:val="000000"/>
          <w:sz w:val="24"/>
          <w:szCs w:val="28"/>
        </w:rPr>
        <w:t>2</w:t>
      </w:r>
      <w:r>
        <w:rPr>
          <w:rFonts w:hint="eastAsia" w:ascii="宋体" w:hAnsi="宋体" w:cs="宋体"/>
          <w:color w:val="000000"/>
          <w:sz w:val="24"/>
          <w:szCs w:val="28"/>
          <w:lang w:val="en-US" w:eastAsia="zh-CN"/>
        </w:rPr>
        <w:t>0+</w:t>
      </w:r>
      <w:r>
        <w:rPr>
          <w:rFonts w:hint="eastAsia" w:ascii="宋体" w:hAnsi="宋体" w:cs="宋体"/>
          <w:color w:val="000000"/>
          <w:sz w:val="24"/>
          <w:szCs w:val="28"/>
        </w:rPr>
        <w:t>5年的运维服务全面负责</w:t>
      </w:r>
      <w:r>
        <w:rPr>
          <w:rFonts w:hint="eastAsia" w:ascii="宋体" w:hAnsi="宋体" w:cs="宋体"/>
          <w:color w:val="000000"/>
          <w:sz w:val="24"/>
          <w:szCs w:val="28"/>
          <w:lang w:eastAsia="zh-CN"/>
        </w:rPr>
        <w:t>，且合同期内不得出售或转让项目资产</w:t>
      </w:r>
      <w:r>
        <w:rPr>
          <w:rFonts w:hint="eastAsia" w:ascii="宋体" w:hAnsi="宋体" w:cs="宋体"/>
          <w:color w:val="000000"/>
          <w:sz w:val="24"/>
          <w:szCs w:val="28"/>
        </w:rPr>
        <w:t>。具体要求详见招标文件。</w:t>
      </w:r>
    </w:p>
    <w:p w14:paraId="5A3E99D3">
      <w:pPr>
        <w:autoSpaceDE w:val="0"/>
        <w:autoSpaceDN w:val="0"/>
        <w:adjustRightInd w:val="0"/>
        <w:snapToGrid w:val="0"/>
        <w:spacing w:line="360" w:lineRule="auto"/>
        <w:ind w:firstLine="480" w:firstLineChars="200"/>
        <w:jc w:val="left"/>
        <w:rPr>
          <w:rFonts w:ascii="宋体" w:hAnsi="宋体" w:cs="宋体"/>
          <w:color w:val="000000"/>
          <w:sz w:val="24"/>
          <w:szCs w:val="28"/>
        </w:rPr>
      </w:pPr>
      <w:r>
        <w:rPr>
          <w:rFonts w:hint="eastAsia" w:ascii="宋体" w:hAnsi="宋体" w:cs="宋体"/>
          <w:color w:val="000000"/>
          <w:sz w:val="24"/>
          <w:szCs w:val="28"/>
        </w:rPr>
        <w:t>联合体投标：本项目</w:t>
      </w:r>
      <w:r>
        <w:rPr>
          <w:rFonts w:ascii="宋体" w:hAnsi="宋体" w:cs="宋体"/>
          <w:color w:val="000000"/>
          <w:sz w:val="24"/>
          <w:szCs w:val="28"/>
        </w:rPr>
        <w:t>不接受</w:t>
      </w:r>
      <w:r>
        <w:rPr>
          <w:rFonts w:hint="eastAsia" w:ascii="宋体" w:hAnsi="宋体" w:cs="宋体"/>
          <w:color w:val="000000"/>
          <w:sz w:val="24"/>
          <w:szCs w:val="28"/>
        </w:rPr>
        <w:t>联合体投标。</w:t>
      </w:r>
    </w:p>
    <w:p w14:paraId="04F3E486">
      <w:pPr>
        <w:autoSpaceDE w:val="0"/>
        <w:autoSpaceDN w:val="0"/>
        <w:adjustRightInd w:val="0"/>
        <w:spacing w:line="360" w:lineRule="auto"/>
        <w:jc w:val="left"/>
        <w:rPr>
          <w:rFonts w:ascii="宋体" w:hAnsi="宋体" w:cs="宋体"/>
          <w:b/>
          <w:sz w:val="24"/>
          <w:szCs w:val="28"/>
          <w:lang w:val="zh-CN"/>
        </w:rPr>
      </w:pPr>
      <w:r>
        <w:rPr>
          <w:rFonts w:hint="eastAsia" w:ascii="宋体" w:hAnsi="宋体" w:cs="宋体"/>
          <w:b/>
          <w:sz w:val="24"/>
          <w:szCs w:val="28"/>
          <w:lang w:val="zh-CN"/>
        </w:rPr>
        <w:t>二、投标人的资格要求：</w:t>
      </w:r>
    </w:p>
    <w:p w14:paraId="32A321A4">
      <w:pPr>
        <w:autoSpaceDE w:val="0"/>
        <w:autoSpaceDN w:val="0"/>
        <w:adjustRightInd w:val="0"/>
        <w:spacing w:line="360" w:lineRule="auto"/>
        <w:ind w:firstLine="480" w:firstLineChars="200"/>
        <w:jc w:val="left"/>
        <w:rPr>
          <w:rFonts w:ascii="宋体" w:hAnsi="宋体"/>
          <w:color w:val="000000"/>
          <w:sz w:val="24"/>
          <w:szCs w:val="28"/>
          <w:lang w:val="zh-CN"/>
        </w:rPr>
      </w:pPr>
      <w:r>
        <w:rPr>
          <w:rFonts w:hint="eastAsia" w:ascii="宋体" w:hAnsi="宋体"/>
          <w:color w:val="000000"/>
          <w:sz w:val="24"/>
          <w:szCs w:val="28"/>
          <w:lang w:val="zh-CN"/>
        </w:rPr>
        <w:t>1、投标人须是具有独立法人资格，具有有效的营业执照；</w:t>
      </w:r>
    </w:p>
    <w:p w14:paraId="5ED9F10A">
      <w:pPr>
        <w:autoSpaceDE w:val="0"/>
        <w:autoSpaceDN w:val="0"/>
        <w:adjustRightInd w:val="0"/>
        <w:spacing w:line="360" w:lineRule="auto"/>
        <w:ind w:firstLine="480" w:firstLineChars="200"/>
        <w:jc w:val="left"/>
        <w:rPr>
          <w:rFonts w:hint="eastAsia"/>
          <w:lang w:val="zh-CN"/>
        </w:rPr>
      </w:pPr>
      <w:r>
        <w:rPr>
          <w:rFonts w:ascii="宋体" w:hAnsi="宋体"/>
          <w:color w:val="000000"/>
          <w:sz w:val="24"/>
          <w:szCs w:val="28"/>
        </w:rPr>
        <w:t>2</w:t>
      </w:r>
      <w:r>
        <w:rPr>
          <w:rFonts w:hint="eastAsia" w:ascii="宋体" w:hAnsi="宋体"/>
          <w:color w:val="000000"/>
          <w:sz w:val="24"/>
          <w:szCs w:val="28"/>
          <w:lang w:val="zh-CN"/>
        </w:rPr>
        <w:t>、投标人</w:t>
      </w:r>
      <w:r>
        <w:rPr>
          <w:rFonts w:hint="eastAsia" w:ascii="宋体" w:hAnsi="宋体" w:cs="宋体"/>
          <w:sz w:val="24"/>
          <w:szCs w:val="24"/>
          <w:lang w:val="zh-CN"/>
        </w:rPr>
        <w:t>营业执照经营范围应至少具备：</w:t>
      </w:r>
      <w:r>
        <w:rPr>
          <w:rFonts w:hint="eastAsia" w:ascii="宋体" w:hAnsi="宋体"/>
          <w:color w:val="000000"/>
          <w:sz w:val="24"/>
          <w:szCs w:val="28"/>
          <w:lang w:val="zh-CN"/>
        </w:rPr>
        <w:t>合同能源管理或太阳能光伏系统、太阳能路灯研发、安装，太阳能发电技术服务发电业务、输电业务、合同能源管理，工程管理服务；</w:t>
      </w:r>
    </w:p>
    <w:p w14:paraId="02862330">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zh-CN"/>
        </w:rPr>
        <w:t>3、</w:t>
      </w:r>
      <w:r>
        <w:rPr>
          <w:rFonts w:hint="eastAsia" w:ascii="宋体" w:hAnsi="宋体" w:cs="宋体"/>
          <w:sz w:val="24"/>
          <w:szCs w:val="24"/>
          <w:lang w:val="en-US" w:eastAsia="zh-CN"/>
        </w:rPr>
        <w:t>投标方提供2021或者2022年度财务报表，企业年产值5000万及以上。</w:t>
      </w:r>
    </w:p>
    <w:p w14:paraId="460DBE17">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投标人须具有自 2020年1月1日以来 （以合同签订时间为准） ，至少</w:t>
      </w:r>
      <w:r>
        <w:rPr>
          <w:rFonts w:hint="eastAsia" w:ascii="宋体" w:hAnsi="宋体" w:cs="宋体"/>
          <w:sz w:val="24"/>
          <w:szCs w:val="24"/>
          <w:lang w:val="en-US" w:eastAsia="zh-CN"/>
        </w:rPr>
        <w:t>提供</w:t>
      </w:r>
      <w:r>
        <w:rPr>
          <w:rFonts w:hint="eastAsia" w:ascii="宋体" w:hAnsi="宋体" w:cs="宋体"/>
          <w:sz w:val="24"/>
          <w:szCs w:val="24"/>
          <w:lang w:val="zh-CN"/>
        </w:rPr>
        <w:t>投资、供货或建设过二个</w:t>
      </w:r>
      <w:r>
        <w:rPr>
          <w:rFonts w:hint="eastAsia" w:ascii="宋体" w:hAnsi="宋体" w:cs="宋体"/>
          <w:sz w:val="24"/>
          <w:szCs w:val="24"/>
        </w:rPr>
        <w:t>综合能源或</w:t>
      </w:r>
      <w:r>
        <w:rPr>
          <w:rFonts w:hint="eastAsia" w:ascii="宋体" w:hAnsi="宋体" w:cs="宋体"/>
          <w:sz w:val="24"/>
          <w:szCs w:val="24"/>
          <w:lang w:val="zh-CN"/>
        </w:rPr>
        <w:t>新能源类项目的相关业绩；</w:t>
      </w:r>
    </w:p>
    <w:p w14:paraId="11B74C8B">
      <w:pPr>
        <w:autoSpaceDE w:val="0"/>
        <w:autoSpaceDN w:val="0"/>
        <w:adjustRightInd w:val="0"/>
        <w:spacing w:line="360" w:lineRule="auto"/>
        <w:ind w:firstLine="480" w:firstLineChars="200"/>
        <w:jc w:val="left"/>
        <w:rPr>
          <w:rFonts w:ascii="宋体" w:hAnsi="宋体"/>
          <w:color w:val="000000"/>
          <w:sz w:val="24"/>
          <w:szCs w:val="28"/>
          <w:lang w:val="zh-CN"/>
        </w:rPr>
      </w:pPr>
      <w:r>
        <w:rPr>
          <w:rFonts w:hint="eastAsia" w:ascii="宋体" w:hAnsi="宋体" w:cs="宋体"/>
          <w:sz w:val="24"/>
          <w:szCs w:val="24"/>
          <w:lang w:val="zh-CN"/>
        </w:rPr>
        <w:t>4、近三年内（202</w:t>
      </w:r>
      <w:r>
        <w:rPr>
          <w:rFonts w:hint="eastAsia" w:ascii="宋体" w:hAnsi="宋体" w:cs="宋体"/>
          <w:sz w:val="24"/>
          <w:szCs w:val="24"/>
        </w:rPr>
        <w:t>0</w:t>
      </w:r>
      <w:r>
        <w:rPr>
          <w:rFonts w:hint="eastAsia" w:ascii="宋体" w:hAnsi="宋体" w:cs="宋体"/>
          <w:sz w:val="24"/>
          <w:szCs w:val="24"/>
          <w:lang w:val="zh-CN"/>
        </w:rPr>
        <w:t>年1月1日至今）投标人或其法定代表人</w:t>
      </w:r>
      <w:r>
        <w:rPr>
          <w:rFonts w:hint="eastAsia" w:ascii="宋体" w:hAnsi="宋体"/>
          <w:color w:val="000000"/>
          <w:sz w:val="24"/>
          <w:szCs w:val="28"/>
          <w:lang w:val="zh-CN"/>
        </w:rPr>
        <w:t>未被人民法院判决中记录行贿行为或未被人民检察院/中华人民共和国国家监察委员会列入行贿犯罪档案的（自行查询裁判文书网，投标人须承诺无行贿行为记录并加盖公章，承诺书内容以上内容，格式自拟）；</w:t>
      </w:r>
    </w:p>
    <w:p w14:paraId="53C9C7BC">
      <w:pPr>
        <w:autoSpaceDE w:val="0"/>
        <w:autoSpaceDN w:val="0"/>
        <w:adjustRightInd w:val="0"/>
        <w:spacing w:line="360" w:lineRule="auto"/>
        <w:ind w:firstLine="480" w:firstLineChars="200"/>
        <w:jc w:val="left"/>
        <w:rPr>
          <w:rFonts w:ascii="宋体" w:hAnsi="宋体"/>
          <w:color w:val="000000"/>
          <w:sz w:val="24"/>
          <w:szCs w:val="28"/>
          <w:lang w:val="zh-CN"/>
        </w:rPr>
      </w:pPr>
      <w:r>
        <w:rPr>
          <w:rFonts w:ascii="宋体" w:hAnsi="宋体"/>
          <w:color w:val="000000"/>
          <w:sz w:val="24"/>
          <w:szCs w:val="28"/>
        </w:rPr>
        <w:t>5</w:t>
      </w:r>
      <w:r>
        <w:rPr>
          <w:rFonts w:hint="eastAsia" w:ascii="宋体" w:hAnsi="宋体"/>
          <w:color w:val="000000"/>
          <w:sz w:val="24"/>
          <w:szCs w:val="28"/>
          <w:lang w:val="zh-CN"/>
        </w:rPr>
        <w:t>、投标人须具有本地化服务能力；</w:t>
      </w:r>
    </w:p>
    <w:p w14:paraId="30E0A274">
      <w:pPr>
        <w:autoSpaceDE w:val="0"/>
        <w:autoSpaceDN w:val="0"/>
        <w:adjustRightInd w:val="0"/>
        <w:spacing w:line="360" w:lineRule="auto"/>
        <w:ind w:firstLine="480" w:firstLineChars="200"/>
        <w:jc w:val="left"/>
        <w:rPr>
          <w:rFonts w:hint="eastAsia" w:ascii="宋体" w:hAnsi="宋体"/>
          <w:color w:val="000000"/>
          <w:sz w:val="24"/>
          <w:szCs w:val="28"/>
          <w:lang w:val="zh-CN"/>
        </w:rPr>
      </w:pPr>
      <w:r>
        <w:rPr>
          <w:rFonts w:ascii="宋体" w:hAnsi="宋体"/>
          <w:color w:val="000000"/>
          <w:sz w:val="24"/>
          <w:szCs w:val="28"/>
        </w:rPr>
        <w:t>6</w:t>
      </w:r>
      <w:r>
        <w:rPr>
          <w:rFonts w:hint="eastAsia" w:ascii="宋体" w:hAnsi="宋体"/>
          <w:color w:val="000000"/>
          <w:sz w:val="24"/>
          <w:szCs w:val="28"/>
          <w:lang w:val="zh-CN"/>
        </w:rPr>
        <w:t>、投标人须进行现场踏勘，并取得招标方主管单位开具的踏勘证明方可参加投标；</w:t>
      </w:r>
    </w:p>
    <w:p w14:paraId="784F6302">
      <w:pPr>
        <w:autoSpaceDE w:val="0"/>
        <w:autoSpaceDN w:val="0"/>
        <w:adjustRightInd w:val="0"/>
        <w:spacing w:line="360" w:lineRule="auto"/>
        <w:jc w:val="left"/>
        <w:rPr>
          <w:rFonts w:ascii="宋体" w:hAnsi="宋体" w:cs="宋体"/>
          <w:b/>
          <w:color w:val="000000"/>
          <w:sz w:val="24"/>
          <w:szCs w:val="28"/>
          <w:lang w:val="zh-CN"/>
        </w:rPr>
      </w:pPr>
      <w:r>
        <w:rPr>
          <w:rFonts w:hint="eastAsia" w:ascii="宋体" w:hAnsi="宋体" w:cs="宋体"/>
          <w:b/>
          <w:color w:val="000000"/>
          <w:sz w:val="24"/>
          <w:szCs w:val="28"/>
          <w:lang w:val="zh-CN"/>
        </w:rPr>
        <w:t>三、招标文件获取方式：</w:t>
      </w:r>
    </w:p>
    <w:p w14:paraId="6C0BA0A0">
      <w:pPr>
        <w:autoSpaceDE w:val="0"/>
        <w:autoSpaceDN w:val="0"/>
        <w:adjustRightInd w:val="0"/>
        <w:spacing w:line="360" w:lineRule="auto"/>
        <w:ind w:firstLine="480" w:firstLineChars="200"/>
        <w:jc w:val="left"/>
        <w:rPr>
          <w:rFonts w:ascii="宋体" w:hAnsi="宋体"/>
          <w:b/>
          <w:bCs/>
          <w:color w:val="0000FF"/>
          <w:sz w:val="24"/>
          <w:szCs w:val="28"/>
          <w:lang w:val="zh-CN"/>
        </w:rPr>
      </w:pPr>
      <w:r>
        <w:rPr>
          <w:rFonts w:hint="eastAsia" w:ascii="宋体" w:hAnsi="宋体"/>
          <w:color w:val="000000"/>
          <w:sz w:val="24"/>
          <w:szCs w:val="28"/>
          <w:lang w:val="zh-CN"/>
        </w:rPr>
        <w:t>1.时间：</w:t>
      </w:r>
      <w:r>
        <w:rPr>
          <w:rFonts w:hint="eastAsia" w:ascii="宋体" w:hAnsi="宋体"/>
          <w:b/>
          <w:bCs/>
          <w:color w:val="0000FF"/>
          <w:sz w:val="24"/>
          <w:szCs w:val="28"/>
          <w:lang w:val="zh-CN"/>
        </w:rPr>
        <w:t>2023年0</w:t>
      </w:r>
      <w:r>
        <w:rPr>
          <w:rFonts w:hint="eastAsia" w:ascii="宋体" w:hAnsi="宋体"/>
          <w:b/>
          <w:bCs/>
          <w:color w:val="0000FF"/>
          <w:sz w:val="24"/>
          <w:szCs w:val="28"/>
          <w:lang w:val="en-US" w:eastAsia="zh-CN"/>
        </w:rPr>
        <w:t>6</w:t>
      </w:r>
      <w:r>
        <w:rPr>
          <w:rFonts w:hint="eastAsia" w:ascii="宋体" w:hAnsi="宋体"/>
          <w:b/>
          <w:bCs/>
          <w:color w:val="0000FF"/>
          <w:sz w:val="24"/>
          <w:szCs w:val="28"/>
          <w:lang w:val="zh-CN"/>
        </w:rPr>
        <w:t>月</w:t>
      </w:r>
      <w:r>
        <w:rPr>
          <w:rFonts w:hint="eastAsia" w:ascii="宋体" w:hAnsi="宋体"/>
          <w:b/>
          <w:bCs/>
          <w:color w:val="0000FF"/>
          <w:sz w:val="24"/>
          <w:szCs w:val="28"/>
          <w:lang w:val="en-US" w:eastAsia="zh-CN"/>
        </w:rPr>
        <w:t>28</w:t>
      </w:r>
      <w:r>
        <w:rPr>
          <w:rFonts w:hint="eastAsia" w:ascii="宋体" w:hAnsi="宋体"/>
          <w:b/>
          <w:bCs/>
          <w:color w:val="0000FF"/>
          <w:sz w:val="24"/>
          <w:szCs w:val="28"/>
          <w:lang w:val="zh-CN"/>
        </w:rPr>
        <w:t>日至2023年0</w:t>
      </w:r>
      <w:r>
        <w:rPr>
          <w:rFonts w:hint="eastAsia" w:ascii="宋体" w:hAnsi="宋体"/>
          <w:b/>
          <w:bCs/>
          <w:color w:val="0000FF"/>
          <w:sz w:val="24"/>
          <w:szCs w:val="28"/>
          <w:lang w:val="en-US" w:eastAsia="zh-CN"/>
        </w:rPr>
        <w:t>7</w:t>
      </w:r>
      <w:r>
        <w:rPr>
          <w:rFonts w:hint="eastAsia" w:ascii="宋体" w:hAnsi="宋体"/>
          <w:b/>
          <w:bCs/>
          <w:color w:val="0000FF"/>
          <w:sz w:val="24"/>
          <w:szCs w:val="28"/>
          <w:lang w:val="zh-CN"/>
        </w:rPr>
        <w:t>月</w:t>
      </w:r>
      <w:r>
        <w:rPr>
          <w:rFonts w:hint="eastAsia" w:ascii="宋体" w:hAnsi="宋体"/>
          <w:b/>
          <w:bCs/>
          <w:color w:val="0000FF"/>
          <w:sz w:val="24"/>
          <w:szCs w:val="28"/>
          <w:lang w:val="en-US" w:eastAsia="zh-CN"/>
        </w:rPr>
        <w:t>05</w:t>
      </w:r>
      <w:r>
        <w:rPr>
          <w:rFonts w:hint="eastAsia" w:ascii="宋体" w:hAnsi="宋体"/>
          <w:b/>
          <w:bCs/>
          <w:color w:val="0000FF"/>
          <w:sz w:val="24"/>
          <w:szCs w:val="28"/>
          <w:lang w:val="zh-CN"/>
        </w:rPr>
        <w:t>日</w:t>
      </w:r>
    </w:p>
    <w:p w14:paraId="4BD6B29E">
      <w:pPr>
        <w:autoSpaceDE w:val="0"/>
        <w:autoSpaceDN w:val="0"/>
        <w:adjustRightInd w:val="0"/>
        <w:spacing w:line="360" w:lineRule="auto"/>
        <w:ind w:firstLine="480" w:firstLineChars="200"/>
        <w:jc w:val="left"/>
        <w:rPr>
          <w:rFonts w:ascii="宋体" w:hAnsi="宋体"/>
          <w:color w:val="000000"/>
          <w:sz w:val="24"/>
          <w:szCs w:val="28"/>
          <w:lang w:val="zh-CN"/>
        </w:rPr>
      </w:pPr>
      <w:r>
        <w:rPr>
          <w:rFonts w:hint="eastAsia" w:ascii="宋体" w:hAnsi="宋体"/>
          <w:color w:val="000000"/>
          <w:sz w:val="24"/>
          <w:szCs w:val="28"/>
          <w:lang w:val="zh-CN"/>
        </w:rPr>
        <w:t>2.地点：安徽省第二人民医院C楼G层总务处</w:t>
      </w:r>
    </w:p>
    <w:p w14:paraId="0097DE1E">
      <w:pPr>
        <w:autoSpaceDE w:val="0"/>
        <w:autoSpaceDN w:val="0"/>
        <w:adjustRightInd w:val="0"/>
        <w:spacing w:line="360" w:lineRule="auto"/>
        <w:ind w:firstLine="480" w:firstLineChars="200"/>
        <w:jc w:val="left"/>
        <w:rPr>
          <w:rFonts w:hint="eastAsia" w:ascii="宋体" w:hAnsi="宋体"/>
          <w:color w:val="000000"/>
          <w:sz w:val="24"/>
          <w:szCs w:val="28"/>
          <w:lang w:val="zh-CN"/>
        </w:rPr>
      </w:pPr>
      <w:r>
        <w:rPr>
          <w:rFonts w:hint="eastAsia" w:ascii="宋体" w:hAnsi="宋体"/>
          <w:color w:val="000000"/>
          <w:sz w:val="24"/>
          <w:szCs w:val="28"/>
          <w:lang w:val="zh-CN"/>
        </w:rPr>
        <w:t>3.方式：潜在投标人须使用IE浏览器登录安徽省第二人民医院官方网站（www.ahs2y.com)或安徽省第二人民医院C楼G层总务处获取招标文件</w:t>
      </w:r>
    </w:p>
    <w:p w14:paraId="1943387B">
      <w:pPr>
        <w:autoSpaceDE w:val="0"/>
        <w:autoSpaceDN w:val="0"/>
        <w:adjustRightInd w:val="0"/>
        <w:spacing w:line="360" w:lineRule="auto"/>
        <w:jc w:val="left"/>
        <w:rPr>
          <w:rFonts w:ascii="宋体" w:hAnsi="宋体"/>
          <w:b/>
          <w:color w:val="000000"/>
          <w:sz w:val="24"/>
          <w:szCs w:val="28"/>
        </w:rPr>
      </w:pPr>
      <w:r>
        <w:rPr>
          <w:rFonts w:hint="eastAsia" w:ascii="宋体" w:hAnsi="宋体"/>
          <w:b/>
          <w:color w:val="000000"/>
          <w:sz w:val="24"/>
          <w:szCs w:val="28"/>
        </w:rPr>
        <w:t>四、提交投标文件截止时间、开标时间和地点</w:t>
      </w:r>
    </w:p>
    <w:p w14:paraId="3301FE0B">
      <w:pPr>
        <w:autoSpaceDE w:val="0"/>
        <w:autoSpaceDN w:val="0"/>
        <w:adjustRightInd w:val="0"/>
        <w:spacing w:line="360" w:lineRule="auto"/>
        <w:ind w:firstLine="480" w:firstLineChars="200"/>
        <w:jc w:val="left"/>
        <w:rPr>
          <w:rFonts w:ascii="宋体" w:hAnsi="宋体"/>
          <w:color w:val="000000"/>
          <w:sz w:val="24"/>
          <w:szCs w:val="28"/>
          <w:lang w:val="zh-CN"/>
        </w:rPr>
      </w:pPr>
      <w:r>
        <w:rPr>
          <w:rFonts w:hint="eastAsia" w:ascii="宋体" w:hAnsi="宋体"/>
          <w:color w:val="000000"/>
          <w:sz w:val="24"/>
          <w:szCs w:val="28"/>
        </w:rPr>
        <w:t>1.提交投标文件截止时间</w:t>
      </w:r>
      <w:r>
        <w:rPr>
          <w:rFonts w:hint="eastAsia" w:ascii="宋体" w:hAnsi="宋体"/>
          <w:color w:val="000000"/>
          <w:sz w:val="24"/>
          <w:szCs w:val="28"/>
          <w:lang w:val="zh-CN"/>
        </w:rPr>
        <w:t>、开标时间：</w:t>
      </w:r>
      <w:r>
        <w:rPr>
          <w:rFonts w:hint="eastAsia" w:ascii="宋体" w:hAnsi="宋体"/>
          <w:b/>
          <w:bCs/>
          <w:color w:val="0000FF"/>
          <w:sz w:val="24"/>
          <w:szCs w:val="28"/>
          <w:lang w:val="zh-CN"/>
        </w:rPr>
        <w:t>2023年0</w:t>
      </w:r>
      <w:r>
        <w:rPr>
          <w:rFonts w:hint="eastAsia" w:ascii="宋体" w:hAnsi="宋体"/>
          <w:b/>
          <w:bCs/>
          <w:color w:val="0000FF"/>
          <w:sz w:val="24"/>
          <w:szCs w:val="28"/>
          <w:lang w:val="en-US" w:eastAsia="zh-CN"/>
        </w:rPr>
        <w:t>7</w:t>
      </w:r>
      <w:r>
        <w:rPr>
          <w:rFonts w:hint="eastAsia" w:ascii="宋体" w:hAnsi="宋体"/>
          <w:b/>
          <w:bCs/>
          <w:color w:val="0000FF"/>
          <w:sz w:val="24"/>
          <w:szCs w:val="28"/>
          <w:lang w:val="zh-CN"/>
        </w:rPr>
        <w:t>月</w:t>
      </w:r>
      <w:r>
        <w:rPr>
          <w:rFonts w:hint="eastAsia" w:ascii="宋体" w:hAnsi="宋体"/>
          <w:b/>
          <w:bCs/>
          <w:color w:val="0000FF"/>
          <w:sz w:val="24"/>
          <w:szCs w:val="28"/>
          <w:lang w:val="en-US" w:eastAsia="zh-CN"/>
        </w:rPr>
        <w:t>06</w:t>
      </w:r>
      <w:r>
        <w:rPr>
          <w:rFonts w:hint="eastAsia" w:ascii="宋体" w:hAnsi="宋体"/>
          <w:b/>
          <w:bCs/>
          <w:color w:val="0000FF"/>
          <w:sz w:val="24"/>
          <w:szCs w:val="28"/>
          <w:lang w:val="zh-CN"/>
        </w:rPr>
        <w:t>日</w:t>
      </w:r>
      <w:r>
        <w:rPr>
          <w:rFonts w:hint="eastAsia" w:ascii="宋体" w:hAnsi="宋体"/>
          <w:b/>
          <w:bCs/>
          <w:color w:val="0000FF"/>
          <w:sz w:val="24"/>
          <w:szCs w:val="28"/>
          <w:lang w:val="en-US" w:eastAsia="zh-CN"/>
        </w:rPr>
        <w:t>9</w:t>
      </w:r>
      <w:r>
        <w:rPr>
          <w:rFonts w:hint="eastAsia" w:ascii="宋体" w:hAnsi="宋体"/>
          <w:b/>
          <w:bCs/>
          <w:color w:val="0000FF"/>
          <w:sz w:val="24"/>
          <w:szCs w:val="28"/>
          <w:lang w:val="zh-CN"/>
        </w:rPr>
        <w:t>点</w:t>
      </w:r>
      <w:r>
        <w:rPr>
          <w:rFonts w:hint="eastAsia" w:ascii="宋体" w:hAnsi="宋体"/>
          <w:b/>
          <w:bCs/>
          <w:color w:val="0000FF"/>
          <w:sz w:val="24"/>
          <w:szCs w:val="28"/>
          <w:lang w:val="en-US" w:eastAsia="zh-CN"/>
        </w:rPr>
        <w:t>00</w:t>
      </w:r>
      <w:r>
        <w:rPr>
          <w:rFonts w:hint="eastAsia" w:ascii="宋体" w:hAnsi="宋体"/>
          <w:b/>
          <w:bCs/>
          <w:color w:val="0000FF"/>
          <w:sz w:val="24"/>
          <w:szCs w:val="28"/>
          <w:lang w:val="zh-CN"/>
        </w:rPr>
        <w:t>分</w:t>
      </w:r>
      <w:r>
        <w:rPr>
          <w:rFonts w:hint="eastAsia" w:ascii="宋体" w:hAnsi="宋体"/>
          <w:color w:val="000000"/>
          <w:sz w:val="24"/>
          <w:szCs w:val="28"/>
          <w:lang w:val="zh-CN"/>
        </w:rPr>
        <w:t>（北京时间）</w:t>
      </w:r>
    </w:p>
    <w:p w14:paraId="1DDC0DC6">
      <w:pPr>
        <w:autoSpaceDE w:val="0"/>
        <w:autoSpaceDN w:val="0"/>
        <w:adjustRightInd w:val="0"/>
        <w:spacing w:line="360" w:lineRule="auto"/>
        <w:ind w:firstLine="480" w:firstLineChars="200"/>
        <w:jc w:val="left"/>
        <w:rPr>
          <w:rFonts w:ascii="宋体" w:hAnsi="宋体"/>
          <w:color w:val="000000"/>
          <w:sz w:val="24"/>
          <w:szCs w:val="28"/>
          <w:lang w:val="zh-CN"/>
        </w:rPr>
      </w:pPr>
      <w:r>
        <w:rPr>
          <w:rFonts w:hint="eastAsia" w:ascii="宋体" w:hAnsi="宋体"/>
          <w:color w:val="000000"/>
          <w:sz w:val="24"/>
          <w:szCs w:val="28"/>
          <w:lang w:val="zh-CN"/>
        </w:rPr>
        <w:t>2.开标地点：安徽省第二人民医院C楼G层总务处</w:t>
      </w:r>
    </w:p>
    <w:p w14:paraId="6757990E">
      <w:pPr>
        <w:widowControl/>
        <w:overflowPunct w:val="0"/>
        <w:autoSpaceDE w:val="0"/>
        <w:autoSpaceDN w:val="0"/>
        <w:adjustRightInd w:val="0"/>
        <w:spacing w:line="360" w:lineRule="auto"/>
        <w:jc w:val="left"/>
        <w:rPr>
          <w:rFonts w:ascii="宋体" w:hAnsi="宋体"/>
          <w:b/>
          <w:color w:val="000000"/>
          <w:sz w:val="24"/>
          <w:szCs w:val="28"/>
        </w:rPr>
      </w:pPr>
      <w:r>
        <w:rPr>
          <w:rFonts w:hint="eastAsia" w:ascii="宋体" w:hAnsi="宋体"/>
          <w:b/>
          <w:color w:val="000000"/>
          <w:sz w:val="24"/>
          <w:szCs w:val="28"/>
        </w:rPr>
        <w:t>五</w:t>
      </w:r>
      <w:r>
        <w:rPr>
          <w:rFonts w:ascii="宋体" w:hAnsi="宋体"/>
          <w:b/>
          <w:color w:val="000000"/>
          <w:sz w:val="24"/>
          <w:szCs w:val="28"/>
        </w:rPr>
        <w:t>、</w:t>
      </w:r>
      <w:r>
        <w:rPr>
          <w:rFonts w:hint="eastAsia" w:ascii="宋体" w:hAnsi="宋体"/>
          <w:b/>
          <w:color w:val="000000"/>
          <w:sz w:val="24"/>
          <w:szCs w:val="28"/>
        </w:rPr>
        <w:t>其他补充事宜：</w:t>
      </w:r>
    </w:p>
    <w:p w14:paraId="1D6E346E">
      <w:pPr>
        <w:wordWrap w:val="0"/>
        <w:autoSpaceDE w:val="0"/>
        <w:autoSpaceDN w:val="0"/>
        <w:adjustRightInd w:val="0"/>
        <w:spacing w:line="360" w:lineRule="auto"/>
        <w:ind w:firstLine="424" w:firstLineChars="177"/>
        <w:jc w:val="left"/>
        <w:rPr>
          <w:rFonts w:ascii="宋体" w:hAnsi="宋体"/>
          <w:color w:val="000000"/>
          <w:sz w:val="24"/>
          <w:szCs w:val="28"/>
        </w:rPr>
      </w:pPr>
      <w:r>
        <w:rPr>
          <w:rFonts w:hint="eastAsia" w:ascii="宋体" w:hAnsi="宋体"/>
          <w:color w:val="000000"/>
          <w:sz w:val="24"/>
          <w:szCs w:val="28"/>
        </w:rPr>
        <w:t>本项目招标结果的相关信息将在安徽省第二人民医院网站</w:t>
      </w:r>
      <w:r>
        <w:rPr>
          <w:rFonts w:hint="eastAsia" w:ascii="宋体" w:hAnsi="宋体"/>
          <w:color w:val="000000"/>
          <w:sz w:val="24"/>
          <w:szCs w:val="28"/>
          <w:lang w:eastAsia="zh-CN"/>
        </w:rPr>
        <w:t>（</w:t>
      </w:r>
      <w:r>
        <w:rPr>
          <w:rFonts w:hint="eastAsia" w:ascii="宋体" w:hAnsi="宋体"/>
          <w:color w:val="000000"/>
          <w:sz w:val="24"/>
          <w:szCs w:val="28"/>
        </w:rPr>
        <w:t>www.ahs2y.com</w:t>
      </w:r>
      <w:r>
        <w:rPr>
          <w:rFonts w:hint="eastAsia" w:ascii="宋体" w:hAnsi="宋体"/>
          <w:color w:val="000000"/>
          <w:sz w:val="24"/>
          <w:szCs w:val="28"/>
          <w:lang w:eastAsia="zh-CN"/>
        </w:rPr>
        <w:t>)</w:t>
      </w:r>
      <w:r>
        <w:rPr>
          <w:rFonts w:hint="eastAsia" w:ascii="宋体" w:hAnsi="宋体"/>
          <w:color w:val="000000"/>
          <w:sz w:val="24"/>
          <w:szCs w:val="28"/>
        </w:rPr>
        <w:t>上公布，请投标人随时关注网站相关信息。</w:t>
      </w:r>
    </w:p>
    <w:p w14:paraId="47B69FBD">
      <w:pPr>
        <w:autoSpaceDE w:val="0"/>
        <w:autoSpaceDN w:val="0"/>
        <w:adjustRightInd w:val="0"/>
        <w:spacing w:line="360" w:lineRule="auto"/>
        <w:jc w:val="left"/>
        <w:rPr>
          <w:rFonts w:ascii="宋体" w:hAnsi="宋体"/>
          <w:b/>
          <w:color w:val="000000"/>
          <w:sz w:val="24"/>
          <w:szCs w:val="28"/>
        </w:rPr>
      </w:pPr>
      <w:r>
        <w:rPr>
          <w:rFonts w:hint="eastAsia" w:ascii="宋体" w:hAnsi="宋体"/>
          <w:b/>
          <w:color w:val="000000"/>
          <w:sz w:val="24"/>
          <w:szCs w:val="28"/>
        </w:rPr>
        <w:t>六</w:t>
      </w:r>
      <w:r>
        <w:rPr>
          <w:rFonts w:ascii="宋体" w:hAnsi="宋体"/>
          <w:b/>
          <w:color w:val="000000"/>
          <w:sz w:val="24"/>
          <w:szCs w:val="28"/>
        </w:rPr>
        <w:t>、联系方式</w:t>
      </w:r>
    </w:p>
    <w:p w14:paraId="323DA36F">
      <w:pPr>
        <w:wordWrap w:val="0"/>
        <w:autoSpaceDE w:val="0"/>
        <w:autoSpaceDN w:val="0"/>
        <w:adjustRightInd w:val="0"/>
        <w:spacing w:line="360" w:lineRule="auto"/>
        <w:ind w:firstLine="424" w:firstLineChars="177"/>
        <w:jc w:val="left"/>
        <w:rPr>
          <w:rFonts w:hint="eastAsia" w:ascii="宋体" w:hAnsi="宋体"/>
          <w:color w:val="000000"/>
          <w:sz w:val="24"/>
          <w:szCs w:val="28"/>
          <w:lang w:val="en-US" w:eastAsia="zh-CN"/>
        </w:rPr>
      </w:pPr>
      <w:r>
        <w:rPr>
          <w:rFonts w:hint="eastAsia" w:ascii="宋体" w:hAnsi="宋体"/>
          <w:color w:val="000000"/>
          <w:sz w:val="24"/>
          <w:szCs w:val="28"/>
          <w:lang w:val="en-US" w:eastAsia="zh-CN"/>
        </w:rPr>
        <w:t>联系人：许老师</w:t>
      </w:r>
    </w:p>
    <w:p w14:paraId="5BF4BFD2">
      <w:pPr>
        <w:wordWrap w:val="0"/>
        <w:autoSpaceDE w:val="0"/>
        <w:autoSpaceDN w:val="0"/>
        <w:adjustRightInd w:val="0"/>
        <w:spacing w:line="360" w:lineRule="auto"/>
        <w:ind w:firstLine="424" w:firstLineChars="177"/>
        <w:jc w:val="left"/>
        <w:rPr>
          <w:rFonts w:hint="eastAsia" w:ascii="宋体" w:hAnsi="宋体"/>
          <w:color w:val="000000"/>
          <w:sz w:val="24"/>
          <w:szCs w:val="28"/>
          <w:lang w:eastAsia="zh-CN"/>
        </w:rPr>
      </w:pPr>
      <w:r>
        <w:rPr>
          <w:rFonts w:hint="eastAsia" w:ascii="宋体" w:hAnsi="宋体"/>
          <w:color w:val="000000"/>
          <w:sz w:val="24"/>
          <w:szCs w:val="28"/>
        </w:rPr>
        <w:t>名    称</w:t>
      </w:r>
      <w:r>
        <w:rPr>
          <w:rFonts w:hint="eastAsia" w:ascii="宋体" w:hAnsi="宋体"/>
          <w:color w:val="000000"/>
          <w:sz w:val="24"/>
          <w:szCs w:val="28"/>
          <w:lang w:eastAsia="zh-CN"/>
        </w:rPr>
        <w:t>：</w:t>
      </w:r>
      <w:r>
        <w:rPr>
          <w:rFonts w:hint="eastAsia" w:ascii="宋体" w:hAnsi="宋体"/>
          <w:color w:val="000000"/>
          <w:sz w:val="24"/>
          <w:szCs w:val="28"/>
        </w:rPr>
        <w:t xml:space="preserve"> 安徽省第二人民医院</w:t>
      </w:r>
      <w:r>
        <w:rPr>
          <w:rFonts w:hint="eastAsia" w:ascii="宋体" w:hAnsi="宋体"/>
          <w:color w:val="000000"/>
          <w:sz w:val="24"/>
          <w:szCs w:val="28"/>
          <w:lang w:eastAsia="zh-CN"/>
        </w:rPr>
        <w:t>总务处</w:t>
      </w:r>
    </w:p>
    <w:p w14:paraId="203E18AA">
      <w:pPr>
        <w:wordWrap w:val="0"/>
        <w:autoSpaceDE w:val="0"/>
        <w:autoSpaceDN w:val="0"/>
        <w:adjustRightInd w:val="0"/>
        <w:spacing w:line="360" w:lineRule="auto"/>
        <w:ind w:firstLine="424" w:firstLineChars="177"/>
        <w:jc w:val="left"/>
        <w:rPr>
          <w:rFonts w:hint="default" w:ascii="宋体" w:hAnsi="宋体"/>
          <w:color w:val="000000"/>
          <w:sz w:val="24"/>
          <w:szCs w:val="28"/>
          <w:lang w:val="en-US" w:eastAsia="zh-CN"/>
        </w:rPr>
      </w:pPr>
      <w:r>
        <w:rPr>
          <w:rFonts w:hint="eastAsia" w:ascii="宋体" w:hAnsi="宋体"/>
          <w:color w:val="000000"/>
          <w:sz w:val="24"/>
          <w:szCs w:val="28"/>
        </w:rPr>
        <w:t>联系方式</w:t>
      </w:r>
      <w:r>
        <w:rPr>
          <w:rFonts w:hint="eastAsia" w:ascii="宋体" w:hAnsi="宋体"/>
          <w:color w:val="000000"/>
          <w:sz w:val="24"/>
          <w:szCs w:val="28"/>
          <w:lang w:eastAsia="zh-CN"/>
        </w:rPr>
        <w:t>：</w:t>
      </w:r>
      <w:r>
        <w:rPr>
          <w:rFonts w:hint="eastAsia" w:ascii="宋体" w:hAnsi="宋体"/>
          <w:color w:val="000000"/>
          <w:sz w:val="24"/>
          <w:szCs w:val="28"/>
          <w:lang w:val="en-US" w:eastAsia="zh-CN"/>
        </w:rPr>
        <w:t>0551-64286081</w:t>
      </w:r>
    </w:p>
    <w:p w14:paraId="64B5FE41">
      <w:pPr>
        <w:wordWrap w:val="0"/>
        <w:autoSpaceDE w:val="0"/>
        <w:autoSpaceDN w:val="0"/>
        <w:adjustRightInd w:val="0"/>
        <w:spacing w:line="360" w:lineRule="auto"/>
        <w:ind w:firstLine="424" w:firstLineChars="177"/>
        <w:jc w:val="left"/>
        <w:rPr>
          <w:rFonts w:ascii="宋体" w:hAnsi="宋体"/>
          <w:sz w:val="24"/>
          <w:szCs w:val="28"/>
        </w:rPr>
      </w:pPr>
      <w:r>
        <w:rPr>
          <w:rFonts w:hint="eastAsia" w:ascii="宋体" w:hAnsi="宋体"/>
          <w:color w:val="000000"/>
          <w:sz w:val="24"/>
          <w:szCs w:val="28"/>
        </w:rPr>
        <w:t>地    址</w:t>
      </w:r>
      <w:r>
        <w:rPr>
          <w:rFonts w:hint="eastAsia" w:ascii="宋体" w:hAnsi="宋体"/>
          <w:color w:val="000000"/>
          <w:sz w:val="24"/>
          <w:szCs w:val="28"/>
          <w:lang w:eastAsia="zh-CN"/>
        </w:rPr>
        <w:t>：</w:t>
      </w:r>
      <w:r>
        <w:rPr>
          <w:rFonts w:hint="eastAsia" w:ascii="宋体" w:hAnsi="宋体"/>
          <w:color w:val="000000"/>
          <w:sz w:val="24"/>
          <w:szCs w:val="28"/>
        </w:rPr>
        <w:t xml:space="preserve"> 合肥市北二环砀山路1868号 </w:t>
      </w:r>
    </w:p>
    <w:p w14:paraId="51B7AF82">
      <w:pPr>
        <w:autoSpaceDE w:val="0"/>
        <w:autoSpaceDN w:val="0"/>
        <w:adjustRightInd w:val="0"/>
        <w:spacing w:line="360" w:lineRule="auto"/>
        <w:jc w:val="right"/>
        <w:rPr>
          <w:rFonts w:ascii="宋体" w:hAnsi="宋体"/>
          <w:sz w:val="24"/>
          <w:szCs w:val="28"/>
        </w:rPr>
      </w:pPr>
      <w:r>
        <w:rPr>
          <w:rFonts w:hint="eastAsia" w:ascii="宋体" w:hAnsi="宋体"/>
          <w:sz w:val="24"/>
          <w:szCs w:val="28"/>
        </w:rPr>
        <w:t xml:space="preserve">                         安徽省第二人民医院</w:t>
      </w:r>
    </w:p>
    <w:p w14:paraId="2A7C882D">
      <w:pPr>
        <w:autoSpaceDE w:val="0"/>
        <w:autoSpaceDN w:val="0"/>
        <w:adjustRightInd w:val="0"/>
        <w:spacing w:line="360" w:lineRule="auto"/>
        <w:ind w:right="240"/>
        <w:jc w:val="right"/>
        <w:rPr>
          <w:rFonts w:ascii="宋体" w:hAnsi="宋体"/>
          <w:color w:val="FF0000"/>
          <w:sz w:val="24"/>
          <w:szCs w:val="28"/>
        </w:rPr>
      </w:pPr>
      <w:r>
        <w:rPr>
          <w:rFonts w:hint="eastAsia" w:ascii="宋体" w:hAnsi="宋体"/>
          <w:color w:val="000000"/>
          <w:sz w:val="24"/>
          <w:szCs w:val="28"/>
        </w:rPr>
        <w:t>2023年</w:t>
      </w:r>
      <w:r>
        <w:rPr>
          <w:rFonts w:hint="eastAsia" w:ascii="宋体" w:hAnsi="宋体"/>
          <w:color w:val="000000"/>
          <w:sz w:val="24"/>
          <w:szCs w:val="28"/>
          <w:lang w:val="en-US" w:eastAsia="zh-CN"/>
        </w:rPr>
        <w:t>6</w:t>
      </w:r>
      <w:r>
        <w:rPr>
          <w:rFonts w:hint="eastAsia" w:ascii="宋体" w:hAnsi="宋体"/>
          <w:color w:val="000000"/>
          <w:sz w:val="24"/>
          <w:szCs w:val="28"/>
        </w:rPr>
        <w:t>月</w:t>
      </w:r>
      <w:r>
        <w:rPr>
          <w:rFonts w:hint="eastAsia" w:ascii="宋体" w:hAnsi="宋体"/>
          <w:color w:val="000000"/>
          <w:sz w:val="24"/>
          <w:szCs w:val="28"/>
          <w:lang w:val="en-US" w:eastAsia="zh-CN"/>
        </w:rPr>
        <w:t>28</w:t>
      </w:r>
      <w:r>
        <w:rPr>
          <w:rFonts w:hint="eastAsia" w:ascii="宋体" w:hAnsi="宋体"/>
          <w:color w:val="000000"/>
          <w:sz w:val="24"/>
          <w:szCs w:val="28"/>
        </w:rPr>
        <w:t>日</w:t>
      </w:r>
      <w:r>
        <w:rPr>
          <w:rFonts w:ascii="宋体" w:hAnsi="宋体"/>
          <w:color w:val="000000"/>
        </w:rPr>
        <w:br w:type="page"/>
      </w:r>
      <w:bookmarkStart w:id="9" w:name="_Toc72"/>
      <w:r>
        <w:rPr>
          <w:rFonts w:hint="eastAsia" w:ascii="宋体" w:hAnsi="宋体"/>
          <w:color w:val="000000"/>
        </w:rPr>
        <w:t>第二章  投标人须知前附表</w:t>
      </w:r>
      <w:bookmarkEnd w:id="8"/>
      <w:bookmarkEnd w:id="9"/>
    </w:p>
    <w:tbl>
      <w:tblPr>
        <w:tblStyle w:val="51"/>
        <w:tblW w:w="9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193"/>
        <w:gridCol w:w="6716"/>
        <w:gridCol w:w="6"/>
      </w:tblGrid>
      <w:tr w14:paraId="00C8D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6703494">
            <w:pPr>
              <w:adjustRightInd w:val="0"/>
              <w:snapToGrid w:val="0"/>
              <w:spacing w:line="360" w:lineRule="auto"/>
              <w:ind w:right="-358"/>
              <w:rPr>
                <w:rFonts w:ascii="宋体" w:hAnsi="宋体"/>
                <w:b/>
                <w:color w:val="000000"/>
                <w:sz w:val="24"/>
                <w:szCs w:val="24"/>
              </w:rPr>
            </w:pPr>
            <w:bookmarkStart w:id="10" w:name="_Hlt509650027"/>
            <w:bookmarkEnd w:id="10"/>
            <w:bookmarkStart w:id="11" w:name="_Hlt519045778"/>
            <w:bookmarkEnd w:id="11"/>
            <w:r>
              <w:rPr>
                <w:rFonts w:hint="eastAsia" w:ascii="宋体" w:hAnsi="宋体"/>
                <w:b/>
                <w:color w:val="000000"/>
                <w:sz w:val="24"/>
                <w:szCs w:val="24"/>
              </w:rPr>
              <w:t>序号</w:t>
            </w:r>
          </w:p>
        </w:tc>
        <w:tc>
          <w:tcPr>
            <w:tcW w:w="2193" w:type="dxa"/>
            <w:tcBorders>
              <w:top w:val="single" w:color="auto" w:sz="4" w:space="0"/>
              <w:left w:val="single" w:color="auto" w:sz="4" w:space="0"/>
              <w:bottom w:val="single" w:color="auto" w:sz="4" w:space="0"/>
              <w:right w:val="single" w:color="auto" w:sz="4" w:space="0"/>
            </w:tcBorders>
            <w:vAlign w:val="center"/>
          </w:tcPr>
          <w:p w14:paraId="24DCE849">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内    容</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74F8E6D9">
            <w:pPr>
              <w:tabs>
                <w:tab w:val="left" w:pos="1180"/>
              </w:tabs>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说明与要求</w:t>
            </w:r>
          </w:p>
        </w:tc>
      </w:tr>
      <w:tr w14:paraId="7EAD0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B3DA86E">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w:t>
            </w:r>
          </w:p>
        </w:tc>
        <w:tc>
          <w:tcPr>
            <w:tcW w:w="2193" w:type="dxa"/>
            <w:tcBorders>
              <w:top w:val="single" w:color="auto" w:sz="4" w:space="0"/>
              <w:left w:val="single" w:color="auto" w:sz="4" w:space="0"/>
              <w:bottom w:val="single" w:color="auto" w:sz="4" w:space="0"/>
              <w:right w:val="single" w:color="auto" w:sz="4" w:space="0"/>
            </w:tcBorders>
            <w:vAlign w:val="center"/>
          </w:tcPr>
          <w:p w14:paraId="73E7F753">
            <w:pPr>
              <w:adjustRightInd w:val="0"/>
              <w:snapToGrid w:val="0"/>
              <w:spacing w:line="360" w:lineRule="auto"/>
              <w:rPr>
                <w:rFonts w:ascii="宋体" w:hAnsi="宋体"/>
                <w:color w:val="000000"/>
                <w:sz w:val="24"/>
                <w:szCs w:val="24"/>
              </w:rPr>
            </w:pPr>
            <w:r>
              <w:rPr>
                <w:rFonts w:hint="eastAsia" w:ascii="宋体" w:hAnsi="宋体"/>
                <w:color w:val="000000"/>
                <w:sz w:val="24"/>
                <w:szCs w:val="24"/>
              </w:rPr>
              <w:t>项目名称</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A0D594A">
            <w:pPr>
              <w:tabs>
                <w:tab w:val="left" w:pos="1180"/>
              </w:tabs>
              <w:adjustRightInd w:val="0"/>
              <w:snapToGrid w:val="0"/>
              <w:spacing w:line="360" w:lineRule="auto"/>
              <w:rPr>
                <w:rFonts w:ascii="宋体" w:hAnsi="宋体"/>
                <w:color w:val="FF0000"/>
                <w:sz w:val="24"/>
                <w:szCs w:val="24"/>
              </w:rPr>
            </w:pPr>
            <w:r>
              <w:rPr>
                <w:rFonts w:hint="eastAsia" w:ascii="宋体" w:hAnsi="宋体"/>
                <w:sz w:val="24"/>
                <w:szCs w:val="24"/>
              </w:rPr>
              <w:t>详见招标公告</w:t>
            </w:r>
          </w:p>
        </w:tc>
      </w:tr>
      <w:tr w14:paraId="5EBCB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B7325DF">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w:t>
            </w:r>
          </w:p>
        </w:tc>
        <w:tc>
          <w:tcPr>
            <w:tcW w:w="2193" w:type="dxa"/>
            <w:tcBorders>
              <w:top w:val="single" w:color="auto" w:sz="4" w:space="0"/>
              <w:left w:val="single" w:color="auto" w:sz="4" w:space="0"/>
              <w:bottom w:val="single" w:color="auto" w:sz="4" w:space="0"/>
              <w:right w:val="single" w:color="auto" w:sz="4" w:space="0"/>
            </w:tcBorders>
            <w:vAlign w:val="center"/>
          </w:tcPr>
          <w:p w14:paraId="63EBD141">
            <w:pPr>
              <w:adjustRightInd w:val="0"/>
              <w:snapToGrid w:val="0"/>
              <w:spacing w:line="360" w:lineRule="auto"/>
              <w:rPr>
                <w:rFonts w:ascii="宋体" w:hAnsi="宋体"/>
                <w:color w:val="000000"/>
                <w:sz w:val="24"/>
                <w:szCs w:val="24"/>
              </w:rPr>
            </w:pPr>
            <w:r>
              <w:rPr>
                <w:rFonts w:hint="eastAsia" w:ascii="宋体" w:hAnsi="宋体"/>
                <w:color w:val="000000"/>
                <w:sz w:val="24"/>
                <w:szCs w:val="24"/>
              </w:rPr>
              <w:t>招标人</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4B3406D9">
            <w:pPr>
              <w:spacing w:line="360" w:lineRule="auto"/>
              <w:rPr>
                <w:rFonts w:ascii="宋体" w:hAnsi="宋体" w:cs="宋体"/>
                <w:color w:val="000000"/>
                <w:sz w:val="24"/>
                <w:szCs w:val="28"/>
              </w:rPr>
            </w:pPr>
            <w:r>
              <w:rPr>
                <w:rFonts w:hint="eastAsia" w:ascii="宋体" w:hAnsi="宋体"/>
                <w:sz w:val="24"/>
                <w:szCs w:val="24"/>
              </w:rPr>
              <w:t>详见招标公告</w:t>
            </w:r>
          </w:p>
        </w:tc>
      </w:tr>
      <w:tr w14:paraId="33F77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6461512">
            <w:pPr>
              <w:adjustRightInd w:val="0"/>
              <w:snapToGrid w:val="0"/>
              <w:spacing w:line="360" w:lineRule="auto"/>
              <w:jc w:val="center"/>
              <w:rPr>
                <w:rFonts w:ascii="宋体" w:hAnsi="宋体"/>
                <w:sz w:val="24"/>
                <w:szCs w:val="24"/>
              </w:rPr>
            </w:pPr>
            <w:r>
              <w:rPr>
                <w:rFonts w:hint="eastAsia" w:ascii="宋体" w:hAnsi="宋体"/>
                <w:sz w:val="24"/>
                <w:szCs w:val="24"/>
              </w:rPr>
              <w:t>3</w:t>
            </w:r>
          </w:p>
        </w:tc>
        <w:tc>
          <w:tcPr>
            <w:tcW w:w="2193" w:type="dxa"/>
            <w:tcBorders>
              <w:top w:val="single" w:color="auto" w:sz="4" w:space="0"/>
              <w:left w:val="single" w:color="auto" w:sz="4" w:space="0"/>
              <w:bottom w:val="single" w:color="auto" w:sz="4" w:space="0"/>
              <w:right w:val="single" w:color="auto" w:sz="4" w:space="0"/>
            </w:tcBorders>
            <w:vAlign w:val="center"/>
          </w:tcPr>
          <w:p w14:paraId="61FBBCEA">
            <w:pPr>
              <w:adjustRightInd w:val="0"/>
              <w:snapToGrid w:val="0"/>
              <w:spacing w:line="360" w:lineRule="auto"/>
              <w:rPr>
                <w:rFonts w:ascii="宋体" w:hAnsi="宋体"/>
                <w:sz w:val="24"/>
                <w:szCs w:val="24"/>
              </w:rPr>
            </w:pPr>
            <w:r>
              <w:rPr>
                <w:rFonts w:hint="eastAsia" w:ascii="宋体" w:hAnsi="宋体"/>
                <w:sz w:val="24"/>
                <w:szCs w:val="24"/>
              </w:rPr>
              <w:t>招标代理机构</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022440C8">
            <w:pPr>
              <w:spacing w:line="360" w:lineRule="auto"/>
              <w:rPr>
                <w:rFonts w:ascii="宋体" w:hAnsi="宋体" w:cs="宋体"/>
                <w:color w:val="000000"/>
                <w:sz w:val="24"/>
                <w:szCs w:val="28"/>
              </w:rPr>
            </w:pPr>
            <w:r>
              <w:rPr>
                <w:rFonts w:hint="eastAsia" w:ascii="宋体" w:hAnsi="宋体" w:cs="宋体"/>
                <w:color w:val="000000"/>
                <w:sz w:val="24"/>
                <w:szCs w:val="28"/>
              </w:rPr>
              <w:t>无</w:t>
            </w:r>
          </w:p>
        </w:tc>
      </w:tr>
      <w:tr w14:paraId="440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6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B5BCE7C">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4</w:t>
            </w:r>
          </w:p>
        </w:tc>
        <w:tc>
          <w:tcPr>
            <w:tcW w:w="2193" w:type="dxa"/>
            <w:tcBorders>
              <w:top w:val="single" w:color="auto" w:sz="4" w:space="0"/>
              <w:left w:val="single" w:color="auto" w:sz="4" w:space="0"/>
              <w:bottom w:val="single" w:color="auto" w:sz="4" w:space="0"/>
              <w:right w:val="single" w:color="auto" w:sz="4" w:space="0"/>
            </w:tcBorders>
            <w:vAlign w:val="center"/>
          </w:tcPr>
          <w:p w14:paraId="638137C0">
            <w:pPr>
              <w:adjustRightInd w:val="0"/>
              <w:snapToGrid w:val="0"/>
              <w:spacing w:line="360" w:lineRule="auto"/>
              <w:rPr>
                <w:rFonts w:ascii="宋体" w:hAnsi="宋体"/>
                <w:color w:val="000000"/>
                <w:sz w:val="24"/>
                <w:szCs w:val="24"/>
              </w:rPr>
            </w:pPr>
            <w:r>
              <w:rPr>
                <w:rFonts w:hint="eastAsia" w:ascii="宋体" w:hAnsi="宋体"/>
                <w:color w:val="000000"/>
                <w:sz w:val="24"/>
                <w:szCs w:val="24"/>
              </w:rPr>
              <w:t>资金来源</w:t>
            </w:r>
          </w:p>
        </w:tc>
        <w:tc>
          <w:tcPr>
            <w:tcW w:w="6716" w:type="dxa"/>
            <w:tcBorders>
              <w:top w:val="single" w:color="auto" w:sz="4" w:space="0"/>
              <w:left w:val="single" w:color="auto" w:sz="4" w:space="0"/>
              <w:bottom w:val="single" w:color="auto" w:sz="4" w:space="0"/>
              <w:right w:val="single" w:color="auto" w:sz="4" w:space="0"/>
            </w:tcBorders>
            <w:vAlign w:val="center"/>
          </w:tcPr>
          <w:p w14:paraId="62A6FD6C">
            <w:pPr>
              <w:adjustRightInd w:val="0"/>
              <w:spacing w:line="360" w:lineRule="auto"/>
              <w:rPr>
                <w:rFonts w:ascii="宋体" w:hAnsi="宋体" w:cs="宋体"/>
                <w:color w:val="000000"/>
                <w:sz w:val="24"/>
                <w:szCs w:val="28"/>
              </w:rPr>
            </w:pPr>
            <w:r>
              <w:rPr>
                <w:rFonts w:hint="eastAsia" w:ascii="宋体" w:hAnsi="宋体" w:cs="宋体"/>
                <w:color w:val="000000"/>
                <w:sz w:val="24"/>
                <w:szCs w:val="28"/>
              </w:rPr>
              <w:t>中标方自筹资金</w:t>
            </w:r>
          </w:p>
        </w:tc>
      </w:tr>
      <w:tr w14:paraId="4B0CA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717CDD6">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5</w:t>
            </w:r>
          </w:p>
        </w:tc>
        <w:tc>
          <w:tcPr>
            <w:tcW w:w="2193" w:type="dxa"/>
            <w:tcBorders>
              <w:top w:val="single" w:color="auto" w:sz="4" w:space="0"/>
              <w:left w:val="single" w:color="auto" w:sz="4" w:space="0"/>
              <w:bottom w:val="single" w:color="auto" w:sz="4" w:space="0"/>
              <w:right w:val="single" w:color="auto" w:sz="4" w:space="0"/>
            </w:tcBorders>
            <w:vAlign w:val="center"/>
          </w:tcPr>
          <w:p w14:paraId="174EAF74">
            <w:pPr>
              <w:tabs>
                <w:tab w:val="left" w:pos="1180"/>
              </w:tabs>
              <w:adjustRightInd w:val="0"/>
              <w:snapToGrid w:val="0"/>
              <w:spacing w:line="360" w:lineRule="auto"/>
              <w:rPr>
                <w:rFonts w:ascii="宋体" w:hAnsi="宋体" w:cs="宋体"/>
                <w:color w:val="000000"/>
                <w:sz w:val="24"/>
                <w:szCs w:val="24"/>
                <w:lang w:val="zh-CN"/>
              </w:rPr>
            </w:pPr>
            <w:r>
              <w:rPr>
                <w:rFonts w:hint="eastAsia" w:ascii="宋体" w:hAnsi="宋体" w:cs="宋体"/>
                <w:color w:val="000000"/>
                <w:sz w:val="24"/>
                <w:szCs w:val="24"/>
                <w:lang w:val="zh-CN"/>
              </w:rPr>
              <w:t>招标内容</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97DC442">
            <w:pPr>
              <w:tabs>
                <w:tab w:val="left" w:pos="350"/>
                <w:tab w:val="left" w:pos="1180"/>
              </w:tabs>
              <w:spacing w:line="360" w:lineRule="auto"/>
              <w:rPr>
                <w:rFonts w:ascii="宋体" w:hAnsi="宋体" w:cs="宋体"/>
                <w:color w:val="000000"/>
                <w:sz w:val="24"/>
                <w:szCs w:val="28"/>
              </w:rPr>
            </w:pPr>
            <w:r>
              <w:rPr>
                <w:rFonts w:hint="eastAsia" w:ascii="宋体" w:hAnsi="宋体"/>
                <w:sz w:val="24"/>
                <w:szCs w:val="24"/>
              </w:rPr>
              <w:t>详见招标公告</w:t>
            </w:r>
          </w:p>
        </w:tc>
      </w:tr>
      <w:tr w14:paraId="18361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6C3DEFE">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6</w:t>
            </w:r>
          </w:p>
        </w:tc>
        <w:tc>
          <w:tcPr>
            <w:tcW w:w="2193" w:type="dxa"/>
            <w:tcBorders>
              <w:top w:val="single" w:color="auto" w:sz="4" w:space="0"/>
              <w:left w:val="single" w:color="auto" w:sz="4" w:space="0"/>
              <w:bottom w:val="single" w:color="auto" w:sz="4" w:space="0"/>
              <w:right w:val="single" w:color="auto" w:sz="4" w:space="0"/>
            </w:tcBorders>
            <w:vAlign w:val="center"/>
          </w:tcPr>
          <w:p w14:paraId="67B16FAD">
            <w:pPr>
              <w:adjustRightInd w:val="0"/>
              <w:snapToGrid w:val="0"/>
              <w:spacing w:line="360" w:lineRule="auto"/>
              <w:rPr>
                <w:rFonts w:ascii="宋体" w:hAnsi="宋体"/>
                <w:color w:val="000000"/>
                <w:sz w:val="24"/>
                <w:szCs w:val="24"/>
              </w:rPr>
            </w:pPr>
            <w:r>
              <w:rPr>
                <w:rFonts w:hint="eastAsia" w:ascii="宋体" w:hAnsi="宋体"/>
                <w:color w:val="000000"/>
                <w:sz w:val="24"/>
                <w:szCs w:val="24"/>
              </w:rPr>
              <w:t>包段划分</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10B5961">
            <w:pPr>
              <w:tabs>
                <w:tab w:val="left" w:pos="350"/>
              </w:tabs>
              <w:spacing w:line="360" w:lineRule="auto"/>
              <w:rPr>
                <w:rFonts w:ascii="宋体" w:hAnsi="宋体"/>
                <w:color w:val="000000"/>
                <w:sz w:val="24"/>
                <w:szCs w:val="24"/>
              </w:rPr>
            </w:pPr>
            <w:r>
              <w:rPr>
                <w:rFonts w:hint="eastAsia" w:ascii="宋体" w:hAnsi="宋体"/>
                <w:color w:val="000000"/>
                <w:sz w:val="24"/>
                <w:szCs w:val="24"/>
              </w:rPr>
              <w:t>不分包段</w:t>
            </w:r>
          </w:p>
        </w:tc>
      </w:tr>
      <w:tr w14:paraId="674D5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69E7E71">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7</w:t>
            </w:r>
          </w:p>
        </w:tc>
        <w:tc>
          <w:tcPr>
            <w:tcW w:w="2193" w:type="dxa"/>
            <w:tcBorders>
              <w:top w:val="single" w:color="auto" w:sz="4" w:space="0"/>
              <w:left w:val="single" w:color="auto" w:sz="4" w:space="0"/>
              <w:bottom w:val="single" w:color="auto" w:sz="4" w:space="0"/>
              <w:right w:val="single" w:color="auto" w:sz="4" w:space="0"/>
            </w:tcBorders>
            <w:vAlign w:val="center"/>
          </w:tcPr>
          <w:p w14:paraId="0EC84991">
            <w:pPr>
              <w:adjustRightInd w:val="0"/>
              <w:snapToGrid w:val="0"/>
              <w:spacing w:line="360" w:lineRule="auto"/>
              <w:rPr>
                <w:rFonts w:ascii="宋体" w:hAnsi="宋体"/>
                <w:color w:val="000000"/>
                <w:sz w:val="24"/>
                <w:szCs w:val="24"/>
              </w:rPr>
            </w:pPr>
            <w:r>
              <w:rPr>
                <w:rFonts w:hint="eastAsia" w:ascii="宋体" w:hAnsi="宋体"/>
                <w:color w:val="000000"/>
                <w:sz w:val="24"/>
                <w:szCs w:val="24"/>
              </w:rPr>
              <w:t>投标人资格要求</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4C7D7248">
            <w:pPr>
              <w:autoSpaceDE w:val="0"/>
              <w:autoSpaceDN w:val="0"/>
              <w:adjustRightInd w:val="0"/>
              <w:spacing w:line="360" w:lineRule="auto"/>
              <w:jc w:val="left"/>
              <w:rPr>
                <w:rFonts w:ascii="宋体" w:hAnsi="宋体" w:cs="宋体"/>
                <w:sz w:val="24"/>
                <w:szCs w:val="24"/>
                <w:lang w:val="zh-CN"/>
              </w:rPr>
            </w:pPr>
            <w:r>
              <w:rPr>
                <w:rFonts w:hint="eastAsia" w:ascii="宋体" w:hAnsi="宋体"/>
                <w:sz w:val="24"/>
                <w:szCs w:val="24"/>
              </w:rPr>
              <w:t>详见招标公告</w:t>
            </w:r>
          </w:p>
        </w:tc>
      </w:tr>
      <w:tr w14:paraId="46AF8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6EED912">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8</w:t>
            </w:r>
          </w:p>
        </w:tc>
        <w:tc>
          <w:tcPr>
            <w:tcW w:w="2193" w:type="dxa"/>
            <w:tcBorders>
              <w:top w:val="single" w:color="auto" w:sz="4" w:space="0"/>
              <w:left w:val="single" w:color="auto" w:sz="4" w:space="0"/>
              <w:bottom w:val="single" w:color="auto" w:sz="4" w:space="0"/>
              <w:right w:val="single" w:color="auto" w:sz="4" w:space="0"/>
            </w:tcBorders>
            <w:vAlign w:val="center"/>
          </w:tcPr>
          <w:p w14:paraId="5CA5E340">
            <w:pPr>
              <w:adjustRightInd w:val="0"/>
              <w:snapToGrid w:val="0"/>
              <w:spacing w:line="360" w:lineRule="auto"/>
              <w:rPr>
                <w:rFonts w:ascii="宋体" w:hAnsi="宋体"/>
                <w:color w:val="000000"/>
                <w:sz w:val="24"/>
                <w:szCs w:val="24"/>
              </w:rPr>
            </w:pPr>
            <w:r>
              <w:rPr>
                <w:rFonts w:hint="eastAsia" w:ascii="宋体" w:hAnsi="宋体"/>
                <w:color w:val="000000"/>
                <w:sz w:val="24"/>
                <w:szCs w:val="24"/>
              </w:rPr>
              <w:t>投标人信誉要求</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189CCD97">
            <w:pPr>
              <w:spacing w:line="360" w:lineRule="auto"/>
              <w:rPr>
                <w:rFonts w:ascii="宋体" w:hAnsi="宋体" w:cs="Arial"/>
                <w:color w:val="000000"/>
                <w:kern w:val="0"/>
                <w:sz w:val="24"/>
                <w:szCs w:val="24"/>
              </w:rPr>
            </w:pPr>
            <w:r>
              <w:rPr>
                <w:rFonts w:hint="eastAsia" w:ascii="宋体" w:hAnsi="宋体"/>
                <w:bCs/>
                <w:color w:val="000000"/>
                <w:sz w:val="24"/>
                <w:szCs w:val="24"/>
              </w:rPr>
              <w:t>投标人须有良好的社会信誉</w:t>
            </w:r>
          </w:p>
        </w:tc>
      </w:tr>
      <w:tr w14:paraId="76632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8E7579E">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9</w:t>
            </w:r>
          </w:p>
        </w:tc>
        <w:tc>
          <w:tcPr>
            <w:tcW w:w="2193" w:type="dxa"/>
            <w:tcBorders>
              <w:top w:val="single" w:color="auto" w:sz="4" w:space="0"/>
              <w:left w:val="single" w:color="auto" w:sz="4" w:space="0"/>
              <w:bottom w:val="single" w:color="auto" w:sz="4" w:space="0"/>
              <w:right w:val="single" w:color="auto" w:sz="4" w:space="0"/>
            </w:tcBorders>
            <w:vAlign w:val="center"/>
          </w:tcPr>
          <w:p w14:paraId="6DC6D291">
            <w:pPr>
              <w:adjustRightInd w:val="0"/>
              <w:snapToGrid w:val="0"/>
              <w:spacing w:line="360" w:lineRule="auto"/>
              <w:rPr>
                <w:rFonts w:ascii="宋体" w:hAnsi="宋体"/>
                <w:color w:val="000000"/>
                <w:sz w:val="24"/>
                <w:szCs w:val="24"/>
              </w:rPr>
            </w:pPr>
            <w:r>
              <w:rPr>
                <w:rFonts w:hint="eastAsia" w:ascii="宋体" w:hAnsi="宋体"/>
                <w:color w:val="000000"/>
                <w:sz w:val="24"/>
                <w:szCs w:val="24"/>
              </w:rPr>
              <w:t>资格审查方式</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2DD40BA9">
            <w:pPr>
              <w:pStyle w:val="18"/>
              <w:widowControl/>
              <w:snapToGrid w:val="0"/>
              <w:spacing w:line="360" w:lineRule="auto"/>
              <w:rPr>
                <w:b/>
                <w:bCs/>
                <w:color w:val="000000"/>
                <w:sz w:val="24"/>
                <w:szCs w:val="24"/>
              </w:rPr>
            </w:pPr>
            <w:r>
              <w:rPr>
                <w:rFonts w:hint="eastAsia"/>
                <w:color w:val="000000"/>
                <w:sz w:val="24"/>
                <w:szCs w:val="24"/>
              </w:rPr>
              <w:t>资格后审</w:t>
            </w:r>
          </w:p>
        </w:tc>
      </w:tr>
      <w:tr w14:paraId="1A3F7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768AD89">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10</w:t>
            </w:r>
          </w:p>
        </w:tc>
        <w:tc>
          <w:tcPr>
            <w:tcW w:w="2193" w:type="dxa"/>
            <w:tcBorders>
              <w:top w:val="single" w:color="auto" w:sz="4" w:space="0"/>
              <w:left w:val="single" w:color="auto" w:sz="4" w:space="0"/>
              <w:bottom w:val="single" w:color="auto" w:sz="4" w:space="0"/>
              <w:right w:val="single" w:color="auto" w:sz="4" w:space="0"/>
            </w:tcBorders>
            <w:vAlign w:val="center"/>
          </w:tcPr>
          <w:p w14:paraId="42B9DF33">
            <w:pPr>
              <w:adjustRightInd w:val="0"/>
              <w:snapToGrid w:val="0"/>
              <w:spacing w:line="360" w:lineRule="auto"/>
              <w:rPr>
                <w:rFonts w:ascii="宋体" w:hAnsi="宋体"/>
                <w:color w:val="000000"/>
                <w:sz w:val="24"/>
                <w:szCs w:val="24"/>
              </w:rPr>
            </w:pPr>
            <w:r>
              <w:rPr>
                <w:rFonts w:hint="eastAsia" w:ascii="宋体" w:hAnsi="宋体"/>
                <w:color w:val="000000"/>
                <w:sz w:val="24"/>
                <w:szCs w:val="24"/>
              </w:rPr>
              <w:t>联合体投标</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D38B8AA">
            <w:pPr>
              <w:pStyle w:val="18"/>
              <w:widowControl/>
              <w:snapToGrid w:val="0"/>
              <w:spacing w:line="360" w:lineRule="auto"/>
              <w:rPr>
                <w:color w:val="000000"/>
                <w:sz w:val="24"/>
                <w:szCs w:val="24"/>
              </w:rPr>
            </w:pPr>
            <w:r>
              <w:rPr>
                <w:rFonts w:hint="eastAsia" w:ascii="宋体" w:hAnsi="宋体"/>
                <w:bCs/>
                <w:color w:val="000000"/>
                <w:sz w:val="24"/>
                <w:szCs w:val="24"/>
              </w:rPr>
              <w:t>不接受</w:t>
            </w:r>
          </w:p>
        </w:tc>
      </w:tr>
      <w:tr w14:paraId="05202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D8311F4">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11</w:t>
            </w:r>
          </w:p>
        </w:tc>
        <w:tc>
          <w:tcPr>
            <w:tcW w:w="2193" w:type="dxa"/>
            <w:tcBorders>
              <w:top w:val="single" w:color="auto" w:sz="4" w:space="0"/>
              <w:left w:val="single" w:color="auto" w:sz="4" w:space="0"/>
              <w:bottom w:val="single" w:color="auto" w:sz="4" w:space="0"/>
              <w:right w:val="single" w:color="auto" w:sz="4" w:space="0"/>
            </w:tcBorders>
            <w:vAlign w:val="center"/>
          </w:tcPr>
          <w:p w14:paraId="63969249">
            <w:pPr>
              <w:adjustRightInd w:val="0"/>
              <w:snapToGrid w:val="0"/>
              <w:spacing w:line="360" w:lineRule="auto"/>
              <w:rPr>
                <w:rFonts w:ascii="宋体" w:hAnsi="宋体"/>
                <w:color w:val="000000"/>
                <w:sz w:val="24"/>
                <w:szCs w:val="24"/>
              </w:rPr>
            </w:pPr>
            <w:r>
              <w:rPr>
                <w:rFonts w:hint="eastAsia" w:ascii="宋体" w:hAnsi="宋体"/>
                <w:color w:val="000000"/>
                <w:kern w:val="10"/>
                <w:sz w:val="24"/>
                <w:szCs w:val="24"/>
              </w:rPr>
              <w:t>投标预备会</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9105221">
            <w:pPr>
              <w:pStyle w:val="18"/>
              <w:widowControl/>
              <w:snapToGrid w:val="0"/>
              <w:spacing w:line="360" w:lineRule="auto"/>
              <w:rPr>
                <w:color w:val="000000"/>
                <w:sz w:val="24"/>
                <w:szCs w:val="24"/>
              </w:rPr>
            </w:pPr>
            <w:r>
              <w:rPr>
                <w:rFonts w:hint="eastAsia"/>
                <w:color w:val="000000"/>
                <w:sz w:val="24"/>
                <w:szCs w:val="24"/>
              </w:rPr>
              <w:t>不召开</w:t>
            </w:r>
          </w:p>
        </w:tc>
      </w:tr>
      <w:tr w14:paraId="7AE02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2BE1780">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12</w:t>
            </w:r>
          </w:p>
        </w:tc>
        <w:tc>
          <w:tcPr>
            <w:tcW w:w="2193" w:type="dxa"/>
            <w:tcBorders>
              <w:top w:val="single" w:color="auto" w:sz="4" w:space="0"/>
              <w:left w:val="single" w:color="auto" w:sz="4" w:space="0"/>
              <w:bottom w:val="single" w:color="auto" w:sz="4" w:space="0"/>
              <w:right w:val="single" w:color="auto" w:sz="4" w:space="0"/>
            </w:tcBorders>
            <w:vAlign w:val="center"/>
          </w:tcPr>
          <w:p w14:paraId="42781965">
            <w:pPr>
              <w:spacing w:line="360" w:lineRule="auto"/>
              <w:rPr>
                <w:rFonts w:ascii="宋体" w:hAnsi="宋体"/>
                <w:color w:val="000000"/>
                <w:kern w:val="10"/>
                <w:sz w:val="24"/>
                <w:szCs w:val="24"/>
              </w:rPr>
            </w:pPr>
            <w:r>
              <w:rPr>
                <w:rFonts w:hint="eastAsia" w:ascii="宋体" w:hAnsi="宋体"/>
                <w:color w:val="000000"/>
                <w:kern w:val="10"/>
                <w:sz w:val="24"/>
                <w:szCs w:val="24"/>
              </w:rPr>
              <w:t>勘察现场</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4E5645A">
            <w:pPr>
              <w:spacing w:line="360" w:lineRule="auto"/>
              <w:rPr>
                <w:rFonts w:ascii="宋体" w:hAnsi="宋体"/>
                <w:color w:val="000000"/>
                <w:kern w:val="10"/>
                <w:sz w:val="24"/>
                <w:szCs w:val="24"/>
              </w:rPr>
            </w:pPr>
            <w:r>
              <w:rPr>
                <w:rFonts w:hint="eastAsia" w:ascii="宋体" w:hAnsi="宋体"/>
                <w:color w:val="000000"/>
                <w:kern w:val="10"/>
                <w:sz w:val="24"/>
                <w:szCs w:val="24"/>
              </w:rPr>
              <w:t>安徽省第二人民医院屋顶分布式光伏合同能源管理项目拟建位置位于招标方住所地（合肥市砀山路1868号）院内的A楼、B楼、C楼、D楼及加速器楼屋顶，投标人须对拟建项目现场进行踏勘，听取招标人介绍，领取招标方管理单位签字盖章的现场踏勘证明，实际情况请以现场勘查实际情况为准。</w:t>
            </w:r>
          </w:p>
        </w:tc>
      </w:tr>
      <w:tr w14:paraId="544FB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957F6B5">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13</w:t>
            </w:r>
          </w:p>
        </w:tc>
        <w:tc>
          <w:tcPr>
            <w:tcW w:w="2193" w:type="dxa"/>
            <w:tcBorders>
              <w:top w:val="single" w:color="auto" w:sz="4" w:space="0"/>
              <w:left w:val="single" w:color="auto" w:sz="4" w:space="0"/>
              <w:bottom w:val="single" w:color="auto" w:sz="4" w:space="0"/>
              <w:right w:val="single" w:color="auto" w:sz="4" w:space="0"/>
            </w:tcBorders>
            <w:vAlign w:val="center"/>
          </w:tcPr>
          <w:p w14:paraId="52E6A3D2">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投标人提出问题、</w:t>
            </w:r>
            <w:r>
              <w:rPr>
                <w:rFonts w:hint="eastAsia" w:ascii="宋体" w:hAnsi="宋体"/>
                <w:color w:val="000000"/>
                <w:sz w:val="24"/>
                <w:szCs w:val="24"/>
              </w:rPr>
              <w:t>要求澄清招标文件</w:t>
            </w:r>
            <w:r>
              <w:rPr>
                <w:rFonts w:hint="eastAsia" w:ascii="宋体" w:hAnsi="宋体"/>
                <w:color w:val="000000"/>
                <w:kern w:val="10"/>
                <w:sz w:val="24"/>
                <w:szCs w:val="24"/>
              </w:rPr>
              <w:t>的截止时间及方式</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41686579">
            <w:pPr>
              <w:pStyle w:val="18"/>
              <w:widowControl/>
              <w:snapToGrid w:val="0"/>
              <w:spacing w:line="360" w:lineRule="auto"/>
              <w:rPr>
                <w:rFonts w:ascii="宋体" w:hAnsi="宋体"/>
                <w:color w:val="000000"/>
                <w:sz w:val="24"/>
                <w:szCs w:val="24"/>
              </w:rPr>
            </w:pPr>
            <w:r>
              <w:rPr>
                <w:rFonts w:hint="eastAsia" w:ascii="宋体" w:hAnsi="宋体"/>
                <w:color w:val="000000"/>
                <w:kern w:val="10"/>
                <w:sz w:val="24"/>
                <w:szCs w:val="24"/>
                <w:highlight w:val="yellow"/>
              </w:rPr>
              <w:t>投标截止时间</w:t>
            </w:r>
            <w:r>
              <w:rPr>
                <w:rFonts w:hint="eastAsia" w:ascii="宋体" w:hAnsi="宋体"/>
                <w:color w:val="000000"/>
                <w:kern w:val="10"/>
                <w:sz w:val="24"/>
                <w:szCs w:val="24"/>
                <w:highlight w:val="yellow"/>
                <w:lang w:val="en-US" w:eastAsia="zh-CN"/>
              </w:rPr>
              <w:t>2023年7月4日17点</w:t>
            </w:r>
            <w:r>
              <w:rPr>
                <w:rFonts w:hint="eastAsia" w:ascii="宋体" w:hAnsi="宋体"/>
                <w:color w:val="000000"/>
                <w:kern w:val="10"/>
                <w:sz w:val="24"/>
                <w:szCs w:val="24"/>
                <w:highlight w:val="yellow"/>
              </w:rPr>
              <w:t>前</w:t>
            </w:r>
            <w:r>
              <w:rPr>
                <w:rFonts w:hint="eastAsia" w:ascii="宋体" w:hAnsi="宋体"/>
                <w:color w:val="000000"/>
                <w:kern w:val="10"/>
                <w:sz w:val="24"/>
                <w:szCs w:val="24"/>
                <w:highlight w:val="yellow"/>
                <w:lang w:eastAsia="zh-CN"/>
              </w:rPr>
              <w:t>，</w:t>
            </w:r>
            <w:r>
              <w:rPr>
                <w:rFonts w:hint="eastAsia" w:ascii="宋体" w:hAnsi="宋体"/>
                <w:color w:val="000000"/>
                <w:kern w:val="10"/>
                <w:sz w:val="24"/>
                <w:szCs w:val="24"/>
                <w:highlight w:val="yellow"/>
              </w:rPr>
              <w:t>将异议函加盖公章后提交安徽省第二人民医院C楼G层总务处。</w:t>
            </w:r>
          </w:p>
        </w:tc>
      </w:tr>
      <w:tr w14:paraId="7FAC7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F8EEF99">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14</w:t>
            </w:r>
          </w:p>
        </w:tc>
        <w:tc>
          <w:tcPr>
            <w:tcW w:w="2193" w:type="dxa"/>
            <w:tcBorders>
              <w:top w:val="single" w:color="auto" w:sz="4" w:space="0"/>
              <w:left w:val="single" w:color="auto" w:sz="4" w:space="0"/>
              <w:bottom w:val="single" w:color="auto" w:sz="4" w:space="0"/>
              <w:right w:val="single" w:color="auto" w:sz="4" w:space="0"/>
            </w:tcBorders>
            <w:vAlign w:val="center"/>
          </w:tcPr>
          <w:p w14:paraId="4BCB210C">
            <w:pPr>
              <w:adjustRightInd w:val="0"/>
              <w:snapToGrid w:val="0"/>
              <w:spacing w:line="360" w:lineRule="auto"/>
              <w:rPr>
                <w:rFonts w:ascii="宋体" w:hAnsi="宋体"/>
                <w:color w:val="000000"/>
                <w:sz w:val="24"/>
                <w:szCs w:val="24"/>
              </w:rPr>
            </w:pPr>
            <w:r>
              <w:rPr>
                <w:rFonts w:hint="eastAsia" w:ascii="宋体" w:hAnsi="宋体"/>
                <w:color w:val="000000"/>
                <w:kern w:val="10"/>
                <w:sz w:val="24"/>
                <w:szCs w:val="24"/>
              </w:rPr>
              <w:t>招标人的答复时间</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0D40434E">
            <w:pPr>
              <w:pStyle w:val="18"/>
              <w:widowControl/>
              <w:snapToGrid w:val="0"/>
              <w:spacing w:line="360" w:lineRule="auto"/>
              <w:rPr>
                <w:rFonts w:ascii="宋体" w:hAnsi="宋体"/>
                <w:bCs/>
                <w:color w:val="000000"/>
                <w:sz w:val="24"/>
                <w:szCs w:val="24"/>
                <w:highlight w:val="yellow"/>
              </w:rPr>
            </w:pPr>
            <w:r>
              <w:rPr>
                <w:rFonts w:hint="eastAsia" w:ascii="宋体" w:hAnsi="宋体"/>
                <w:color w:val="000000"/>
                <w:sz w:val="24"/>
                <w:szCs w:val="24"/>
                <w:highlight w:val="yellow"/>
              </w:rPr>
              <w:t>收到异议函后</w:t>
            </w:r>
            <w:r>
              <w:rPr>
                <w:rFonts w:ascii="宋体" w:hAnsi="宋体"/>
                <w:color w:val="000000"/>
                <w:sz w:val="24"/>
                <w:szCs w:val="24"/>
                <w:highlight w:val="yellow"/>
              </w:rPr>
              <w:t>**</w:t>
            </w:r>
            <w:r>
              <w:rPr>
                <w:rFonts w:hint="eastAsia" w:ascii="宋体" w:hAnsi="宋体"/>
                <w:color w:val="000000"/>
                <w:sz w:val="24"/>
                <w:szCs w:val="24"/>
                <w:highlight w:val="yellow"/>
              </w:rPr>
              <w:t>日内</w:t>
            </w:r>
            <w:r>
              <w:rPr>
                <w:rFonts w:hint="eastAsia" w:ascii="宋体" w:hAnsi="宋体"/>
                <w:color w:val="000000"/>
                <w:sz w:val="24"/>
                <w:szCs w:val="24"/>
                <w:highlight w:val="yellow"/>
                <w:lang w:eastAsia="zh-CN"/>
              </w:rPr>
              <w:t>做出</w:t>
            </w:r>
            <w:r>
              <w:rPr>
                <w:rFonts w:hint="eastAsia" w:ascii="宋体" w:hAnsi="宋体"/>
                <w:color w:val="000000"/>
                <w:sz w:val="24"/>
                <w:szCs w:val="24"/>
                <w:highlight w:val="yellow"/>
              </w:rPr>
              <w:t>答复。</w:t>
            </w:r>
          </w:p>
        </w:tc>
      </w:tr>
      <w:tr w14:paraId="699CD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1A80FC5">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15</w:t>
            </w:r>
          </w:p>
        </w:tc>
        <w:tc>
          <w:tcPr>
            <w:tcW w:w="2193" w:type="dxa"/>
            <w:tcBorders>
              <w:top w:val="single" w:color="auto" w:sz="4" w:space="0"/>
              <w:left w:val="single" w:color="auto" w:sz="4" w:space="0"/>
              <w:bottom w:val="single" w:color="auto" w:sz="4" w:space="0"/>
              <w:right w:val="single" w:color="auto" w:sz="4" w:space="0"/>
            </w:tcBorders>
            <w:vAlign w:val="center"/>
          </w:tcPr>
          <w:p w14:paraId="786EAD52">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招标人主动修改招标文件时间</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432C5F90">
            <w:pPr>
              <w:pStyle w:val="18"/>
              <w:widowControl/>
              <w:snapToGrid w:val="0"/>
              <w:spacing w:line="360" w:lineRule="auto"/>
              <w:rPr>
                <w:rFonts w:ascii="宋体" w:hAnsi="宋体"/>
                <w:bCs/>
                <w:color w:val="000000"/>
                <w:sz w:val="24"/>
                <w:szCs w:val="24"/>
              </w:rPr>
            </w:pPr>
            <w:r>
              <w:rPr>
                <w:rFonts w:hint="eastAsia" w:ascii="宋体" w:hAnsi="宋体"/>
                <w:bCs/>
                <w:sz w:val="24"/>
                <w:szCs w:val="24"/>
              </w:rPr>
              <w:t>投标截止时</w:t>
            </w:r>
            <w:r>
              <w:rPr>
                <w:rFonts w:hint="eastAsia" w:ascii="宋体" w:hAnsi="宋体"/>
                <w:color w:val="000000"/>
                <w:kern w:val="10"/>
                <w:sz w:val="24"/>
                <w:szCs w:val="24"/>
              </w:rPr>
              <w:t>间</w:t>
            </w:r>
            <w:r>
              <w:rPr>
                <w:rFonts w:hint="eastAsia" w:ascii="宋体" w:hAnsi="宋体"/>
                <w:color w:val="000000"/>
                <w:kern w:val="10"/>
                <w:sz w:val="24"/>
                <w:szCs w:val="24"/>
                <w:lang w:val="en-US" w:eastAsia="zh-CN"/>
              </w:rPr>
              <w:t>2023年7月4</w:t>
            </w:r>
            <w:r>
              <w:rPr>
                <w:rFonts w:hint="eastAsia" w:ascii="宋体" w:hAnsi="宋体"/>
                <w:color w:val="000000"/>
                <w:kern w:val="10"/>
                <w:sz w:val="24"/>
                <w:szCs w:val="24"/>
              </w:rPr>
              <w:t>日</w:t>
            </w:r>
            <w:r>
              <w:rPr>
                <w:rFonts w:hint="eastAsia" w:ascii="宋体" w:hAnsi="宋体"/>
                <w:color w:val="000000"/>
                <w:kern w:val="10"/>
                <w:sz w:val="24"/>
                <w:szCs w:val="24"/>
                <w:lang w:val="en-US" w:eastAsia="zh-CN"/>
              </w:rPr>
              <w:t>17点</w:t>
            </w:r>
            <w:r>
              <w:rPr>
                <w:rFonts w:hint="eastAsia" w:ascii="宋体" w:hAnsi="宋体"/>
                <w:color w:val="000000"/>
                <w:kern w:val="10"/>
                <w:sz w:val="24"/>
                <w:szCs w:val="24"/>
              </w:rPr>
              <w:t>前发布</w:t>
            </w:r>
            <w:r>
              <w:rPr>
                <w:rFonts w:hint="eastAsia" w:ascii="宋体" w:hAnsi="宋体"/>
                <w:color w:val="000000"/>
                <w:sz w:val="24"/>
                <w:szCs w:val="24"/>
              </w:rPr>
              <w:t>在招标公告发布网站，投标人应自行查看。当距离投标截止时间不</w:t>
            </w:r>
            <w:r>
              <w:rPr>
                <w:rFonts w:hint="eastAsia" w:ascii="宋体" w:hAnsi="宋体"/>
                <w:color w:val="000000"/>
                <w:kern w:val="10"/>
                <w:sz w:val="24"/>
                <w:szCs w:val="24"/>
              </w:rPr>
              <w:t>足</w:t>
            </w:r>
            <w:r>
              <w:rPr>
                <w:rFonts w:hint="eastAsia" w:ascii="宋体" w:hAnsi="宋体"/>
                <w:color w:val="000000"/>
                <w:kern w:val="10"/>
                <w:sz w:val="24"/>
                <w:szCs w:val="24"/>
                <w:highlight w:val="yellow"/>
              </w:rPr>
              <w:t>**</w:t>
            </w:r>
            <w:r>
              <w:rPr>
                <w:rFonts w:hint="eastAsia" w:ascii="宋体" w:hAnsi="宋体"/>
                <w:color w:val="000000"/>
                <w:kern w:val="10"/>
                <w:sz w:val="24"/>
                <w:szCs w:val="24"/>
              </w:rPr>
              <w:t>日时，招标</w:t>
            </w:r>
            <w:r>
              <w:rPr>
                <w:rFonts w:hint="eastAsia" w:ascii="宋体" w:hAnsi="宋体"/>
                <w:color w:val="000000"/>
                <w:sz w:val="24"/>
                <w:szCs w:val="24"/>
              </w:rPr>
              <w:t>人对招标文件进行澄清或修改，如果投标人认为澄清或修改的内容会影响投标文件的编制，应该在澄清或修改文件发布后24小时内提出延迟投标截止时间要求。注意：如果所有投标人均未要求延迟投标截止时间的，则招标人认为对招标文件澄清或修改不影响投标人编制投标文件。</w:t>
            </w:r>
          </w:p>
        </w:tc>
      </w:tr>
      <w:tr w14:paraId="7FF52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937157B">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16</w:t>
            </w:r>
          </w:p>
        </w:tc>
        <w:tc>
          <w:tcPr>
            <w:tcW w:w="2193" w:type="dxa"/>
            <w:tcBorders>
              <w:top w:val="single" w:color="auto" w:sz="4" w:space="0"/>
              <w:left w:val="single" w:color="auto" w:sz="4" w:space="0"/>
              <w:bottom w:val="single" w:color="auto" w:sz="4" w:space="0"/>
              <w:right w:val="single" w:color="auto" w:sz="4" w:space="0"/>
            </w:tcBorders>
            <w:vAlign w:val="center"/>
          </w:tcPr>
          <w:p w14:paraId="3692BAF3">
            <w:pPr>
              <w:adjustRightInd w:val="0"/>
              <w:snapToGrid w:val="0"/>
              <w:spacing w:line="360" w:lineRule="auto"/>
              <w:rPr>
                <w:rFonts w:ascii="宋体" w:hAnsi="宋体"/>
                <w:color w:val="000000"/>
                <w:sz w:val="24"/>
                <w:szCs w:val="24"/>
              </w:rPr>
            </w:pPr>
            <w:r>
              <w:rPr>
                <w:rFonts w:hint="eastAsia" w:ascii="宋体" w:hAnsi="宋体"/>
                <w:color w:val="000000"/>
                <w:sz w:val="24"/>
                <w:szCs w:val="24"/>
              </w:rPr>
              <w:t>转包</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8781BE0">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本项目不得转包，项目建成运维服务期2</w:t>
            </w:r>
            <w:r>
              <w:rPr>
                <w:rFonts w:hint="eastAsia" w:ascii="宋体" w:hAnsi="宋体"/>
                <w:color w:val="000000"/>
                <w:kern w:val="10"/>
                <w:sz w:val="24"/>
                <w:szCs w:val="24"/>
                <w:lang w:val="en-US" w:eastAsia="zh-CN"/>
              </w:rPr>
              <w:t>0+</w:t>
            </w:r>
            <w:r>
              <w:rPr>
                <w:rFonts w:ascii="宋体" w:hAnsi="宋体"/>
                <w:color w:val="000000"/>
                <w:kern w:val="10"/>
                <w:sz w:val="24"/>
                <w:szCs w:val="24"/>
              </w:rPr>
              <w:t>5</w:t>
            </w:r>
            <w:r>
              <w:rPr>
                <w:rFonts w:hint="eastAsia" w:ascii="宋体" w:hAnsi="宋体"/>
                <w:color w:val="000000"/>
                <w:kern w:val="10"/>
                <w:sz w:val="24"/>
                <w:szCs w:val="24"/>
              </w:rPr>
              <w:t>年内不得转让第三方。</w:t>
            </w:r>
          </w:p>
        </w:tc>
      </w:tr>
      <w:tr w14:paraId="10C1A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A379C00">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17</w:t>
            </w:r>
          </w:p>
        </w:tc>
        <w:tc>
          <w:tcPr>
            <w:tcW w:w="2193" w:type="dxa"/>
            <w:tcBorders>
              <w:top w:val="single" w:color="auto" w:sz="4" w:space="0"/>
              <w:left w:val="single" w:color="auto" w:sz="4" w:space="0"/>
              <w:bottom w:val="single" w:color="auto" w:sz="4" w:space="0"/>
              <w:right w:val="single" w:color="auto" w:sz="4" w:space="0"/>
            </w:tcBorders>
            <w:vAlign w:val="center"/>
          </w:tcPr>
          <w:p w14:paraId="72E7B285">
            <w:pPr>
              <w:adjustRightInd w:val="0"/>
              <w:snapToGrid w:val="0"/>
              <w:spacing w:line="360" w:lineRule="auto"/>
              <w:rPr>
                <w:rFonts w:ascii="宋体" w:hAnsi="宋体"/>
                <w:color w:val="000000"/>
                <w:sz w:val="24"/>
                <w:szCs w:val="24"/>
                <w:highlight w:val="yellow"/>
              </w:rPr>
            </w:pPr>
            <w:r>
              <w:rPr>
                <w:rFonts w:hint="eastAsia" w:ascii="宋体" w:hAnsi="宋体"/>
                <w:color w:val="000000"/>
                <w:sz w:val="24"/>
                <w:szCs w:val="24"/>
                <w:highlight w:val="yellow"/>
              </w:rPr>
              <w:t>偏离</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DE26616">
            <w:pPr>
              <w:adjustRightInd w:val="0"/>
              <w:snapToGrid w:val="0"/>
              <w:spacing w:line="360" w:lineRule="auto"/>
              <w:rPr>
                <w:rFonts w:ascii="宋体" w:hAnsi="宋体"/>
                <w:color w:val="000000"/>
                <w:kern w:val="10"/>
                <w:sz w:val="24"/>
                <w:szCs w:val="24"/>
                <w:highlight w:val="yellow"/>
              </w:rPr>
            </w:pPr>
            <w:r>
              <w:rPr>
                <w:rFonts w:hint="eastAsia" w:ascii="宋体" w:hAnsi="宋体"/>
                <w:color w:val="000000"/>
                <w:kern w:val="10"/>
                <w:sz w:val="24"/>
                <w:szCs w:val="24"/>
                <w:highlight w:val="yellow"/>
              </w:rPr>
              <w:t>详见招标文件</w:t>
            </w:r>
          </w:p>
        </w:tc>
      </w:tr>
      <w:tr w14:paraId="4736E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4C8EB03">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18</w:t>
            </w:r>
          </w:p>
        </w:tc>
        <w:tc>
          <w:tcPr>
            <w:tcW w:w="2193" w:type="dxa"/>
            <w:tcBorders>
              <w:top w:val="single" w:color="auto" w:sz="4" w:space="0"/>
              <w:left w:val="single" w:color="auto" w:sz="4" w:space="0"/>
              <w:bottom w:val="single" w:color="auto" w:sz="4" w:space="0"/>
              <w:right w:val="single" w:color="auto" w:sz="4" w:space="0"/>
            </w:tcBorders>
            <w:vAlign w:val="center"/>
          </w:tcPr>
          <w:p w14:paraId="1835E66F">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投标有效期</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F311CAD">
            <w:pPr>
              <w:adjustRightInd w:val="0"/>
              <w:snapToGrid w:val="0"/>
              <w:spacing w:line="360" w:lineRule="auto"/>
              <w:rPr>
                <w:rFonts w:ascii="宋体" w:hAnsi="宋体"/>
                <w:bCs/>
                <w:color w:val="000000"/>
                <w:sz w:val="24"/>
                <w:szCs w:val="24"/>
                <w:u w:val="single"/>
              </w:rPr>
            </w:pPr>
            <w:r>
              <w:rPr>
                <w:rFonts w:hint="eastAsia" w:ascii="宋体" w:hAnsi="宋体"/>
                <w:color w:val="000000"/>
                <w:kern w:val="10"/>
                <w:sz w:val="24"/>
                <w:szCs w:val="24"/>
                <w:lang w:val="en-US" w:eastAsia="zh-CN"/>
              </w:rPr>
              <w:t>5</w:t>
            </w:r>
            <w:r>
              <w:rPr>
                <w:rFonts w:hint="eastAsia" w:ascii="宋体" w:hAnsi="宋体"/>
                <w:color w:val="000000"/>
                <w:kern w:val="10"/>
                <w:sz w:val="24"/>
                <w:szCs w:val="24"/>
              </w:rPr>
              <w:t>日</w:t>
            </w:r>
            <w:r>
              <w:rPr>
                <w:rFonts w:hint="eastAsia" w:ascii="宋体" w:hAnsi="宋体"/>
                <w:bCs/>
                <w:color w:val="000000"/>
                <w:sz w:val="24"/>
                <w:szCs w:val="24"/>
              </w:rPr>
              <w:t>历天（从投标截止之日算起）</w:t>
            </w:r>
          </w:p>
        </w:tc>
      </w:tr>
      <w:tr w14:paraId="0D44A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3"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DE67485">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19</w:t>
            </w:r>
          </w:p>
        </w:tc>
        <w:tc>
          <w:tcPr>
            <w:tcW w:w="2193" w:type="dxa"/>
            <w:tcBorders>
              <w:top w:val="single" w:color="auto" w:sz="4" w:space="0"/>
              <w:left w:val="single" w:color="auto" w:sz="4" w:space="0"/>
              <w:bottom w:val="single" w:color="auto" w:sz="4" w:space="0"/>
              <w:right w:val="single" w:color="auto" w:sz="4" w:space="0"/>
            </w:tcBorders>
            <w:vAlign w:val="center"/>
          </w:tcPr>
          <w:p w14:paraId="31F522DF">
            <w:pPr>
              <w:adjustRightInd w:val="0"/>
              <w:snapToGrid w:val="0"/>
              <w:spacing w:line="360" w:lineRule="auto"/>
              <w:rPr>
                <w:rFonts w:ascii="宋体" w:hAnsi="宋体"/>
                <w:bCs/>
                <w:sz w:val="24"/>
                <w:szCs w:val="24"/>
              </w:rPr>
            </w:pPr>
            <w:r>
              <w:rPr>
                <w:rFonts w:hint="eastAsia" w:ascii="宋体" w:hAnsi="宋体"/>
                <w:bCs/>
                <w:sz w:val="24"/>
                <w:szCs w:val="24"/>
              </w:rPr>
              <w:t>投标保证金</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0CDC770">
            <w:pPr>
              <w:numPr>
                <w:ilvl w:val="0"/>
                <w:numId w:val="1"/>
              </w:numPr>
              <w:autoSpaceDE w:val="0"/>
              <w:autoSpaceDN w:val="0"/>
              <w:adjustRightInd w:val="0"/>
              <w:spacing w:line="360" w:lineRule="auto"/>
              <w:jc w:val="left"/>
              <w:rPr>
                <w:rFonts w:ascii="宋体" w:hAnsi="宋体" w:cs="宋体"/>
                <w:sz w:val="24"/>
                <w:szCs w:val="24"/>
              </w:rPr>
            </w:pPr>
            <w:r>
              <w:rPr>
                <w:rFonts w:hint="eastAsia" w:ascii="宋体" w:hAnsi="宋体"/>
                <w:bCs/>
                <w:sz w:val="24"/>
                <w:szCs w:val="24"/>
              </w:rPr>
              <w:t>提交方式：</w:t>
            </w:r>
            <w:r>
              <w:rPr>
                <w:rFonts w:hint="eastAsia" w:ascii="宋体" w:hAnsi="宋体"/>
                <w:color w:val="000000"/>
                <w:kern w:val="10"/>
                <w:sz w:val="24"/>
                <w:szCs w:val="24"/>
              </w:rPr>
              <w:t>投标保证金在提交投标文件时以银行汇款方式交纳或交到医院财务处并领取收款收据，</w:t>
            </w:r>
            <w:r>
              <w:rPr>
                <w:rFonts w:ascii="宋体" w:hAnsi="宋体" w:cs="宋体"/>
                <w:sz w:val="24"/>
                <w:szCs w:val="24"/>
              </w:rPr>
              <w:t>（户名：安徽省第二人民医院，开户行：建行合肥城东支行，账号：34001448608053002706）。</w:t>
            </w:r>
            <w:r>
              <w:rPr>
                <w:rFonts w:hint="eastAsia" w:ascii="宋体" w:hAnsi="宋体" w:cs="宋体"/>
                <w:sz w:val="24"/>
                <w:szCs w:val="24"/>
              </w:rPr>
              <w:t>投标保证金须在投标截止时间前到账，</w:t>
            </w:r>
            <w:r>
              <w:rPr>
                <w:rFonts w:hint="eastAsia" w:ascii="宋体" w:hAnsi="宋体"/>
                <w:bCs/>
                <w:sz w:val="24"/>
                <w:szCs w:val="24"/>
              </w:rPr>
              <w:t>未交纳投标保证金或投标保证金未在规定时间前到账的，评标委员会将否决其投标。</w:t>
            </w:r>
          </w:p>
          <w:p w14:paraId="165FF6ED">
            <w:pPr>
              <w:spacing w:line="360" w:lineRule="auto"/>
              <w:rPr>
                <w:rFonts w:ascii="宋体" w:hAnsi="宋体" w:cs="宋体"/>
                <w:b/>
                <w:bCs/>
                <w:color w:val="FF0000"/>
                <w:sz w:val="24"/>
                <w:szCs w:val="24"/>
              </w:rPr>
            </w:pPr>
            <w:r>
              <w:rPr>
                <w:rFonts w:hint="eastAsia" w:ascii="宋体" w:hAnsi="宋体"/>
                <w:bCs/>
                <w:sz w:val="24"/>
                <w:szCs w:val="24"/>
              </w:rPr>
              <w:t>投标保证金数额：</w:t>
            </w:r>
            <w:r>
              <w:rPr>
                <w:rFonts w:ascii="宋体" w:hAnsi="宋体" w:cs="宋体"/>
                <w:bCs/>
                <w:sz w:val="24"/>
                <w:szCs w:val="24"/>
                <w:highlight w:val="yellow"/>
              </w:rPr>
              <w:t>10000</w:t>
            </w:r>
            <w:r>
              <w:rPr>
                <w:rFonts w:hint="eastAsia" w:ascii="宋体" w:hAnsi="宋体" w:cs="宋体"/>
                <w:bCs/>
                <w:sz w:val="24"/>
                <w:szCs w:val="24"/>
              </w:rPr>
              <w:t>元</w:t>
            </w:r>
          </w:p>
          <w:p w14:paraId="46DFCF8C">
            <w:pPr>
              <w:spacing w:line="360" w:lineRule="auto"/>
              <w:rPr>
                <w:rFonts w:ascii="宋体" w:hAnsi="宋体"/>
                <w:bCs/>
                <w:sz w:val="24"/>
                <w:szCs w:val="24"/>
              </w:rPr>
            </w:pPr>
            <w:r>
              <w:rPr>
                <w:rFonts w:hint="eastAsia" w:ascii="宋体" w:hAnsi="宋体"/>
                <w:bCs/>
                <w:sz w:val="24"/>
                <w:szCs w:val="24"/>
              </w:rPr>
              <w:t>户  名：</w:t>
            </w:r>
            <w:r>
              <w:rPr>
                <w:rFonts w:ascii="宋体" w:hAnsi="宋体" w:cs="宋体"/>
                <w:sz w:val="24"/>
                <w:szCs w:val="24"/>
              </w:rPr>
              <w:t>安徽省第二人民医院</w:t>
            </w:r>
          </w:p>
          <w:p w14:paraId="7328A1E7">
            <w:pPr>
              <w:spacing w:line="360" w:lineRule="auto"/>
              <w:rPr>
                <w:rFonts w:ascii="宋体" w:hAnsi="宋体"/>
                <w:bCs/>
                <w:sz w:val="24"/>
                <w:szCs w:val="24"/>
              </w:rPr>
            </w:pPr>
            <w:r>
              <w:rPr>
                <w:rFonts w:ascii="宋体" w:hAnsi="宋体" w:cs="宋体"/>
                <w:sz w:val="24"/>
                <w:szCs w:val="24"/>
              </w:rPr>
              <w:t>开户行：建行合肥城东支行，账号：</w:t>
            </w:r>
            <w:r>
              <w:rPr>
                <w:rFonts w:hint="eastAsia" w:ascii="宋体" w:hAnsi="宋体"/>
                <w:sz w:val="24"/>
                <w:szCs w:val="24"/>
              </w:rPr>
              <w:t>34001448608053002706（仅支持对公转账）</w:t>
            </w:r>
            <w:r>
              <w:rPr>
                <w:rFonts w:hint="eastAsia" w:ascii="宋体" w:hAnsi="宋体"/>
                <w:bCs/>
                <w:sz w:val="24"/>
                <w:szCs w:val="24"/>
              </w:rPr>
              <w:t xml:space="preserve"> </w:t>
            </w:r>
          </w:p>
          <w:p w14:paraId="796295AC">
            <w:pPr>
              <w:spacing w:line="360" w:lineRule="auto"/>
              <w:rPr>
                <w:rFonts w:ascii="宋体" w:hAnsi="宋体"/>
                <w:bCs/>
                <w:sz w:val="24"/>
                <w:szCs w:val="24"/>
              </w:rPr>
            </w:pPr>
            <w:r>
              <w:rPr>
                <w:rFonts w:hint="eastAsia" w:ascii="宋体" w:hAnsi="宋体"/>
                <w:bCs/>
                <w:sz w:val="24"/>
                <w:szCs w:val="24"/>
              </w:rPr>
              <w:t>投标保证金退还方式：自中标通知书发出之日起</w:t>
            </w:r>
            <w:r>
              <w:rPr>
                <w:rFonts w:hint="eastAsia" w:ascii="宋体" w:hAnsi="宋体"/>
                <w:sz w:val="24"/>
                <w:szCs w:val="24"/>
              </w:rPr>
              <w:t>7日</w:t>
            </w:r>
            <w:r>
              <w:rPr>
                <w:rFonts w:hint="eastAsia" w:ascii="宋体" w:hAnsi="宋体"/>
                <w:bCs/>
                <w:sz w:val="24"/>
                <w:szCs w:val="24"/>
              </w:rPr>
              <w:t>内退还未中标单位的投标保证金。</w:t>
            </w:r>
          </w:p>
        </w:tc>
      </w:tr>
      <w:tr w14:paraId="39510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0253F1B">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20</w:t>
            </w:r>
          </w:p>
        </w:tc>
        <w:tc>
          <w:tcPr>
            <w:tcW w:w="2193" w:type="dxa"/>
            <w:tcBorders>
              <w:top w:val="single" w:color="auto" w:sz="4" w:space="0"/>
              <w:left w:val="single" w:color="auto" w:sz="4" w:space="0"/>
              <w:bottom w:val="single" w:color="auto" w:sz="4" w:space="0"/>
              <w:right w:val="single" w:color="auto" w:sz="4" w:space="0"/>
            </w:tcBorders>
            <w:vAlign w:val="center"/>
          </w:tcPr>
          <w:p w14:paraId="2563C3E5">
            <w:pPr>
              <w:spacing w:line="360" w:lineRule="auto"/>
              <w:rPr>
                <w:rFonts w:ascii="宋体" w:hAnsi="宋体"/>
                <w:bCs/>
                <w:color w:val="000000"/>
                <w:sz w:val="24"/>
                <w:szCs w:val="24"/>
              </w:rPr>
            </w:pPr>
            <w:r>
              <w:rPr>
                <w:rFonts w:hint="eastAsia" w:ascii="宋体" w:hAnsi="宋体"/>
                <w:bCs/>
                <w:color w:val="000000"/>
                <w:sz w:val="24"/>
                <w:szCs w:val="24"/>
              </w:rPr>
              <w:t>是否允许递交备选</w:t>
            </w:r>
          </w:p>
          <w:p w14:paraId="47DA7ED6">
            <w:pPr>
              <w:spacing w:line="360" w:lineRule="auto"/>
              <w:rPr>
                <w:rFonts w:ascii="宋体" w:hAnsi="宋体"/>
                <w:bCs/>
                <w:color w:val="000000"/>
                <w:sz w:val="24"/>
                <w:szCs w:val="24"/>
              </w:rPr>
            </w:pPr>
            <w:r>
              <w:rPr>
                <w:rFonts w:hint="eastAsia" w:ascii="宋体" w:hAnsi="宋体"/>
                <w:bCs/>
                <w:color w:val="000000"/>
                <w:sz w:val="24"/>
                <w:szCs w:val="24"/>
              </w:rPr>
              <w:t>投标方案</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738E3696">
            <w:pPr>
              <w:adjustRightInd w:val="0"/>
              <w:snapToGrid w:val="0"/>
              <w:spacing w:line="360" w:lineRule="auto"/>
              <w:rPr>
                <w:rFonts w:ascii="宋体" w:hAnsi="宋体"/>
                <w:color w:val="000000"/>
                <w:kern w:val="10"/>
                <w:sz w:val="24"/>
                <w:szCs w:val="24"/>
              </w:rPr>
            </w:pPr>
            <w:r>
              <w:rPr>
                <w:rFonts w:hint="eastAsia" w:ascii="宋体" w:hAnsi="宋体"/>
                <w:bCs/>
                <w:color w:val="000000"/>
                <w:sz w:val="24"/>
                <w:szCs w:val="24"/>
              </w:rPr>
              <w:t>不允许</w:t>
            </w:r>
          </w:p>
        </w:tc>
      </w:tr>
      <w:tr w14:paraId="7B8A9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5739A53">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21</w:t>
            </w:r>
          </w:p>
        </w:tc>
        <w:tc>
          <w:tcPr>
            <w:tcW w:w="2193" w:type="dxa"/>
            <w:tcBorders>
              <w:top w:val="single" w:color="auto" w:sz="4" w:space="0"/>
              <w:left w:val="single" w:color="auto" w:sz="4" w:space="0"/>
              <w:bottom w:val="single" w:color="auto" w:sz="4" w:space="0"/>
              <w:right w:val="single" w:color="auto" w:sz="4" w:space="0"/>
            </w:tcBorders>
            <w:vAlign w:val="center"/>
          </w:tcPr>
          <w:p w14:paraId="1B761B95">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投标文件份数</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2C6247D">
            <w:pPr>
              <w:adjustRightInd w:val="0"/>
              <w:snapToGrid w:val="0"/>
              <w:spacing w:line="360" w:lineRule="auto"/>
              <w:rPr>
                <w:rFonts w:ascii="宋体" w:hAnsi="宋体"/>
                <w:bCs/>
                <w:sz w:val="24"/>
                <w:szCs w:val="24"/>
              </w:rPr>
            </w:pPr>
            <w:r>
              <w:rPr>
                <w:rFonts w:hint="eastAsia" w:ascii="宋体" w:hAnsi="宋体"/>
                <w:bCs/>
                <w:color w:val="000000"/>
                <w:sz w:val="24"/>
                <w:szCs w:val="24"/>
                <w:highlight w:val="yellow"/>
              </w:rPr>
              <w:t>本项目需提供纸质投标文件，</w:t>
            </w:r>
            <w:r>
              <w:rPr>
                <w:rFonts w:hint="eastAsia" w:ascii="宋体" w:hAnsi="宋体"/>
                <w:bCs/>
                <w:color w:val="000000"/>
                <w:sz w:val="24"/>
                <w:szCs w:val="24"/>
                <w:highlight w:val="yellow"/>
                <w:lang w:eastAsia="zh-CN"/>
              </w:rPr>
              <w:t>一正四副</w:t>
            </w:r>
            <w:r>
              <w:rPr>
                <w:rFonts w:hint="eastAsia" w:ascii="宋体" w:hAnsi="宋体"/>
                <w:bCs/>
                <w:color w:val="000000"/>
                <w:sz w:val="24"/>
                <w:szCs w:val="24"/>
                <w:highlight w:val="yellow"/>
              </w:rPr>
              <w:t>未按以上要求提交投标文件导致的不良后果由投标单位自行承担。开标完成后各投标人应根据招标人需要提供纸质版投标文件用于存档。</w:t>
            </w:r>
          </w:p>
        </w:tc>
      </w:tr>
      <w:tr w14:paraId="4BB17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7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CC0CAA5">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22</w:t>
            </w:r>
          </w:p>
        </w:tc>
        <w:tc>
          <w:tcPr>
            <w:tcW w:w="2193" w:type="dxa"/>
            <w:tcBorders>
              <w:top w:val="single" w:color="auto" w:sz="4" w:space="0"/>
              <w:left w:val="single" w:color="auto" w:sz="4" w:space="0"/>
              <w:bottom w:val="single" w:color="auto" w:sz="4" w:space="0"/>
              <w:right w:val="single" w:color="auto" w:sz="4" w:space="0"/>
            </w:tcBorders>
            <w:vAlign w:val="center"/>
          </w:tcPr>
          <w:p w14:paraId="221FC2DF">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签字或盖章要求</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700B6340">
            <w:pPr>
              <w:widowControl/>
              <w:spacing w:line="360" w:lineRule="auto"/>
              <w:jc w:val="left"/>
              <w:rPr>
                <w:rFonts w:hint="eastAsia" w:ascii="宋体" w:hAnsi="宋体" w:eastAsia="宋体" w:cs="宋体"/>
                <w:color w:val="000000"/>
                <w:kern w:val="0"/>
                <w:sz w:val="24"/>
                <w:szCs w:val="24"/>
                <w:lang w:eastAsia="zh-CN"/>
              </w:rPr>
            </w:pPr>
            <w:r>
              <w:rPr>
                <w:rFonts w:ascii="宋体" w:hAnsi="宋体" w:cs="宋体"/>
                <w:color w:val="000000"/>
                <w:kern w:val="0"/>
                <w:sz w:val="24"/>
                <w:szCs w:val="24"/>
              </w:rPr>
              <w:t>1</w:t>
            </w:r>
            <w:r>
              <w:rPr>
                <w:rFonts w:hint="eastAsia" w:ascii="宋体" w:hAnsi="宋体" w:cs="宋体"/>
                <w:color w:val="000000"/>
                <w:kern w:val="0"/>
                <w:sz w:val="24"/>
                <w:szCs w:val="24"/>
              </w:rPr>
              <w:t>.</w:t>
            </w:r>
            <w:r>
              <w:rPr>
                <w:rFonts w:ascii="宋体" w:hAnsi="宋体" w:cs="宋体"/>
                <w:color w:val="000000"/>
                <w:kern w:val="0"/>
                <w:sz w:val="24"/>
                <w:szCs w:val="24"/>
              </w:rPr>
              <w:t>符合第七章投标文件格式要求（部分材料要求加盖投标人红章的，从其规定）</w:t>
            </w:r>
            <w:r>
              <w:rPr>
                <w:rFonts w:hint="eastAsia" w:ascii="宋体" w:hAnsi="宋体" w:cs="宋体"/>
                <w:color w:val="000000"/>
                <w:kern w:val="0"/>
                <w:sz w:val="24"/>
                <w:szCs w:val="24"/>
              </w:rPr>
              <w:t>。</w:t>
            </w:r>
          </w:p>
          <w:p w14:paraId="773EE32C">
            <w:pPr>
              <w:widowControl/>
              <w:spacing w:line="360" w:lineRule="auto"/>
              <w:jc w:val="left"/>
              <w:rPr>
                <w:rFonts w:hint="eastAsia" w:ascii="宋体" w:hAnsi="宋体" w:eastAsia="宋体" w:cs="宋体"/>
                <w:color w:val="000000"/>
                <w:kern w:val="0"/>
                <w:sz w:val="24"/>
                <w:szCs w:val="24"/>
                <w:lang w:eastAsia="zh-CN"/>
              </w:rPr>
            </w:pPr>
            <w:r>
              <w:rPr>
                <w:rFonts w:ascii="宋体" w:hAnsi="宋体" w:cs="宋体"/>
                <w:color w:val="000000"/>
                <w:kern w:val="0"/>
                <w:sz w:val="24"/>
                <w:szCs w:val="24"/>
              </w:rPr>
              <w:t>2</w:t>
            </w:r>
            <w:r>
              <w:rPr>
                <w:rFonts w:hint="eastAsia" w:ascii="宋体" w:hAnsi="宋体" w:cs="宋体"/>
                <w:color w:val="000000"/>
                <w:kern w:val="0"/>
                <w:sz w:val="24"/>
                <w:szCs w:val="24"/>
              </w:rPr>
              <w:t>.</w:t>
            </w:r>
            <w:r>
              <w:rPr>
                <w:rFonts w:ascii="宋体" w:hAnsi="宋体" w:cs="宋体"/>
                <w:color w:val="000000"/>
                <w:kern w:val="0"/>
                <w:sz w:val="24"/>
                <w:szCs w:val="24"/>
              </w:rPr>
              <w:t>投标文件格式中需要委托代理人签字的，在投标文件中须同时提交授权委托书。投标文件授权委托书格式、签字、盖章及内容均应符合本文件要求。</w:t>
            </w:r>
          </w:p>
          <w:p w14:paraId="423633BB">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w:t>
            </w:r>
            <w:r>
              <w:rPr>
                <w:rFonts w:ascii="宋体" w:hAnsi="宋体" w:cs="宋体"/>
                <w:color w:val="000000"/>
                <w:kern w:val="0"/>
                <w:sz w:val="24"/>
                <w:szCs w:val="24"/>
              </w:rPr>
              <w:t>投标文件外封包须密封并加盖投标人公章</w:t>
            </w:r>
            <w:r>
              <w:rPr>
                <w:rFonts w:hint="eastAsia" w:ascii="宋体" w:hAnsi="宋体" w:cs="宋体"/>
                <w:color w:val="000000"/>
                <w:kern w:val="0"/>
                <w:sz w:val="24"/>
                <w:szCs w:val="24"/>
              </w:rPr>
              <w:t>。</w:t>
            </w:r>
          </w:p>
        </w:tc>
      </w:tr>
      <w:tr w14:paraId="16B3D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A38710C">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23</w:t>
            </w:r>
          </w:p>
        </w:tc>
        <w:tc>
          <w:tcPr>
            <w:tcW w:w="2193" w:type="dxa"/>
            <w:tcBorders>
              <w:top w:val="single" w:color="auto" w:sz="4" w:space="0"/>
              <w:left w:val="single" w:color="auto" w:sz="4" w:space="0"/>
              <w:bottom w:val="single" w:color="auto" w:sz="4" w:space="0"/>
              <w:right w:val="single" w:color="auto" w:sz="4" w:space="0"/>
            </w:tcBorders>
            <w:vAlign w:val="center"/>
          </w:tcPr>
          <w:p w14:paraId="6364387C">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装订要求</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663D689">
            <w:pPr>
              <w:adjustRightInd w:val="0"/>
              <w:snapToGrid w:val="0"/>
              <w:spacing w:line="360" w:lineRule="auto"/>
              <w:rPr>
                <w:rFonts w:ascii="宋体" w:hAnsi="宋体"/>
                <w:bCs/>
                <w:color w:val="000000"/>
                <w:sz w:val="24"/>
                <w:szCs w:val="24"/>
                <w:u w:val="single"/>
              </w:rPr>
            </w:pPr>
            <w:r>
              <w:rPr>
                <w:rFonts w:hint="eastAsia" w:ascii="宋体" w:hAnsi="宋体"/>
                <w:color w:val="000000"/>
                <w:kern w:val="10"/>
                <w:sz w:val="24"/>
                <w:szCs w:val="24"/>
              </w:rPr>
              <w:t>投标人可以将投标文件正本和副本分开封装</w:t>
            </w:r>
            <w:r>
              <w:rPr>
                <w:rFonts w:hint="eastAsia" w:ascii="宋体" w:hAnsi="宋体"/>
                <w:color w:val="000000"/>
                <w:kern w:val="10"/>
                <w:sz w:val="24"/>
                <w:szCs w:val="24"/>
                <w:lang w:eastAsia="zh-CN"/>
              </w:rPr>
              <w:t>，</w:t>
            </w:r>
            <w:r>
              <w:rPr>
                <w:rFonts w:hint="eastAsia" w:ascii="宋体" w:hAnsi="宋体"/>
                <w:color w:val="000000"/>
                <w:kern w:val="10"/>
                <w:sz w:val="24"/>
                <w:szCs w:val="24"/>
              </w:rPr>
              <w:t>也可以将正本和副本全部密封在一个封袋中，标书上应注明“正本</w:t>
            </w:r>
            <w:r>
              <w:rPr>
                <w:rFonts w:hint="eastAsia" w:ascii="宋体" w:hAnsi="宋体"/>
                <w:color w:val="000000"/>
                <w:kern w:val="10"/>
                <w:sz w:val="24"/>
                <w:szCs w:val="24"/>
                <w:lang w:eastAsia="zh-CN"/>
              </w:rPr>
              <w:t>”“</w:t>
            </w:r>
            <w:r>
              <w:rPr>
                <w:rFonts w:hint="eastAsia" w:ascii="宋体" w:hAnsi="宋体"/>
                <w:color w:val="000000"/>
                <w:kern w:val="10"/>
                <w:sz w:val="24"/>
                <w:szCs w:val="24"/>
              </w:rPr>
              <w:t>副本”。</w:t>
            </w:r>
          </w:p>
        </w:tc>
      </w:tr>
      <w:tr w14:paraId="66ABB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4515675">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24</w:t>
            </w:r>
          </w:p>
        </w:tc>
        <w:tc>
          <w:tcPr>
            <w:tcW w:w="2193" w:type="dxa"/>
            <w:tcBorders>
              <w:top w:val="single" w:color="auto" w:sz="4" w:space="0"/>
              <w:left w:val="single" w:color="auto" w:sz="4" w:space="0"/>
              <w:bottom w:val="single" w:color="auto" w:sz="4" w:space="0"/>
              <w:right w:val="single" w:color="auto" w:sz="4" w:space="0"/>
            </w:tcBorders>
            <w:vAlign w:val="center"/>
          </w:tcPr>
          <w:p w14:paraId="713E2C6F">
            <w:pPr>
              <w:adjustRightInd w:val="0"/>
              <w:snapToGrid w:val="0"/>
              <w:spacing w:line="360" w:lineRule="auto"/>
              <w:rPr>
                <w:rFonts w:ascii="宋体" w:hAnsi="宋体"/>
                <w:bCs/>
                <w:color w:val="000000"/>
                <w:sz w:val="24"/>
                <w:szCs w:val="24"/>
              </w:rPr>
            </w:pPr>
            <w:r>
              <w:rPr>
                <w:rFonts w:hint="eastAsia" w:ascii="宋体" w:hAnsi="宋体"/>
                <w:color w:val="000000"/>
                <w:sz w:val="24"/>
                <w:szCs w:val="24"/>
              </w:rPr>
              <w:t>投标文件密封袋标识</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27FA03DA">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 xml:space="preserve">封套上应写明： </w:t>
            </w:r>
          </w:p>
          <w:p w14:paraId="64CBE0C3">
            <w:pPr>
              <w:adjustRightInd w:val="0"/>
              <w:snapToGrid w:val="0"/>
              <w:spacing w:line="360" w:lineRule="auto"/>
              <w:rPr>
                <w:rFonts w:ascii="宋体" w:hAnsi="宋体" w:cs="宋体"/>
                <w:color w:val="000000"/>
                <w:sz w:val="24"/>
                <w:szCs w:val="24"/>
                <w:lang w:val="zh-CN"/>
              </w:rPr>
            </w:pPr>
            <w:r>
              <w:rPr>
                <w:rFonts w:hint="eastAsia" w:ascii="宋体" w:hAnsi="宋体"/>
                <w:color w:val="000000"/>
                <w:kern w:val="10"/>
                <w:sz w:val="24"/>
                <w:szCs w:val="24"/>
              </w:rPr>
              <w:t>1.项目名称：</w:t>
            </w:r>
            <w:r>
              <w:rPr>
                <w:rFonts w:hint="eastAsia" w:ascii="宋体" w:hAnsi="宋体" w:cs="宋体"/>
                <w:color w:val="000000"/>
                <w:sz w:val="24"/>
                <w:szCs w:val="28"/>
              </w:rPr>
              <w:t xml:space="preserve">     </w:t>
            </w:r>
          </w:p>
          <w:p w14:paraId="0C1613CB">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2.项目编号：</w:t>
            </w:r>
            <w:r>
              <w:rPr>
                <w:rFonts w:hint="eastAsia" w:ascii="宋体" w:hAnsi="宋体" w:cs="宋体"/>
                <w:color w:val="000000"/>
                <w:sz w:val="24"/>
                <w:szCs w:val="28"/>
              </w:rPr>
              <w:t xml:space="preserve">  </w:t>
            </w:r>
          </w:p>
          <w:p w14:paraId="0625213C">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3.投标人名称：</w:t>
            </w:r>
            <w:r>
              <w:rPr>
                <w:rFonts w:hint="eastAsia" w:ascii="宋体" w:hAnsi="宋体"/>
                <w:color w:val="000000"/>
                <w:kern w:val="10"/>
                <w:sz w:val="24"/>
                <w:szCs w:val="24"/>
                <w:u w:val="single"/>
              </w:rPr>
              <w:t xml:space="preserve">                                    </w:t>
            </w:r>
            <w:r>
              <w:rPr>
                <w:rFonts w:hint="eastAsia" w:ascii="宋体" w:hAnsi="宋体"/>
                <w:color w:val="000000"/>
                <w:kern w:val="10"/>
                <w:sz w:val="24"/>
                <w:szCs w:val="24"/>
              </w:rPr>
              <w:t>；</w:t>
            </w:r>
          </w:p>
          <w:p w14:paraId="2DF02F4E">
            <w:pPr>
              <w:adjustRightInd w:val="0"/>
              <w:snapToGrid w:val="0"/>
              <w:spacing w:line="360" w:lineRule="auto"/>
              <w:rPr>
                <w:rFonts w:ascii="宋体" w:hAnsi="宋体"/>
                <w:color w:val="000000"/>
                <w:kern w:val="10"/>
                <w:sz w:val="24"/>
              </w:rPr>
            </w:pPr>
            <w:r>
              <w:rPr>
                <w:rFonts w:hint="eastAsia" w:ascii="宋体" w:hAnsi="宋体"/>
                <w:color w:val="000000"/>
                <w:kern w:val="10"/>
                <w:sz w:val="24"/>
                <w:szCs w:val="24"/>
                <w:highlight w:val="yellow"/>
              </w:rPr>
              <w:t>4.</w:t>
            </w:r>
            <w:r>
              <w:rPr>
                <w:rFonts w:hint="eastAsia" w:ascii="宋体" w:hAnsi="宋体"/>
                <w:color w:val="000000"/>
                <w:kern w:val="10"/>
                <w:sz w:val="24"/>
                <w:szCs w:val="24"/>
                <w:highlight w:val="yellow"/>
                <w:lang w:val="en-US" w:eastAsia="zh-CN"/>
              </w:rPr>
              <w:t>23</w:t>
            </w:r>
            <w:r>
              <w:rPr>
                <w:rFonts w:hint="eastAsia" w:ascii="宋体" w:hAnsi="宋体"/>
                <w:color w:val="000000"/>
                <w:kern w:val="10"/>
                <w:sz w:val="24"/>
                <w:szCs w:val="24"/>
                <w:highlight w:val="yellow"/>
              </w:rPr>
              <w:t xml:space="preserve"> </w:t>
            </w:r>
            <w:r>
              <w:rPr>
                <w:rFonts w:hint="eastAsia" w:ascii="宋体" w:hAnsi="宋体"/>
                <w:color w:val="000000"/>
                <w:kern w:val="10"/>
                <w:sz w:val="24"/>
                <w:highlight w:val="yellow"/>
              </w:rPr>
              <w:t>年</w:t>
            </w:r>
            <w:r>
              <w:rPr>
                <w:rFonts w:hint="eastAsia" w:ascii="宋体" w:hAnsi="宋体"/>
                <w:color w:val="000000"/>
                <w:kern w:val="10"/>
                <w:sz w:val="24"/>
                <w:highlight w:val="yellow"/>
                <w:lang w:val="en-US" w:eastAsia="zh-CN"/>
              </w:rPr>
              <w:t>7</w:t>
            </w:r>
            <w:r>
              <w:rPr>
                <w:rFonts w:hint="eastAsia" w:ascii="宋体" w:hAnsi="宋体"/>
                <w:color w:val="000000"/>
                <w:kern w:val="10"/>
                <w:sz w:val="24"/>
                <w:highlight w:val="yellow"/>
              </w:rPr>
              <w:t xml:space="preserve"> 月</w:t>
            </w:r>
            <w:r>
              <w:rPr>
                <w:rFonts w:hint="eastAsia" w:ascii="宋体" w:hAnsi="宋体"/>
                <w:color w:val="000000"/>
                <w:kern w:val="10"/>
                <w:sz w:val="24"/>
                <w:highlight w:val="yellow"/>
                <w:lang w:val="en-US" w:eastAsia="zh-CN"/>
              </w:rPr>
              <w:t>5</w:t>
            </w:r>
            <w:r>
              <w:rPr>
                <w:rFonts w:hint="eastAsia" w:ascii="宋体" w:hAnsi="宋体"/>
                <w:color w:val="000000"/>
                <w:kern w:val="10"/>
                <w:sz w:val="24"/>
                <w:highlight w:val="yellow"/>
              </w:rPr>
              <w:t xml:space="preserve"> 日</w:t>
            </w:r>
            <w:r>
              <w:rPr>
                <w:rFonts w:hint="eastAsia" w:ascii="宋体" w:hAnsi="宋体"/>
                <w:color w:val="000000"/>
                <w:kern w:val="10"/>
                <w:sz w:val="24"/>
                <w:highlight w:val="yellow"/>
                <w:lang w:val="en-US" w:eastAsia="zh-CN"/>
              </w:rPr>
              <w:t>9</w:t>
            </w:r>
            <w:r>
              <w:rPr>
                <w:rFonts w:hint="eastAsia" w:ascii="宋体" w:hAnsi="宋体"/>
                <w:color w:val="000000"/>
                <w:kern w:val="10"/>
                <w:sz w:val="24"/>
                <w:highlight w:val="yellow"/>
              </w:rPr>
              <w:t xml:space="preserve"> 时</w:t>
            </w:r>
            <w:r>
              <w:rPr>
                <w:rFonts w:hint="eastAsia" w:ascii="宋体" w:hAnsi="宋体"/>
                <w:color w:val="000000"/>
                <w:kern w:val="10"/>
                <w:sz w:val="24"/>
                <w:highlight w:val="yellow"/>
                <w:lang w:val="en-US" w:eastAsia="zh-CN"/>
              </w:rPr>
              <w:t>00</w:t>
            </w:r>
            <w:r>
              <w:rPr>
                <w:rFonts w:hint="eastAsia" w:ascii="宋体" w:hAnsi="宋体"/>
                <w:color w:val="000000"/>
                <w:kern w:val="10"/>
                <w:sz w:val="24"/>
                <w:highlight w:val="yellow"/>
              </w:rPr>
              <w:t xml:space="preserve"> 分（北京时间）前不得开启。（同开标时间）</w:t>
            </w:r>
          </w:p>
        </w:tc>
      </w:tr>
      <w:tr w14:paraId="00B97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3C09B5D">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25</w:t>
            </w:r>
          </w:p>
        </w:tc>
        <w:tc>
          <w:tcPr>
            <w:tcW w:w="2193" w:type="dxa"/>
            <w:tcBorders>
              <w:top w:val="single" w:color="auto" w:sz="4" w:space="0"/>
              <w:left w:val="single" w:color="auto" w:sz="4" w:space="0"/>
              <w:bottom w:val="single" w:color="auto" w:sz="4" w:space="0"/>
              <w:right w:val="single" w:color="auto" w:sz="4" w:space="0"/>
            </w:tcBorders>
            <w:vAlign w:val="center"/>
          </w:tcPr>
          <w:p w14:paraId="62B8C95A">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投标截止时间及开标时间</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743CB864">
            <w:pPr>
              <w:tabs>
                <w:tab w:val="left" w:pos="1180"/>
              </w:tabs>
              <w:adjustRightInd w:val="0"/>
              <w:snapToGrid w:val="0"/>
              <w:spacing w:line="360" w:lineRule="auto"/>
              <w:rPr>
                <w:rFonts w:ascii="宋体" w:hAnsi="宋体"/>
                <w:sz w:val="24"/>
                <w:szCs w:val="24"/>
              </w:rPr>
            </w:pPr>
            <w:r>
              <w:rPr>
                <w:rFonts w:hint="eastAsia" w:ascii="宋体" w:hAnsi="宋体"/>
                <w:color w:val="000000"/>
                <w:kern w:val="10"/>
                <w:sz w:val="24"/>
              </w:rPr>
              <w:t>2023年</w:t>
            </w:r>
            <w:r>
              <w:rPr>
                <w:rFonts w:hint="eastAsia" w:ascii="宋体" w:hAnsi="宋体"/>
                <w:color w:val="000000"/>
                <w:kern w:val="10"/>
                <w:sz w:val="24"/>
                <w:lang w:val="en-US" w:eastAsia="zh-CN"/>
              </w:rPr>
              <w:t>7</w:t>
            </w:r>
            <w:r>
              <w:rPr>
                <w:rFonts w:hint="eastAsia" w:ascii="宋体" w:hAnsi="宋体"/>
                <w:color w:val="000000"/>
                <w:kern w:val="10"/>
                <w:sz w:val="24"/>
              </w:rPr>
              <w:t>月</w:t>
            </w:r>
            <w:r>
              <w:rPr>
                <w:rFonts w:hint="eastAsia" w:ascii="宋体" w:hAnsi="宋体"/>
                <w:color w:val="000000"/>
                <w:kern w:val="10"/>
                <w:sz w:val="24"/>
                <w:lang w:val="en-US" w:eastAsia="zh-CN"/>
              </w:rPr>
              <w:t>5</w:t>
            </w:r>
            <w:r>
              <w:rPr>
                <w:rFonts w:hint="eastAsia" w:ascii="宋体" w:hAnsi="宋体"/>
                <w:color w:val="000000"/>
                <w:kern w:val="10"/>
                <w:sz w:val="24"/>
              </w:rPr>
              <w:t>日</w:t>
            </w:r>
            <w:r>
              <w:rPr>
                <w:rFonts w:hint="eastAsia" w:ascii="宋体" w:hAnsi="宋体"/>
                <w:color w:val="000000"/>
                <w:kern w:val="10"/>
                <w:sz w:val="24"/>
                <w:lang w:val="en-US" w:eastAsia="zh-CN"/>
              </w:rPr>
              <w:t>9</w:t>
            </w:r>
            <w:r>
              <w:rPr>
                <w:rFonts w:hint="eastAsia" w:ascii="宋体" w:hAnsi="宋体"/>
                <w:color w:val="000000"/>
                <w:kern w:val="10"/>
                <w:sz w:val="24"/>
              </w:rPr>
              <w:t>点</w:t>
            </w:r>
            <w:r>
              <w:rPr>
                <w:rFonts w:hint="eastAsia" w:ascii="宋体" w:hAnsi="宋体"/>
                <w:color w:val="000000"/>
                <w:kern w:val="10"/>
                <w:sz w:val="24"/>
                <w:lang w:val="en-US" w:eastAsia="zh-CN"/>
              </w:rPr>
              <w:t>00</w:t>
            </w:r>
            <w:r>
              <w:rPr>
                <w:rFonts w:hint="eastAsia" w:ascii="宋体" w:hAnsi="宋体"/>
                <w:color w:val="000000"/>
                <w:kern w:val="10"/>
                <w:sz w:val="24"/>
              </w:rPr>
              <w:t>分（北京时间）</w:t>
            </w:r>
          </w:p>
        </w:tc>
      </w:tr>
      <w:tr w14:paraId="30E1B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C14D104">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26</w:t>
            </w:r>
          </w:p>
        </w:tc>
        <w:tc>
          <w:tcPr>
            <w:tcW w:w="2193" w:type="dxa"/>
            <w:tcBorders>
              <w:top w:val="single" w:color="auto" w:sz="4" w:space="0"/>
              <w:left w:val="single" w:color="auto" w:sz="4" w:space="0"/>
              <w:bottom w:val="single" w:color="auto" w:sz="4" w:space="0"/>
              <w:right w:val="single" w:color="auto" w:sz="4" w:space="0"/>
            </w:tcBorders>
            <w:vAlign w:val="center"/>
          </w:tcPr>
          <w:p w14:paraId="7399E93C">
            <w:pPr>
              <w:adjustRightInd w:val="0"/>
              <w:snapToGrid w:val="0"/>
              <w:spacing w:line="360" w:lineRule="auto"/>
              <w:rPr>
                <w:rFonts w:ascii="宋体" w:hAnsi="宋体"/>
                <w:bCs/>
                <w:color w:val="000000"/>
                <w:sz w:val="24"/>
                <w:szCs w:val="24"/>
              </w:rPr>
            </w:pPr>
            <w:r>
              <w:rPr>
                <w:rFonts w:hint="eastAsia" w:ascii="宋体" w:hAnsi="宋体"/>
                <w:bCs/>
                <w:color w:val="000000"/>
                <w:sz w:val="24"/>
                <w:szCs w:val="24"/>
              </w:rPr>
              <w:t>投标文件递交及开标地点</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E6D1783">
            <w:pPr>
              <w:tabs>
                <w:tab w:val="left" w:pos="1180"/>
              </w:tabs>
              <w:adjustRightInd w:val="0"/>
              <w:snapToGrid w:val="0"/>
              <w:spacing w:line="360" w:lineRule="auto"/>
              <w:rPr>
                <w:rFonts w:ascii="宋体" w:hAnsi="宋体"/>
                <w:color w:val="000000"/>
                <w:kern w:val="10"/>
                <w:sz w:val="24"/>
              </w:rPr>
            </w:pPr>
            <w:r>
              <w:rPr>
                <w:rFonts w:hint="eastAsia" w:ascii="宋体" w:hAnsi="宋体"/>
                <w:color w:val="000000"/>
                <w:kern w:val="10"/>
                <w:sz w:val="24"/>
              </w:rPr>
              <w:t>各投标人需要在投标截止时间之前将投标材料提交安徽省第二人民医院C楼G层总务处</w:t>
            </w:r>
          </w:p>
          <w:p w14:paraId="4A556D16">
            <w:pPr>
              <w:tabs>
                <w:tab w:val="left" w:pos="1180"/>
              </w:tabs>
              <w:adjustRightInd w:val="0"/>
              <w:snapToGrid w:val="0"/>
              <w:spacing w:line="360" w:lineRule="auto"/>
              <w:rPr>
                <w:rFonts w:ascii="宋体" w:hAnsi="宋体"/>
                <w:sz w:val="24"/>
                <w:szCs w:val="24"/>
              </w:rPr>
            </w:pPr>
            <w:r>
              <w:rPr>
                <w:rFonts w:hint="eastAsia" w:ascii="宋体" w:hAnsi="宋体"/>
                <w:color w:val="000000"/>
                <w:kern w:val="10"/>
                <w:sz w:val="24"/>
              </w:rPr>
              <w:t>开标地点：安徽省第二人民医院C楼G层总务处。</w:t>
            </w:r>
          </w:p>
        </w:tc>
      </w:tr>
      <w:tr w14:paraId="4B9B3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967BB77">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27</w:t>
            </w:r>
          </w:p>
        </w:tc>
        <w:tc>
          <w:tcPr>
            <w:tcW w:w="2193" w:type="dxa"/>
            <w:tcBorders>
              <w:top w:val="single" w:color="auto" w:sz="4" w:space="0"/>
              <w:left w:val="single" w:color="auto" w:sz="4" w:space="0"/>
              <w:bottom w:val="single" w:color="auto" w:sz="4" w:space="0"/>
              <w:right w:val="single" w:color="auto" w:sz="4" w:space="0"/>
            </w:tcBorders>
            <w:vAlign w:val="center"/>
          </w:tcPr>
          <w:p w14:paraId="764835DD">
            <w:pPr>
              <w:adjustRightInd w:val="0"/>
              <w:snapToGrid w:val="0"/>
              <w:spacing w:line="360" w:lineRule="auto"/>
              <w:rPr>
                <w:rFonts w:ascii="宋体" w:hAnsi="宋体"/>
                <w:color w:val="000000"/>
                <w:sz w:val="24"/>
                <w:szCs w:val="24"/>
              </w:rPr>
            </w:pPr>
            <w:r>
              <w:rPr>
                <w:rFonts w:hint="eastAsia" w:ascii="宋体" w:hAnsi="宋体"/>
                <w:color w:val="000000"/>
                <w:sz w:val="24"/>
                <w:szCs w:val="24"/>
              </w:rPr>
              <w:t>评标方法</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064B792">
            <w:pPr>
              <w:adjustRightInd w:val="0"/>
              <w:snapToGrid w:val="0"/>
              <w:spacing w:line="360" w:lineRule="auto"/>
              <w:rPr>
                <w:rFonts w:ascii="宋体" w:hAnsi="宋体"/>
                <w:color w:val="000000"/>
                <w:sz w:val="24"/>
                <w:szCs w:val="24"/>
              </w:rPr>
            </w:pPr>
            <w:r>
              <w:rPr>
                <w:rFonts w:hint="eastAsia" w:ascii="宋体" w:hAnsi="宋体"/>
                <w:color w:val="000000"/>
                <w:kern w:val="10"/>
                <w:sz w:val="24"/>
              </w:rPr>
              <w:t>综合评标法</w:t>
            </w:r>
          </w:p>
        </w:tc>
      </w:tr>
      <w:tr w14:paraId="2791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F8A0AC3">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28</w:t>
            </w:r>
          </w:p>
        </w:tc>
        <w:tc>
          <w:tcPr>
            <w:tcW w:w="2193" w:type="dxa"/>
            <w:tcBorders>
              <w:top w:val="single" w:color="auto" w:sz="4" w:space="0"/>
              <w:left w:val="single" w:color="auto" w:sz="4" w:space="0"/>
              <w:bottom w:val="single" w:color="auto" w:sz="4" w:space="0"/>
              <w:right w:val="single" w:color="auto" w:sz="4" w:space="0"/>
            </w:tcBorders>
            <w:vAlign w:val="center"/>
          </w:tcPr>
          <w:p w14:paraId="235AD5B7">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评标委员会的组建</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3D573B2B">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lang w:val="en-US" w:eastAsia="zh-CN"/>
              </w:rPr>
              <w:t>5</w:t>
            </w:r>
            <w:r>
              <w:rPr>
                <w:rFonts w:hint="eastAsia" w:ascii="宋体" w:hAnsi="宋体"/>
                <w:color w:val="000000"/>
                <w:kern w:val="10"/>
                <w:sz w:val="24"/>
              </w:rPr>
              <w:t>人</w:t>
            </w:r>
            <w:r>
              <w:rPr>
                <w:rFonts w:hint="eastAsia" w:ascii="宋体" w:hAnsi="宋体"/>
                <w:bCs/>
                <w:sz w:val="24"/>
                <w:szCs w:val="24"/>
              </w:rPr>
              <w:t>及以上单数，评标专家确定方式</w:t>
            </w:r>
            <w:r>
              <w:rPr>
                <w:rFonts w:hint="eastAsia" w:ascii="宋体" w:hAnsi="宋体"/>
                <w:bCs/>
                <w:sz w:val="24"/>
                <w:szCs w:val="24"/>
                <w:lang w:eastAsia="zh-CN"/>
              </w:rPr>
              <w:t>：</w:t>
            </w:r>
            <w:r>
              <w:rPr>
                <w:rFonts w:hint="eastAsia" w:ascii="宋体" w:hAnsi="宋体"/>
                <w:bCs/>
                <w:sz w:val="24"/>
                <w:szCs w:val="24"/>
              </w:rPr>
              <w:t>安徽省第二人民医院评标专家库随机抽取。</w:t>
            </w:r>
          </w:p>
        </w:tc>
      </w:tr>
      <w:tr w14:paraId="0C4A7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E96C453">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29</w:t>
            </w:r>
          </w:p>
        </w:tc>
        <w:tc>
          <w:tcPr>
            <w:tcW w:w="2193" w:type="dxa"/>
            <w:tcBorders>
              <w:top w:val="single" w:color="auto" w:sz="4" w:space="0"/>
              <w:left w:val="single" w:color="auto" w:sz="4" w:space="0"/>
              <w:bottom w:val="single" w:color="auto" w:sz="4" w:space="0"/>
              <w:right w:val="single" w:color="auto" w:sz="4" w:space="0"/>
            </w:tcBorders>
            <w:vAlign w:val="center"/>
          </w:tcPr>
          <w:p w14:paraId="1DF33540">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是否授权评标委员会确定中标人</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A90C681">
            <w:pPr>
              <w:adjustRightInd w:val="0"/>
              <w:snapToGrid w:val="0"/>
              <w:spacing w:line="360" w:lineRule="auto"/>
              <w:rPr>
                <w:rFonts w:ascii="宋体" w:hAnsi="宋体"/>
                <w:color w:val="000000"/>
                <w:kern w:val="10"/>
                <w:sz w:val="24"/>
                <w:szCs w:val="24"/>
              </w:rPr>
            </w:pPr>
            <w:r>
              <w:rPr>
                <w:rFonts w:hint="eastAsia" w:ascii="宋体" w:hAnsi="宋体"/>
                <w:color w:val="000000"/>
                <w:kern w:val="10"/>
                <w:sz w:val="24"/>
                <w:szCs w:val="24"/>
              </w:rPr>
              <w:t>是</w:t>
            </w:r>
          </w:p>
        </w:tc>
      </w:tr>
      <w:tr w14:paraId="37165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F7002F5">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0</w:t>
            </w:r>
          </w:p>
        </w:tc>
        <w:tc>
          <w:tcPr>
            <w:tcW w:w="2193" w:type="dxa"/>
            <w:tcBorders>
              <w:top w:val="single" w:color="auto" w:sz="4" w:space="0"/>
              <w:left w:val="single" w:color="auto" w:sz="4" w:space="0"/>
              <w:bottom w:val="single" w:color="auto" w:sz="4" w:space="0"/>
              <w:right w:val="single" w:color="auto" w:sz="4" w:space="0"/>
            </w:tcBorders>
            <w:vAlign w:val="center"/>
          </w:tcPr>
          <w:p w14:paraId="5C264B07">
            <w:pPr>
              <w:adjustRightInd w:val="0"/>
              <w:snapToGrid w:val="0"/>
              <w:spacing w:line="360" w:lineRule="auto"/>
              <w:rPr>
                <w:rFonts w:ascii="宋体" w:hAnsi="宋体"/>
                <w:sz w:val="24"/>
                <w:szCs w:val="24"/>
              </w:rPr>
            </w:pPr>
            <w:r>
              <w:rPr>
                <w:rFonts w:hint="eastAsia" w:ascii="宋体" w:hAnsi="宋体"/>
                <w:sz w:val="24"/>
                <w:szCs w:val="24"/>
              </w:rPr>
              <w:t>服务地点</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1BCCBD9B">
            <w:pPr>
              <w:spacing w:line="360" w:lineRule="auto"/>
              <w:rPr>
                <w:rFonts w:ascii="宋体" w:hAnsi="宋体"/>
                <w:sz w:val="24"/>
                <w:szCs w:val="24"/>
              </w:rPr>
            </w:pPr>
            <w:r>
              <w:rPr>
                <w:rFonts w:hint="eastAsia" w:ascii="宋体" w:hAnsi="宋体"/>
                <w:sz w:val="24"/>
                <w:szCs w:val="24"/>
              </w:rPr>
              <w:t>安徽省第二人民医院</w:t>
            </w:r>
          </w:p>
        </w:tc>
      </w:tr>
      <w:tr w14:paraId="77504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5"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BF30543">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1</w:t>
            </w:r>
          </w:p>
        </w:tc>
        <w:tc>
          <w:tcPr>
            <w:tcW w:w="2193" w:type="dxa"/>
            <w:tcBorders>
              <w:top w:val="single" w:color="auto" w:sz="4" w:space="0"/>
              <w:left w:val="single" w:color="auto" w:sz="4" w:space="0"/>
              <w:bottom w:val="single" w:color="auto" w:sz="4" w:space="0"/>
              <w:right w:val="single" w:color="auto" w:sz="4" w:space="0"/>
            </w:tcBorders>
            <w:vAlign w:val="center"/>
          </w:tcPr>
          <w:p w14:paraId="590A7EFA">
            <w:pPr>
              <w:adjustRightInd w:val="0"/>
              <w:snapToGrid w:val="0"/>
              <w:spacing w:line="360" w:lineRule="auto"/>
              <w:rPr>
                <w:rFonts w:ascii="宋体" w:hAnsi="宋体"/>
                <w:sz w:val="24"/>
                <w:szCs w:val="24"/>
              </w:rPr>
            </w:pPr>
            <w:r>
              <w:rPr>
                <w:rFonts w:hint="eastAsia" w:ascii="宋体" w:hAnsi="宋体"/>
                <w:sz w:val="24"/>
                <w:szCs w:val="24"/>
              </w:rPr>
              <w:t>服务期</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023FD798">
            <w:pPr>
              <w:spacing w:line="360" w:lineRule="auto"/>
              <w:rPr>
                <w:rFonts w:ascii="宋体" w:hAnsi="宋体"/>
                <w:kern w:val="10"/>
                <w:sz w:val="24"/>
                <w:szCs w:val="24"/>
              </w:rPr>
            </w:pPr>
            <w:r>
              <w:rPr>
                <w:rFonts w:hint="eastAsia" w:ascii="宋体" w:hAnsi="宋体"/>
                <w:bCs/>
                <w:sz w:val="24"/>
                <w:szCs w:val="24"/>
                <w:highlight w:val="yellow"/>
              </w:rPr>
              <w:t>项目并网验收之日起2</w:t>
            </w:r>
            <w:r>
              <w:rPr>
                <w:rFonts w:hint="eastAsia" w:ascii="宋体" w:hAnsi="宋体"/>
                <w:bCs/>
                <w:sz w:val="24"/>
                <w:szCs w:val="24"/>
                <w:highlight w:val="yellow"/>
                <w:lang w:val="en-US" w:eastAsia="zh-CN"/>
              </w:rPr>
              <w:t>0</w:t>
            </w:r>
            <w:r>
              <w:rPr>
                <w:rFonts w:hint="eastAsia" w:ascii="宋体" w:hAnsi="宋体"/>
                <w:bCs/>
                <w:sz w:val="24"/>
                <w:szCs w:val="24"/>
                <w:highlight w:val="yellow"/>
              </w:rPr>
              <w:t>年，</w:t>
            </w:r>
            <w:r>
              <w:rPr>
                <w:rFonts w:hint="eastAsia" w:ascii="宋体" w:hAnsi="宋体"/>
                <w:bCs/>
                <w:sz w:val="24"/>
                <w:szCs w:val="24"/>
                <w:highlight w:val="yellow"/>
                <w:lang w:eastAsia="zh-CN"/>
              </w:rPr>
              <w:t>可续约</w:t>
            </w:r>
            <w:r>
              <w:rPr>
                <w:rFonts w:hint="eastAsia" w:ascii="宋体" w:hAnsi="宋体"/>
                <w:bCs/>
                <w:sz w:val="24"/>
                <w:szCs w:val="24"/>
                <w:highlight w:val="yellow"/>
                <w:lang w:val="en-US" w:eastAsia="zh-CN"/>
              </w:rPr>
              <w:t>5年，</w:t>
            </w:r>
            <w:r>
              <w:rPr>
                <w:rFonts w:hint="eastAsia" w:ascii="宋体" w:hAnsi="宋体"/>
                <w:bCs/>
                <w:sz w:val="24"/>
                <w:szCs w:val="24"/>
                <w:highlight w:val="yellow"/>
              </w:rPr>
              <w:t>中途不得转让。</w:t>
            </w:r>
          </w:p>
        </w:tc>
      </w:tr>
      <w:tr w14:paraId="75075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74C5A5C">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2</w:t>
            </w:r>
          </w:p>
        </w:tc>
        <w:tc>
          <w:tcPr>
            <w:tcW w:w="2193" w:type="dxa"/>
            <w:tcBorders>
              <w:top w:val="single" w:color="auto" w:sz="4" w:space="0"/>
              <w:left w:val="single" w:color="auto" w:sz="4" w:space="0"/>
              <w:bottom w:val="single" w:color="auto" w:sz="4" w:space="0"/>
              <w:right w:val="single" w:color="auto" w:sz="4" w:space="0"/>
            </w:tcBorders>
            <w:vAlign w:val="center"/>
          </w:tcPr>
          <w:p w14:paraId="09619D12">
            <w:pPr>
              <w:spacing w:line="360" w:lineRule="auto"/>
              <w:rPr>
                <w:rFonts w:ascii="宋体" w:hAnsi="宋体"/>
                <w:sz w:val="24"/>
                <w:szCs w:val="24"/>
              </w:rPr>
            </w:pPr>
            <w:r>
              <w:rPr>
                <w:rFonts w:hint="eastAsia" w:ascii="宋体" w:hAnsi="宋体"/>
                <w:bCs/>
                <w:kern w:val="10"/>
                <w:sz w:val="24"/>
                <w:szCs w:val="24"/>
              </w:rPr>
              <w:t>支付要求</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21889B37">
            <w:pPr>
              <w:spacing w:line="360" w:lineRule="auto"/>
              <w:rPr>
                <w:rFonts w:ascii="宋体" w:hAnsi="宋体" w:cs="宋体"/>
                <w:sz w:val="24"/>
                <w:szCs w:val="24"/>
                <w:highlight w:val="yellow"/>
                <w:lang w:val="zh-CN"/>
              </w:rPr>
            </w:pPr>
            <w:r>
              <w:rPr>
                <w:rFonts w:hint="eastAsia" w:ascii="宋体" w:hAnsi="宋体"/>
                <w:sz w:val="24"/>
                <w:szCs w:val="24"/>
                <w:lang w:val="zh-CN"/>
              </w:rPr>
              <w:t>本项目</w:t>
            </w:r>
            <w:r>
              <w:rPr>
                <w:rFonts w:hint="eastAsia" w:ascii="宋体" w:hAnsi="宋体"/>
                <w:sz w:val="24"/>
                <w:szCs w:val="24"/>
              </w:rPr>
              <w:t>中标方</w:t>
            </w:r>
            <w:r>
              <w:rPr>
                <w:rFonts w:hint="eastAsia" w:ascii="宋体" w:hAnsi="宋体"/>
                <w:sz w:val="24"/>
                <w:szCs w:val="24"/>
                <w:lang w:val="zh-CN"/>
              </w:rPr>
              <w:t>无需支付屋顶租金，但中标方建设的屋顶分布式光伏项目并网发电后，中标方需按投标时确定的折扣比例</w:t>
            </w:r>
            <w:r>
              <w:rPr>
                <w:rFonts w:hint="eastAsia" w:ascii="宋体" w:hAnsi="宋体"/>
                <w:sz w:val="24"/>
                <w:szCs w:val="24"/>
                <w:lang w:val="en-US" w:eastAsia="zh-CN"/>
              </w:rPr>
              <w:t>将光伏电站所发电量优先</w:t>
            </w:r>
            <w:r>
              <w:rPr>
                <w:rFonts w:hint="eastAsia" w:ascii="宋体" w:hAnsi="宋体"/>
                <w:sz w:val="24"/>
                <w:szCs w:val="24"/>
                <w:lang w:val="zh-CN"/>
              </w:rPr>
              <w:t>供给安徽省第二人民医院使用。</w:t>
            </w:r>
          </w:p>
        </w:tc>
      </w:tr>
      <w:tr w14:paraId="38A6F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1A4E386">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3</w:t>
            </w:r>
          </w:p>
        </w:tc>
        <w:tc>
          <w:tcPr>
            <w:tcW w:w="2193" w:type="dxa"/>
            <w:tcBorders>
              <w:top w:val="single" w:color="auto" w:sz="4" w:space="0"/>
              <w:left w:val="single" w:color="auto" w:sz="4" w:space="0"/>
              <w:bottom w:val="single" w:color="auto" w:sz="4" w:space="0"/>
              <w:right w:val="single" w:color="auto" w:sz="4" w:space="0"/>
            </w:tcBorders>
            <w:vAlign w:val="center"/>
          </w:tcPr>
          <w:p w14:paraId="481B27D0">
            <w:pPr>
              <w:spacing w:line="360" w:lineRule="auto"/>
              <w:rPr>
                <w:rFonts w:ascii="宋体" w:hAnsi="宋体"/>
                <w:color w:val="000000"/>
                <w:sz w:val="24"/>
                <w:szCs w:val="24"/>
              </w:rPr>
            </w:pPr>
            <w:r>
              <w:rPr>
                <w:rFonts w:hint="eastAsia" w:ascii="宋体" w:hAnsi="宋体"/>
                <w:color w:val="000000"/>
                <w:sz w:val="24"/>
                <w:szCs w:val="24"/>
              </w:rPr>
              <w:t>其他要求</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20F3E433">
            <w:pPr>
              <w:spacing w:line="360" w:lineRule="auto"/>
              <w:rPr>
                <w:rFonts w:ascii="宋体" w:hAnsi="宋体"/>
                <w:bCs/>
                <w:color w:val="000000"/>
                <w:sz w:val="24"/>
                <w:szCs w:val="24"/>
              </w:rPr>
            </w:pPr>
            <w:r>
              <w:rPr>
                <w:rFonts w:hint="eastAsia" w:ascii="宋体" w:hAnsi="宋体"/>
                <w:bCs/>
                <w:color w:val="000000"/>
                <w:sz w:val="24"/>
                <w:szCs w:val="24"/>
              </w:rPr>
              <w:t>1.投标人应仔细阅读招标文件中的所有内容（包括说明、格式、条款和技术要求）。由于对招标文件的理解发生误差，以及没有按招标文件要求提供全部资料或递交没有实质性响应招标文件的投标文件，而造成投标失误，将由投标人承担其风险。</w:t>
            </w:r>
          </w:p>
          <w:p w14:paraId="3EE8C39A">
            <w:pPr>
              <w:spacing w:line="360" w:lineRule="auto"/>
              <w:rPr>
                <w:rFonts w:ascii="宋体" w:hAnsi="宋体"/>
                <w:b/>
                <w:bCs/>
                <w:color w:val="000000"/>
                <w:sz w:val="24"/>
                <w:szCs w:val="24"/>
              </w:rPr>
            </w:pPr>
            <w:r>
              <w:rPr>
                <w:rFonts w:hint="eastAsia" w:ascii="宋体" w:hAnsi="宋体"/>
                <w:bCs/>
                <w:color w:val="000000"/>
                <w:sz w:val="24"/>
                <w:szCs w:val="24"/>
              </w:rPr>
              <w:t>2.投标人在获取招标文件后，应仔细阅读招标文件参数等各项条款，如有疑问应在招标文件规定时间前向招标人或代理机构提出，如到期未提出的，将被视为认可招标文件的所有内容，招标人或代理机构将不再接受投标人针对招标文件条款提出的任何疑问。</w:t>
            </w:r>
          </w:p>
        </w:tc>
      </w:tr>
      <w:tr w14:paraId="672CB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6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DE12F48">
            <w:pPr>
              <w:adjustRightInd w:val="0"/>
              <w:snapToGrid w:val="0"/>
              <w:spacing w:line="360" w:lineRule="auto"/>
              <w:jc w:val="center"/>
              <w:rPr>
                <w:rFonts w:ascii="宋体" w:hAnsi="宋体"/>
                <w:color w:val="000000"/>
                <w:sz w:val="24"/>
                <w:szCs w:val="24"/>
              </w:rPr>
            </w:pPr>
            <w:r>
              <w:rPr>
                <w:rFonts w:ascii="宋体" w:hAnsi="宋体"/>
                <w:color w:val="000000"/>
                <w:sz w:val="24"/>
                <w:szCs w:val="24"/>
              </w:rPr>
              <w:t>34</w:t>
            </w:r>
          </w:p>
        </w:tc>
        <w:tc>
          <w:tcPr>
            <w:tcW w:w="2193" w:type="dxa"/>
            <w:tcBorders>
              <w:top w:val="single" w:color="auto" w:sz="4" w:space="0"/>
              <w:left w:val="single" w:color="auto" w:sz="4" w:space="0"/>
              <w:bottom w:val="single" w:color="auto" w:sz="4" w:space="0"/>
              <w:right w:val="single" w:color="auto" w:sz="4" w:space="0"/>
            </w:tcBorders>
            <w:vAlign w:val="center"/>
          </w:tcPr>
          <w:p w14:paraId="0618D36F">
            <w:pPr>
              <w:spacing w:line="360" w:lineRule="auto"/>
              <w:rPr>
                <w:rFonts w:ascii="宋体" w:hAnsi="宋体"/>
                <w:color w:val="000000"/>
                <w:sz w:val="24"/>
                <w:szCs w:val="24"/>
              </w:rPr>
            </w:pPr>
            <w:r>
              <w:rPr>
                <w:rFonts w:hint="eastAsia" w:ascii="宋体" w:hAnsi="宋体"/>
                <w:color w:val="000000"/>
                <w:sz w:val="24"/>
                <w:szCs w:val="24"/>
              </w:rPr>
              <w:t>备注一</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60C5CA5F">
            <w:pPr>
              <w:spacing w:line="360" w:lineRule="auto"/>
              <w:rPr>
                <w:rFonts w:ascii="宋体" w:hAnsi="宋体"/>
                <w:bCs/>
                <w:sz w:val="24"/>
              </w:rPr>
            </w:pPr>
            <w:r>
              <w:rPr>
                <w:rFonts w:hint="eastAsia" w:ascii="宋体" w:hAnsi="宋体"/>
                <w:bCs/>
                <w:sz w:val="24"/>
              </w:rPr>
              <w:t>1.本项目不接受联合体投标。</w:t>
            </w:r>
          </w:p>
        </w:tc>
      </w:tr>
      <w:tr w14:paraId="762AA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7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47B3C5D">
            <w:pPr>
              <w:adjustRightInd w:val="0"/>
              <w:snapToGrid w:val="0"/>
              <w:spacing w:line="360" w:lineRule="auto"/>
              <w:jc w:val="center"/>
              <w:rPr>
                <w:rFonts w:ascii="宋体" w:hAnsi="宋体"/>
                <w:color w:val="000000"/>
                <w:sz w:val="24"/>
                <w:szCs w:val="24"/>
              </w:rPr>
            </w:pPr>
            <w:r>
              <w:rPr>
                <w:rFonts w:ascii="宋体" w:hAnsi="宋体"/>
                <w:color w:val="000000"/>
                <w:sz w:val="24"/>
                <w:szCs w:val="24"/>
              </w:rPr>
              <w:t>35</w:t>
            </w:r>
          </w:p>
        </w:tc>
        <w:tc>
          <w:tcPr>
            <w:tcW w:w="2193" w:type="dxa"/>
            <w:tcBorders>
              <w:top w:val="single" w:color="auto" w:sz="4" w:space="0"/>
              <w:left w:val="single" w:color="auto" w:sz="4" w:space="0"/>
              <w:bottom w:val="single" w:color="auto" w:sz="4" w:space="0"/>
              <w:right w:val="single" w:color="auto" w:sz="4" w:space="0"/>
            </w:tcBorders>
            <w:vAlign w:val="center"/>
          </w:tcPr>
          <w:p w14:paraId="577D14DE">
            <w:pPr>
              <w:spacing w:line="360" w:lineRule="auto"/>
              <w:rPr>
                <w:rFonts w:ascii="宋体" w:hAnsi="宋体"/>
                <w:color w:val="000000"/>
                <w:sz w:val="24"/>
                <w:szCs w:val="24"/>
              </w:rPr>
            </w:pPr>
            <w:r>
              <w:rPr>
                <w:rFonts w:hint="eastAsia" w:ascii="宋体" w:hAnsi="宋体"/>
                <w:color w:val="000000"/>
                <w:sz w:val="24"/>
                <w:szCs w:val="24"/>
              </w:rPr>
              <w:t>备注二</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089415F4">
            <w:pPr>
              <w:spacing w:line="360" w:lineRule="auto"/>
              <w:rPr>
                <w:rFonts w:ascii="宋体" w:hAnsi="宋体"/>
                <w:bCs/>
                <w:color w:val="000000"/>
                <w:sz w:val="24"/>
                <w:szCs w:val="24"/>
              </w:rPr>
            </w:pPr>
            <w:r>
              <w:rPr>
                <w:rFonts w:hint="eastAsia" w:ascii="宋体" w:hAnsi="宋体"/>
                <w:bCs/>
                <w:color w:val="000000"/>
                <w:sz w:val="24"/>
                <w:szCs w:val="24"/>
              </w:rPr>
              <w:t>1.投标人如对本项目答疑、开标、评标等时间安排存在异议，请在招标文件规定时间前提出，否则视同投标人默认本招标文件规定的所有时间安排，并视同投标人已与招标人达成认可所有时间安排的协议。事后招标人将不再接受任何对招标时间安排的异议。</w:t>
            </w:r>
          </w:p>
          <w:p w14:paraId="56566E3E">
            <w:pPr>
              <w:spacing w:line="360" w:lineRule="auto"/>
              <w:rPr>
                <w:rFonts w:ascii="宋体" w:hAnsi="宋体"/>
                <w:bCs/>
                <w:color w:val="000000"/>
                <w:sz w:val="24"/>
                <w:szCs w:val="24"/>
              </w:rPr>
            </w:pPr>
            <w:r>
              <w:rPr>
                <w:rFonts w:hint="eastAsia" w:ascii="宋体" w:hAnsi="宋体"/>
                <w:bCs/>
                <w:color w:val="000000"/>
                <w:sz w:val="24"/>
                <w:szCs w:val="24"/>
              </w:rPr>
              <w:t>2.本项目在客观因素情况下，有可能会在投标截止时间前在招标公告发布网站随时发布补遗答疑澄清等材料，请投标人自行查阅，招标人不承担投标人未及时获知有关信息的责任。</w:t>
            </w:r>
          </w:p>
        </w:tc>
      </w:tr>
      <w:tr w14:paraId="6AB12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AFE9055">
            <w:pPr>
              <w:adjustRightInd w:val="0"/>
              <w:snapToGrid w:val="0"/>
              <w:spacing w:line="360" w:lineRule="auto"/>
              <w:jc w:val="center"/>
              <w:rPr>
                <w:rFonts w:ascii="宋体" w:hAnsi="宋体"/>
                <w:color w:val="000000"/>
                <w:sz w:val="24"/>
                <w:szCs w:val="24"/>
              </w:rPr>
            </w:pPr>
            <w:r>
              <w:rPr>
                <w:rFonts w:ascii="宋体" w:hAnsi="宋体"/>
                <w:color w:val="000000"/>
                <w:sz w:val="24"/>
                <w:szCs w:val="24"/>
              </w:rPr>
              <w:t>36</w:t>
            </w:r>
          </w:p>
        </w:tc>
        <w:tc>
          <w:tcPr>
            <w:tcW w:w="2193" w:type="dxa"/>
            <w:tcBorders>
              <w:top w:val="single" w:color="auto" w:sz="4" w:space="0"/>
              <w:left w:val="single" w:color="auto" w:sz="4" w:space="0"/>
              <w:bottom w:val="single" w:color="auto" w:sz="4" w:space="0"/>
              <w:right w:val="single" w:color="auto" w:sz="4" w:space="0"/>
            </w:tcBorders>
            <w:vAlign w:val="center"/>
          </w:tcPr>
          <w:p w14:paraId="40C48CAE">
            <w:pPr>
              <w:spacing w:line="360" w:lineRule="auto"/>
              <w:rPr>
                <w:rFonts w:ascii="宋体" w:hAnsi="宋体"/>
                <w:bCs/>
                <w:color w:val="000000"/>
                <w:sz w:val="24"/>
                <w:szCs w:val="24"/>
              </w:rPr>
            </w:pPr>
            <w:r>
              <w:rPr>
                <w:rFonts w:hint="eastAsia" w:ascii="宋体" w:hAnsi="宋体"/>
                <w:bCs/>
                <w:color w:val="000000"/>
                <w:sz w:val="24"/>
                <w:szCs w:val="24"/>
              </w:rPr>
              <w:t>招标文件的解释权</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050DF136">
            <w:pPr>
              <w:spacing w:line="360" w:lineRule="auto"/>
              <w:rPr>
                <w:rFonts w:ascii="宋体" w:hAnsi="宋体"/>
                <w:bCs/>
                <w:color w:val="000000"/>
                <w:sz w:val="24"/>
                <w:szCs w:val="24"/>
              </w:rPr>
            </w:pPr>
            <w:r>
              <w:rPr>
                <w:rFonts w:hint="eastAsia" w:ascii="宋体" w:hAnsi="宋体"/>
                <w:bCs/>
                <w:color w:val="000000"/>
                <w:sz w:val="24"/>
                <w:szCs w:val="24"/>
              </w:rPr>
              <w:t>如投标人须知前附表的规定与投标人须知的规定不一致，以本投标人须知前附表的规定为准；构成本招标文件的各个组成文件应互为解释、互为说明，如有不明确或不一致，以国家技术标准和要求为准；构成合同组成内容的，以合同文件约定内容为准；投标文件评审标准以第四章评审细则为准；投标文件内容以第七章投标文件格式为准（不包括详细评审内容）。同一文件就同一事项的约定不一致的，以逻辑顺序在后者为准；同一文件不同版本之间不一致的，以形成时间在后者为准；按本款前述约定仍不能形成结论的，由招标人负责解释。</w:t>
            </w:r>
          </w:p>
        </w:tc>
      </w:tr>
      <w:tr w14:paraId="0A44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C79A03B">
            <w:pPr>
              <w:adjustRightInd w:val="0"/>
              <w:snapToGrid w:val="0"/>
              <w:spacing w:line="360" w:lineRule="auto"/>
              <w:jc w:val="center"/>
              <w:rPr>
                <w:rFonts w:ascii="宋体" w:hAnsi="宋体"/>
                <w:color w:val="000000"/>
                <w:sz w:val="24"/>
                <w:szCs w:val="24"/>
              </w:rPr>
            </w:pPr>
            <w:r>
              <w:rPr>
                <w:rFonts w:ascii="宋体" w:hAnsi="宋体"/>
                <w:color w:val="000000"/>
                <w:sz w:val="24"/>
                <w:szCs w:val="24"/>
              </w:rPr>
              <w:t>37</w:t>
            </w:r>
          </w:p>
        </w:tc>
        <w:tc>
          <w:tcPr>
            <w:tcW w:w="2193" w:type="dxa"/>
            <w:tcBorders>
              <w:top w:val="single" w:color="auto" w:sz="4" w:space="0"/>
              <w:left w:val="single" w:color="auto" w:sz="4" w:space="0"/>
              <w:bottom w:val="single" w:color="auto" w:sz="4" w:space="0"/>
              <w:right w:val="single" w:color="auto" w:sz="4" w:space="0"/>
            </w:tcBorders>
            <w:vAlign w:val="center"/>
          </w:tcPr>
          <w:p w14:paraId="4EA6CEAA">
            <w:pPr>
              <w:spacing w:line="360" w:lineRule="auto"/>
              <w:rPr>
                <w:rFonts w:ascii="宋体" w:hAnsi="宋体"/>
                <w:bCs/>
                <w:color w:val="000000"/>
                <w:sz w:val="24"/>
                <w:szCs w:val="24"/>
              </w:rPr>
            </w:pPr>
            <w:r>
              <w:rPr>
                <w:rFonts w:hint="eastAsia" w:ascii="宋体" w:hAnsi="宋体"/>
                <w:bCs/>
                <w:color w:val="000000"/>
                <w:sz w:val="24"/>
                <w:szCs w:val="24"/>
              </w:rPr>
              <w:t>关于投标文件盖章的说明</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0526F61A">
            <w:pPr>
              <w:spacing w:line="360" w:lineRule="auto"/>
              <w:rPr>
                <w:rFonts w:ascii="宋体" w:hAnsi="宋体"/>
                <w:bCs/>
                <w:color w:val="000000"/>
                <w:sz w:val="24"/>
                <w:szCs w:val="24"/>
              </w:rPr>
            </w:pPr>
            <w:r>
              <w:rPr>
                <w:rFonts w:hint="eastAsia" w:ascii="宋体" w:hAnsi="宋体"/>
                <w:bCs/>
                <w:color w:val="000000"/>
                <w:sz w:val="24"/>
                <w:szCs w:val="24"/>
              </w:rPr>
              <w:t>招标文件中明确要求加盖公章的，投标人必须加盖投标人单位公章。否则将导致响应无效。</w:t>
            </w:r>
          </w:p>
        </w:tc>
      </w:tr>
      <w:tr w14:paraId="036BD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3B5C943">
            <w:pPr>
              <w:adjustRightInd w:val="0"/>
              <w:snapToGrid w:val="0"/>
              <w:spacing w:line="360" w:lineRule="auto"/>
              <w:jc w:val="center"/>
              <w:rPr>
                <w:rFonts w:ascii="宋体" w:hAnsi="宋体"/>
                <w:color w:val="000000"/>
                <w:sz w:val="24"/>
                <w:szCs w:val="24"/>
              </w:rPr>
            </w:pPr>
            <w:r>
              <w:rPr>
                <w:rFonts w:ascii="宋体" w:hAnsi="宋体"/>
                <w:color w:val="000000"/>
                <w:sz w:val="24"/>
                <w:szCs w:val="24"/>
              </w:rPr>
              <w:t>38</w:t>
            </w:r>
          </w:p>
        </w:tc>
        <w:tc>
          <w:tcPr>
            <w:tcW w:w="2193" w:type="dxa"/>
            <w:tcBorders>
              <w:top w:val="single" w:color="auto" w:sz="4" w:space="0"/>
              <w:left w:val="single" w:color="auto" w:sz="4" w:space="0"/>
              <w:bottom w:val="single" w:color="auto" w:sz="4" w:space="0"/>
              <w:right w:val="single" w:color="auto" w:sz="4" w:space="0"/>
            </w:tcBorders>
            <w:vAlign w:val="center"/>
          </w:tcPr>
          <w:p w14:paraId="55A1D1AA">
            <w:pPr>
              <w:spacing w:line="360" w:lineRule="auto"/>
              <w:rPr>
                <w:rFonts w:ascii="宋体" w:hAnsi="宋体"/>
                <w:bCs/>
                <w:color w:val="000000"/>
                <w:sz w:val="24"/>
                <w:szCs w:val="24"/>
              </w:rPr>
            </w:pPr>
            <w:r>
              <w:rPr>
                <w:rFonts w:hint="eastAsia" w:ascii="宋体" w:hAnsi="宋体"/>
                <w:bCs/>
                <w:color w:val="000000"/>
                <w:sz w:val="24"/>
                <w:szCs w:val="24"/>
              </w:rPr>
              <w:t>投标文件内容不一致的确认</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7A8F6CCE">
            <w:pPr>
              <w:spacing w:line="360" w:lineRule="auto"/>
              <w:rPr>
                <w:rFonts w:ascii="宋体" w:hAnsi="宋体"/>
                <w:bCs/>
                <w:color w:val="000000"/>
                <w:sz w:val="24"/>
                <w:szCs w:val="24"/>
              </w:rPr>
            </w:pPr>
            <w:r>
              <w:rPr>
                <w:rFonts w:hint="eastAsia" w:ascii="宋体" w:hAnsi="宋体"/>
                <w:bCs/>
                <w:color w:val="000000"/>
                <w:sz w:val="24"/>
                <w:szCs w:val="24"/>
              </w:rPr>
              <w:t>投标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投标人的解释为准。</w:t>
            </w:r>
          </w:p>
        </w:tc>
      </w:tr>
      <w:tr w14:paraId="6B7BA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31AAA20">
            <w:pPr>
              <w:adjustRightInd w:val="0"/>
              <w:snapToGrid w:val="0"/>
              <w:spacing w:line="360" w:lineRule="auto"/>
              <w:jc w:val="center"/>
              <w:rPr>
                <w:rFonts w:ascii="宋体" w:hAnsi="宋体"/>
                <w:color w:val="000000"/>
                <w:sz w:val="24"/>
                <w:szCs w:val="24"/>
              </w:rPr>
            </w:pPr>
            <w:r>
              <w:rPr>
                <w:rFonts w:ascii="宋体" w:hAnsi="宋体"/>
                <w:color w:val="000000"/>
                <w:sz w:val="24"/>
                <w:szCs w:val="24"/>
              </w:rPr>
              <w:t>39</w:t>
            </w:r>
          </w:p>
        </w:tc>
        <w:tc>
          <w:tcPr>
            <w:tcW w:w="2193" w:type="dxa"/>
            <w:tcBorders>
              <w:top w:val="single" w:color="auto" w:sz="4" w:space="0"/>
              <w:left w:val="single" w:color="auto" w:sz="4" w:space="0"/>
              <w:bottom w:val="single" w:color="auto" w:sz="4" w:space="0"/>
              <w:right w:val="single" w:color="auto" w:sz="4" w:space="0"/>
            </w:tcBorders>
            <w:vAlign w:val="center"/>
          </w:tcPr>
          <w:p w14:paraId="6538A02D">
            <w:pPr>
              <w:spacing w:line="360" w:lineRule="auto"/>
              <w:rPr>
                <w:rFonts w:ascii="宋体" w:hAnsi="宋体"/>
                <w:bCs/>
                <w:color w:val="000000"/>
                <w:sz w:val="24"/>
                <w:szCs w:val="24"/>
              </w:rPr>
            </w:pPr>
            <w:r>
              <w:rPr>
                <w:rFonts w:hint="eastAsia" w:ascii="宋体" w:hAnsi="宋体"/>
                <w:bCs/>
                <w:color w:val="000000"/>
                <w:sz w:val="24"/>
                <w:szCs w:val="24"/>
              </w:rPr>
              <w:t>异议须知</w:t>
            </w:r>
          </w:p>
        </w:tc>
        <w:tc>
          <w:tcPr>
            <w:tcW w:w="6722" w:type="dxa"/>
            <w:gridSpan w:val="2"/>
            <w:tcBorders>
              <w:top w:val="single" w:color="auto" w:sz="4" w:space="0"/>
              <w:left w:val="single" w:color="auto" w:sz="4" w:space="0"/>
              <w:bottom w:val="single" w:color="auto" w:sz="4" w:space="0"/>
              <w:right w:val="single" w:color="auto" w:sz="4" w:space="0"/>
            </w:tcBorders>
            <w:vAlign w:val="center"/>
          </w:tcPr>
          <w:p w14:paraId="5C23575C">
            <w:pPr>
              <w:spacing w:line="360" w:lineRule="auto"/>
              <w:rPr>
                <w:rFonts w:ascii="宋体" w:hAnsi="宋体"/>
                <w:bCs/>
                <w:sz w:val="24"/>
                <w:szCs w:val="24"/>
              </w:rPr>
            </w:pPr>
            <w:r>
              <w:rPr>
                <w:rFonts w:hint="eastAsia" w:ascii="宋体" w:hAnsi="宋体"/>
                <w:bCs/>
                <w:sz w:val="24"/>
                <w:szCs w:val="24"/>
              </w:rPr>
              <w:t>参照《中华人民共和国招标投标法</w:t>
            </w:r>
            <w:r>
              <w:rPr>
                <w:rFonts w:hint="eastAsia" w:ascii="宋体" w:hAnsi="宋体"/>
                <w:bCs/>
                <w:sz w:val="24"/>
                <w:szCs w:val="24"/>
                <w:lang w:eastAsia="zh-CN"/>
              </w:rPr>
              <w:t>》《中华人民共和国招标投标法实施条例》</w:t>
            </w:r>
            <w:r>
              <w:rPr>
                <w:rFonts w:hint="eastAsia" w:ascii="宋体" w:hAnsi="宋体"/>
                <w:bCs/>
                <w:sz w:val="24"/>
                <w:szCs w:val="24"/>
              </w:rPr>
              <w:t>等法律法规</w:t>
            </w:r>
            <w:r>
              <w:rPr>
                <w:rFonts w:hint="eastAsia" w:ascii="宋体" w:hAnsi="宋体"/>
                <w:bCs/>
                <w:sz w:val="24"/>
                <w:szCs w:val="24"/>
                <w:lang w:eastAsia="zh-CN"/>
              </w:rPr>
              <w:t>，</w:t>
            </w:r>
            <w:r>
              <w:rPr>
                <w:rFonts w:hint="eastAsia" w:ascii="宋体" w:hAnsi="宋体"/>
                <w:bCs/>
                <w:sz w:val="24"/>
                <w:szCs w:val="24"/>
              </w:rPr>
              <w:t>现将异议提起的条件及不予受理的情形告知如下</w:t>
            </w:r>
            <w:r>
              <w:rPr>
                <w:rFonts w:hint="eastAsia" w:ascii="宋体" w:hAnsi="宋体"/>
                <w:bCs/>
                <w:sz w:val="24"/>
                <w:szCs w:val="24"/>
                <w:lang w:eastAsia="zh-CN"/>
              </w:rPr>
              <w:t>：</w:t>
            </w:r>
          </w:p>
          <w:p w14:paraId="7288E891">
            <w:pPr>
              <w:spacing w:line="360" w:lineRule="auto"/>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rPr>
              <w:t>一</w:t>
            </w:r>
            <w:r>
              <w:rPr>
                <w:rFonts w:hint="eastAsia" w:ascii="宋体" w:hAnsi="宋体"/>
                <w:bCs/>
                <w:sz w:val="24"/>
                <w:szCs w:val="24"/>
                <w:lang w:eastAsia="zh-CN"/>
              </w:rPr>
              <w:t>）</w:t>
            </w:r>
            <w:r>
              <w:rPr>
                <w:rFonts w:hint="eastAsia" w:ascii="宋体" w:hAnsi="宋体"/>
                <w:bCs/>
                <w:sz w:val="24"/>
                <w:szCs w:val="24"/>
              </w:rPr>
              <w:t>异议应以书面形式实名提出</w:t>
            </w:r>
            <w:r>
              <w:rPr>
                <w:rFonts w:hint="eastAsia" w:ascii="宋体" w:hAnsi="宋体"/>
                <w:bCs/>
                <w:sz w:val="24"/>
                <w:szCs w:val="24"/>
                <w:lang w:eastAsia="zh-CN"/>
              </w:rPr>
              <w:t>，</w:t>
            </w:r>
            <w:r>
              <w:rPr>
                <w:rFonts w:hint="eastAsia" w:ascii="宋体" w:hAnsi="宋体"/>
                <w:bCs/>
                <w:sz w:val="24"/>
                <w:szCs w:val="24"/>
              </w:rPr>
              <w:t>书面异议材料应当包括以下内容</w:t>
            </w:r>
            <w:r>
              <w:rPr>
                <w:rFonts w:hint="eastAsia" w:ascii="宋体" w:hAnsi="宋体"/>
                <w:bCs/>
                <w:sz w:val="24"/>
                <w:szCs w:val="24"/>
                <w:lang w:eastAsia="zh-CN"/>
              </w:rPr>
              <w:t>：</w:t>
            </w:r>
          </w:p>
          <w:p w14:paraId="73F06782">
            <w:pPr>
              <w:spacing w:line="360" w:lineRule="auto"/>
              <w:rPr>
                <w:rFonts w:ascii="宋体" w:hAnsi="宋体"/>
                <w:bCs/>
                <w:sz w:val="24"/>
                <w:szCs w:val="24"/>
              </w:rPr>
            </w:pPr>
            <w:r>
              <w:rPr>
                <w:rFonts w:hint="eastAsia" w:ascii="宋体" w:hAnsi="宋体"/>
                <w:bCs/>
                <w:sz w:val="24"/>
                <w:szCs w:val="24"/>
              </w:rPr>
              <w:t>1.异议人的名称、地址、有效联系方式；</w:t>
            </w:r>
          </w:p>
          <w:p w14:paraId="11EDCD79">
            <w:pPr>
              <w:spacing w:line="360" w:lineRule="auto"/>
              <w:rPr>
                <w:rFonts w:ascii="宋体" w:hAnsi="宋体"/>
                <w:bCs/>
                <w:sz w:val="24"/>
                <w:szCs w:val="24"/>
              </w:rPr>
            </w:pPr>
            <w:r>
              <w:rPr>
                <w:rFonts w:hint="eastAsia" w:ascii="宋体" w:hAnsi="宋体"/>
                <w:bCs/>
                <w:sz w:val="24"/>
                <w:szCs w:val="24"/>
              </w:rPr>
              <w:t>2.项目名称、项目编号、包别号</w:t>
            </w:r>
            <w:r>
              <w:rPr>
                <w:rFonts w:hint="eastAsia" w:ascii="宋体" w:hAnsi="宋体"/>
                <w:bCs/>
                <w:sz w:val="24"/>
                <w:szCs w:val="24"/>
                <w:lang w:eastAsia="zh-CN"/>
              </w:rPr>
              <w:t>（</w:t>
            </w:r>
            <w:r>
              <w:rPr>
                <w:rFonts w:hint="eastAsia" w:ascii="宋体" w:hAnsi="宋体"/>
                <w:bCs/>
                <w:sz w:val="24"/>
                <w:szCs w:val="24"/>
              </w:rPr>
              <w:t>如有</w:t>
            </w:r>
            <w:r>
              <w:rPr>
                <w:rFonts w:hint="eastAsia" w:ascii="宋体" w:hAnsi="宋体"/>
                <w:bCs/>
                <w:sz w:val="24"/>
                <w:szCs w:val="24"/>
                <w:lang w:eastAsia="zh-CN"/>
              </w:rPr>
              <w:t>）</w:t>
            </w:r>
            <w:r>
              <w:rPr>
                <w:rFonts w:hint="eastAsia" w:ascii="宋体" w:hAnsi="宋体"/>
                <w:bCs/>
                <w:sz w:val="24"/>
                <w:szCs w:val="24"/>
              </w:rPr>
              <w:t>；</w:t>
            </w:r>
          </w:p>
          <w:p w14:paraId="6E1C9D74">
            <w:pPr>
              <w:spacing w:line="360" w:lineRule="auto"/>
              <w:rPr>
                <w:rFonts w:ascii="宋体" w:hAnsi="宋体"/>
                <w:bCs/>
                <w:sz w:val="24"/>
                <w:szCs w:val="24"/>
              </w:rPr>
            </w:pPr>
            <w:r>
              <w:rPr>
                <w:rFonts w:hint="eastAsia" w:ascii="宋体" w:hAnsi="宋体"/>
                <w:bCs/>
                <w:sz w:val="24"/>
                <w:szCs w:val="24"/>
              </w:rPr>
              <w:t>3.被异议人名称；</w:t>
            </w:r>
          </w:p>
          <w:p w14:paraId="69682BD3">
            <w:pPr>
              <w:spacing w:line="360" w:lineRule="auto"/>
              <w:rPr>
                <w:rFonts w:ascii="宋体" w:hAnsi="宋体"/>
                <w:bCs/>
                <w:sz w:val="24"/>
                <w:szCs w:val="24"/>
              </w:rPr>
            </w:pPr>
            <w:r>
              <w:rPr>
                <w:rFonts w:hint="eastAsia" w:ascii="宋体" w:hAnsi="宋体"/>
                <w:bCs/>
                <w:sz w:val="24"/>
                <w:szCs w:val="24"/>
              </w:rPr>
              <w:t>4.具体的异议事项、基本事实及必要的证明材料；</w:t>
            </w:r>
          </w:p>
          <w:p w14:paraId="7F134669">
            <w:pPr>
              <w:spacing w:line="360" w:lineRule="auto"/>
              <w:rPr>
                <w:rFonts w:ascii="宋体" w:hAnsi="宋体"/>
                <w:bCs/>
                <w:sz w:val="24"/>
                <w:szCs w:val="24"/>
              </w:rPr>
            </w:pPr>
            <w:r>
              <w:rPr>
                <w:rFonts w:hint="eastAsia" w:ascii="宋体" w:hAnsi="宋体"/>
                <w:bCs/>
                <w:sz w:val="24"/>
                <w:szCs w:val="24"/>
              </w:rPr>
              <w:t>5.明确的请求及主张；</w:t>
            </w:r>
          </w:p>
          <w:p w14:paraId="70B7BA64">
            <w:pPr>
              <w:spacing w:line="360" w:lineRule="auto"/>
              <w:rPr>
                <w:rFonts w:ascii="宋体" w:hAnsi="宋体"/>
                <w:bCs/>
                <w:sz w:val="24"/>
                <w:szCs w:val="24"/>
              </w:rPr>
            </w:pPr>
            <w:r>
              <w:rPr>
                <w:rFonts w:hint="eastAsia" w:ascii="宋体" w:hAnsi="宋体"/>
                <w:bCs/>
                <w:sz w:val="24"/>
                <w:szCs w:val="24"/>
              </w:rPr>
              <w:t>6.提起异议的日期。</w:t>
            </w:r>
          </w:p>
          <w:p w14:paraId="4F3376A2">
            <w:pPr>
              <w:spacing w:line="360" w:lineRule="auto"/>
              <w:rPr>
                <w:rFonts w:ascii="宋体" w:hAnsi="宋体"/>
                <w:bCs/>
                <w:sz w:val="24"/>
                <w:szCs w:val="24"/>
              </w:rPr>
            </w:pPr>
            <w:r>
              <w:rPr>
                <w:rFonts w:hint="eastAsia" w:ascii="宋体" w:hAnsi="宋体"/>
                <w:bCs/>
                <w:sz w:val="24"/>
                <w:szCs w:val="24"/>
              </w:rPr>
              <w:t>异议人为法人或者其他组织的</w:t>
            </w:r>
            <w:r>
              <w:rPr>
                <w:rFonts w:hint="eastAsia" w:ascii="宋体" w:hAnsi="宋体"/>
                <w:bCs/>
                <w:sz w:val="24"/>
                <w:szCs w:val="24"/>
                <w:lang w:eastAsia="zh-CN"/>
              </w:rPr>
              <w:t>，</w:t>
            </w:r>
            <w:r>
              <w:rPr>
                <w:rFonts w:hint="eastAsia" w:ascii="宋体" w:hAnsi="宋体"/>
                <w:bCs/>
                <w:sz w:val="24"/>
                <w:szCs w:val="24"/>
              </w:rPr>
              <w:t>应当由法定代表人或其委托代理人</w:t>
            </w:r>
            <w:r>
              <w:rPr>
                <w:rFonts w:hint="eastAsia" w:ascii="宋体" w:hAnsi="宋体"/>
                <w:bCs/>
                <w:sz w:val="24"/>
                <w:szCs w:val="24"/>
                <w:lang w:eastAsia="zh-CN"/>
              </w:rPr>
              <w:t>（</w:t>
            </w:r>
            <w:r>
              <w:rPr>
                <w:rFonts w:hint="eastAsia" w:ascii="宋体" w:hAnsi="宋体"/>
                <w:bCs/>
                <w:sz w:val="24"/>
                <w:szCs w:val="24"/>
              </w:rPr>
              <w:t>需有委托授权书</w:t>
            </w:r>
            <w:r>
              <w:rPr>
                <w:rFonts w:hint="eastAsia" w:ascii="宋体" w:hAnsi="宋体"/>
                <w:bCs/>
                <w:sz w:val="24"/>
                <w:szCs w:val="24"/>
                <w:lang w:eastAsia="zh-CN"/>
              </w:rPr>
              <w:t>）</w:t>
            </w:r>
            <w:r>
              <w:rPr>
                <w:rFonts w:hint="eastAsia" w:ascii="宋体" w:hAnsi="宋体"/>
                <w:bCs/>
                <w:sz w:val="24"/>
                <w:szCs w:val="24"/>
              </w:rPr>
              <w:t>签字并加盖公章。</w:t>
            </w:r>
          </w:p>
          <w:p w14:paraId="6DB903C1">
            <w:pPr>
              <w:spacing w:line="360" w:lineRule="auto"/>
              <w:rPr>
                <w:rFonts w:ascii="宋体" w:hAnsi="宋体"/>
                <w:bCs/>
                <w:sz w:val="24"/>
                <w:szCs w:val="24"/>
              </w:rPr>
            </w:pPr>
            <w:r>
              <w:rPr>
                <w:rFonts w:hint="eastAsia" w:ascii="宋体" w:hAnsi="宋体"/>
                <w:bCs/>
                <w:sz w:val="24"/>
                <w:szCs w:val="24"/>
              </w:rPr>
              <w:t>异议人需要修改、补充异议材料的</w:t>
            </w:r>
            <w:r>
              <w:rPr>
                <w:rFonts w:hint="eastAsia" w:ascii="宋体" w:hAnsi="宋体"/>
                <w:bCs/>
                <w:sz w:val="24"/>
                <w:szCs w:val="24"/>
                <w:lang w:eastAsia="zh-CN"/>
              </w:rPr>
              <w:t>，</w:t>
            </w:r>
            <w:r>
              <w:rPr>
                <w:rFonts w:hint="eastAsia" w:ascii="宋体" w:hAnsi="宋体"/>
                <w:bCs/>
                <w:sz w:val="24"/>
                <w:szCs w:val="24"/>
              </w:rPr>
              <w:t>应当在异议期内提交修改或补充材料。</w:t>
            </w:r>
          </w:p>
          <w:p w14:paraId="694F7C71">
            <w:pPr>
              <w:spacing w:line="360" w:lineRule="auto"/>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rPr>
              <w:t>二</w:t>
            </w:r>
            <w:r>
              <w:rPr>
                <w:rFonts w:hint="eastAsia" w:ascii="宋体" w:hAnsi="宋体"/>
                <w:bCs/>
                <w:sz w:val="24"/>
                <w:szCs w:val="24"/>
                <w:lang w:eastAsia="zh-CN"/>
              </w:rPr>
              <w:t>）</w:t>
            </w:r>
            <w:r>
              <w:rPr>
                <w:rFonts w:hint="eastAsia" w:ascii="宋体" w:hAnsi="宋体"/>
                <w:bCs/>
                <w:sz w:val="24"/>
                <w:szCs w:val="24"/>
              </w:rPr>
              <w:t>有下列情形之一的</w:t>
            </w:r>
            <w:r>
              <w:rPr>
                <w:rFonts w:hint="eastAsia" w:ascii="宋体" w:hAnsi="宋体"/>
                <w:bCs/>
                <w:sz w:val="24"/>
                <w:szCs w:val="24"/>
                <w:lang w:eastAsia="zh-CN"/>
              </w:rPr>
              <w:t>，</w:t>
            </w:r>
            <w:r>
              <w:rPr>
                <w:rFonts w:hint="eastAsia" w:ascii="宋体" w:hAnsi="宋体"/>
                <w:bCs/>
                <w:sz w:val="24"/>
                <w:szCs w:val="24"/>
              </w:rPr>
              <w:t>不予受理</w:t>
            </w:r>
            <w:r>
              <w:rPr>
                <w:rFonts w:hint="eastAsia" w:ascii="宋体" w:hAnsi="宋体"/>
                <w:bCs/>
                <w:sz w:val="24"/>
                <w:szCs w:val="24"/>
                <w:lang w:eastAsia="zh-CN"/>
              </w:rPr>
              <w:t>：</w:t>
            </w:r>
          </w:p>
          <w:p w14:paraId="1635DE12">
            <w:pPr>
              <w:spacing w:line="360" w:lineRule="auto"/>
              <w:rPr>
                <w:rFonts w:ascii="宋体" w:hAnsi="宋体"/>
                <w:bCs/>
                <w:sz w:val="24"/>
                <w:szCs w:val="24"/>
              </w:rPr>
            </w:pPr>
            <w:r>
              <w:rPr>
                <w:rFonts w:hint="eastAsia" w:ascii="宋体" w:hAnsi="宋体"/>
                <w:bCs/>
                <w:sz w:val="24"/>
                <w:szCs w:val="24"/>
              </w:rPr>
              <w:t>1.提起异议的主体不是所异议项目投标人的；</w:t>
            </w:r>
          </w:p>
          <w:p w14:paraId="59DAFD56">
            <w:pPr>
              <w:spacing w:line="360" w:lineRule="auto"/>
              <w:rPr>
                <w:rFonts w:ascii="宋体" w:hAnsi="宋体"/>
                <w:bCs/>
                <w:sz w:val="24"/>
                <w:szCs w:val="24"/>
              </w:rPr>
            </w:pPr>
            <w:r>
              <w:rPr>
                <w:rFonts w:hint="eastAsia" w:ascii="宋体" w:hAnsi="宋体"/>
                <w:bCs/>
                <w:sz w:val="24"/>
                <w:szCs w:val="24"/>
              </w:rPr>
              <w:t>2.提起异议的时间超过规定时限的；</w:t>
            </w:r>
          </w:p>
          <w:p w14:paraId="1EE31CB9">
            <w:pPr>
              <w:spacing w:line="360" w:lineRule="auto"/>
              <w:rPr>
                <w:rFonts w:ascii="宋体" w:hAnsi="宋体"/>
                <w:bCs/>
                <w:sz w:val="24"/>
                <w:szCs w:val="24"/>
              </w:rPr>
            </w:pPr>
            <w:r>
              <w:rPr>
                <w:rFonts w:hint="eastAsia" w:ascii="宋体" w:hAnsi="宋体"/>
                <w:bCs/>
                <w:sz w:val="24"/>
                <w:szCs w:val="24"/>
              </w:rPr>
              <w:t>3.异议材料不完整的；</w:t>
            </w:r>
          </w:p>
          <w:p w14:paraId="12BC7946">
            <w:pPr>
              <w:spacing w:line="360" w:lineRule="auto"/>
              <w:rPr>
                <w:rFonts w:ascii="宋体" w:hAnsi="宋体"/>
                <w:bCs/>
                <w:sz w:val="24"/>
                <w:szCs w:val="24"/>
              </w:rPr>
            </w:pPr>
            <w:r>
              <w:rPr>
                <w:rFonts w:hint="eastAsia" w:ascii="宋体" w:hAnsi="宋体"/>
                <w:bCs/>
                <w:sz w:val="24"/>
                <w:szCs w:val="24"/>
              </w:rPr>
              <w:t>4.异议事项含有主观猜测等内容且未提供有效线索、难以查证的；</w:t>
            </w:r>
          </w:p>
          <w:p w14:paraId="2518812E">
            <w:pPr>
              <w:spacing w:line="360" w:lineRule="auto"/>
              <w:rPr>
                <w:rFonts w:ascii="宋体" w:hAnsi="宋体"/>
                <w:bCs/>
                <w:sz w:val="24"/>
                <w:szCs w:val="24"/>
              </w:rPr>
            </w:pPr>
            <w:r>
              <w:rPr>
                <w:rFonts w:hint="eastAsia" w:ascii="宋体" w:hAnsi="宋体"/>
                <w:bCs/>
                <w:sz w:val="24"/>
                <w:szCs w:val="24"/>
              </w:rPr>
              <w:t>5.对其他投标人的投标文件详细内容异议</w:t>
            </w:r>
            <w:r>
              <w:rPr>
                <w:rFonts w:hint="eastAsia" w:ascii="宋体" w:hAnsi="宋体"/>
                <w:bCs/>
                <w:sz w:val="24"/>
                <w:szCs w:val="24"/>
                <w:lang w:eastAsia="zh-CN"/>
              </w:rPr>
              <w:t>，</w:t>
            </w:r>
            <w:r>
              <w:rPr>
                <w:rFonts w:hint="eastAsia" w:ascii="宋体" w:hAnsi="宋体"/>
                <w:bCs/>
                <w:sz w:val="24"/>
                <w:szCs w:val="24"/>
              </w:rPr>
              <w:t>无法提供合法来源渠道的；</w:t>
            </w:r>
          </w:p>
          <w:p w14:paraId="3688BB13">
            <w:pPr>
              <w:spacing w:line="360" w:lineRule="auto"/>
              <w:rPr>
                <w:rFonts w:ascii="宋体" w:hAnsi="宋体"/>
                <w:bCs/>
                <w:sz w:val="24"/>
                <w:szCs w:val="24"/>
              </w:rPr>
            </w:pPr>
            <w:r>
              <w:rPr>
                <w:rFonts w:hint="eastAsia" w:ascii="宋体" w:hAnsi="宋体"/>
                <w:bCs/>
                <w:sz w:val="24"/>
                <w:szCs w:val="24"/>
              </w:rPr>
              <w:t>6.异议事项已进入投诉处理、行政复议或行政诉讼程序的。</w:t>
            </w:r>
          </w:p>
          <w:p w14:paraId="07A26F5A">
            <w:pPr>
              <w:spacing w:line="360" w:lineRule="auto"/>
              <w:rPr>
                <w:rFonts w:ascii="宋体" w:hAnsi="宋体"/>
                <w:bCs/>
                <w:sz w:val="24"/>
                <w:szCs w:val="24"/>
              </w:rPr>
            </w:pPr>
            <w:r>
              <w:rPr>
                <w:rFonts w:hint="eastAsia" w:ascii="宋体" w:hAnsi="宋体"/>
                <w:bCs/>
                <w:sz w:val="24"/>
                <w:szCs w:val="24"/>
              </w:rPr>
              <w:t>（三）投标人应在法定异议期内一次性提出针对同一招投标程序环节的所有异议，并按照本条款（一）规定内容提出，否则不予受理。</w:t>
            </w:r>
          </w:p>
        </w:tc>
      </w:tr>
    </w:tbl>
    <w:p w14:paraId="233121F0">
      <w:pPr>
        <w:spacing w:line="360" w:lineRule="auto"/>
      </w:pPr>
      <w:bookmarkStart w:id="12" w:name="_Toc1479820"/>
    </w:p>
    <w:p w14:paraId="05FAD59C">
      <w:pPr>
        <w:pStyle w:val="6"/>
        <w:numPr>
          <w:ilvl w:val="0"/>
          <w:numId w:val="2"/>
        </w:numPr>
        <w:spacing w:before="0" w:after="0" w:line="360" w:lineRule="auto"/>
        <w:rPr>
          <w:rFonts w:ascii="宋体" w:hAnsi="宋体" w:eastAsia="宋体"/>
          <w:color w:val="000000"/>
        </w:rPr>
      </w:pPr>
      <w:r>
        <w:rPr>
          <w:rFonts w:ascii="宋体" w:hAnsi="宋体" w:eastAsia="宋体"/>
          <w:color w:val="000000"/>
        </w:rPr>
        <w:br w:type="page"/>
      </w:r>
      <w:bookmarkStart w:id="13" w:name="_Toc24087"/>
      <w:r>
        <w:rPr>
          <w:rFonts w:hint="eastAsia" w:ascii="宋体" w:hAnsi="宋体" w:eastAsia="宋体"/>
          <w:color w:val="000000"/>
        </w:rPr>
        <w:t>服务需求</w:t>
      </w:r>
      <w:bookmarkEnd w:id="12"/>
      <w:bookmarkEnd w:id="13"/>
      <w:bookmarkStart w:id="14" w:name="_Toc282517729"/>
    </w:p>
    <w:p w14:paraId="6E67FF83">
      <w:pPr>
        <w:spacing w:line="360" w:lineRule="auto"/>
        <w:jc w:val="left"/>
        <w:rPr>
          <w:rFonts w:ascii="宋体" w:hAnsi="宋体" w:cs="宋体"/>
          <w:b/>
          <w:bCs/>
          <w:sz w:val="24"/>
          <w:szCs w:val="24"/>
        </w:rPr>
      </w:pPr>
      <w:bookmarkStart w:id="15" w:name="_Toc484775385"/>
      <w:r>
        <w:rPr>
          <w:rFonts w:hint="eastAsia" w:ascii="宋体" w:hAnsi="宋体" w:cs="宋体"/>
          <w:b/>
          <w:bCs/>
          <w:sz w:val="24"/>
          <w:szCs w:val="24"/>
        </w:rPr>
        <w:t>一、项目简介</w:t>
      </w:r>
      <w:bookmarkEnd w:id="15"/>
    </w:p>
    <w:p w14:paraId="2730EFE0">
      <w:pPr>
        <w:autoSpaceDE w:val="0"/>
        <w:autoSpaceDN w:val="0"/>
        <w:adjustRightInd w:val="0"/>
        <w:spacing w:line="360" w:lineRule="auto"/>
        <w:ind w:firstLine="480" w:firstLineChars="200"/>
        <w:jc w:val="left"/>
        <w:rPr>
          <w:rFonts w:ascii="宋体" w:hAnsi="宋体" w:cs="宋体"/>
          <w:color w:val="000000"/>
          <w:sz w:val="24"/>
          <w:szCs w:val="28"/>
        </w:rPr>
      </w:pPr>
      <w:bookmarkStart w:id="16" w:name="_Toc484775387"/>
      <w:r>
        <w:rPr>
          <w:rFonts w:hint="eastAsia" w:ascii="宋体" w:hAnsi="宋体" w:cs="宋体"/>
          <w:color w:val="000000"/>
          <w:sz w:val="24"/>
          <w:szCs w:val="28"/>
        </w:rPr>
        <w:t>为积极落实国家“双碳”战略，响应节能减排号召，减少碳排放，计划在院区的A楼、B楼、C楼、D楼及加速器楼屋顶采用合同能源管理模式建设屋顶分布式光伏电站，光伏电站设计容量约为0.52MWp，所发电力并入院区配电房400V供电系统，屋顶光伏电站按照“自发自用，余电上网”模式设计。</w:t>
      </w:r>
    </w:p>
    <w:p w14:paraId="2ADC4935">
      <w:pPr>
        <w:spacing w:line="360" w:lineRule="auto"/>
        <w:rPr>
          <w:rFonts w:ascii="宋体" w:hAnsi="宋体" w:cs="宋体"/>
          <w:b/>
          <w:bCs/>
          <w:sz w:val="24"/>
          <w:szCs w:val="24"/>
        </w:rPr>
      </w:pPr>
      <w:r>
        <w:rPr>
          <w:rFonts w:hint="eastAsia" w:ascii="宋体" w:hAnsi="宋体" w:cs="宋体"/>
          <w:b/>
          <w:bCs/>
          <w:sz w:val="24"/>
          <w:szCs w:val="24"/>
        </w:rPr>
        <w:t>二、招标范围、内容与要求</w:t>
      </w:r>
      <w:bookmarkEnd w:id="16"/>
    </w:p>
    <w:p w14:paraId="1268220B">
      <w:pPr>
        <w:snapToGrid w:val="0"/>
        <w:spacing w:line="360" w:lineRule="auto"/>
        <w:ind w:firstLine="480" w:firstLineChars="200"/>
        <w:rPr>
          <w:rFonts w:ascii="宋体" w:hAnsi="宋体" w:cs="宋体"/>
          <w:sz w:val="24"/>
          <w:szCs w:val="24"/>
        </w:rPr>
      </w:pPr>
      <w:bookmarkStart w:id="17" w:name="_Toc484775388"/>
      <w:r>
        <w:rPr>
          <w:rFonts w:hint="eastAsia" w:ascii="宋体" w:hAnsi="宋体" w:cs="宋体"/>
          <w:sz w:val="24"/>
          <w:szCs w:val="24"/>
        </w:rPr>
        <w:t>本项目计划采用合同能源管理模式建设，投标方一旦获得建设资格，则投标方需要全额出资完成从项目设计招标、设备主材和辅材采购、施工、接入、并网、验收、试运行的全流程工作并承担后期2</w:t>
      </w:r>
      <w:r>
        <w:rPr>
          <w:rFonts w:hint="eastAsia" w:ascii="宋体" w:hAnsi="宋体" w:cs="宋体"/>
          <w:sz w:val="24"/>
          <w:szCs w:val="24"/>
          <w:lang w:val="en-US" w:eastAsia="zh-CN"/>
        </w:rPr>
        <w:t>0+</w:t>
      </w:r>
      <w:r>
        <w:rPr>
          <w:rFonts w:hint="eastAsia" w:ascii="宋体" w:hAnsi="宋体" w:cs="宋体"/>
          <w:sz w:val="24"/>
          <w:szCs w:val="24"/>
        </w:rPr>
        <w:t>5年的运行维护工作，中途不得转让。屋顶分布式光伏项目并网发电后，投标方需按投标时的最低</w:t>
      </w:r>
      <w:r>
        <w:rPr>
          <w:rFonts w:hint="eastAsia" w:ascii="宋体" w:hAnsi="宋体" w:cs="宋体"/>
          <w:sz w:val="24"/>
          <w:szCs w:val="24"/>
          <w:lang w:val="en-US" w:eastAsia="zh-CN"/>
        </w:rPr>
        <w:t>折扣比例将光伏所发电能</w:t>
      </w:r>
      <w:r>
        <w:rPr>
          <w:rFonts w:hint="eastAsia" w:ascii="宋体" w:hAnsi="宋体" w:cs="宋体"/>
          <w:sz w:val="24"/>
          <w:szCs w:val="24"/>
        </w:rPr>
        <w:t>优先供给安徽省第二人民医院使用，并对工程的安全、环保、质量、工期</w:t>
      </w:r>
      <w:r>
        <w:rPr>
          <w:rFonts w:hint="eastAsia" w:ascii="宋体" w:hAnsi="宋体" w:cs="宋体"/>
          <w:sz w:val="24"/>
          <w:szCs w:val="24"/>
          <w:lang w:eastAsia="zh-CN"/>
        </w:rPr>
        <w:t>，以及</w:t>
      </w: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年的运维服务全面负责。</w:t>
      </w:r>
    </w:p>
    <w:p w14:paraId="03AAD72B">
      <w:pPr>
        <w:numPr>
          <w:ilvl w:val="0"/>
          <w:numId w:val="3"/>
        </w:numPr>
        <w:snapToGrid w:val="0"/>
        <w:spacing w:line="360" w:lineRule="auto"/>
        <w:rPr>
          <w:rFonts w:ascii="宋体" w:hAnsi="宋体" w:cs="宋体"/>
          <w:sz w:val="24"/>
          <w:szCs w:val="24"/>
        </w:rPr>
      </w:pPr>
      <w:r>
        <w:rPr>
          <w:rFonts w:hint="eastAsia" w:ascii="宋体" w:hAnsi="宋体" w:cs="宋体"/>
          <w:sz w:val="24"/>
          <w:szCs w:val="24"/>
        </w:rPr>
        <w:t>服务范围及内容</w:t>
      </w:r>
    </w:p>
    <w:p w14:paraId="0231EC85">
      <w:pPr>
        <w:pStyle w:val="2"/>
        <w:ind w:left="0" w:leftChars="0" w:firstLine="480"/>
        <w:rPr>
          <w:rFonts w:ascii="宋体" w:hAnsi="宋体" w:eastAsia="宋体" w:cs="宋体"/>
          <w:sz w:val="24"/>
          <w:szCs w:val="24"/>
        </w:rPr>
      </w:pPr>
      <w:r>
        <w:rPr>
          <w:rFonts w:hint="eastAsia" w:ascii="宋体" w:hAnsi="宋体" w:eastAsia="宋体" w:cs="宋体"/>
          <w:sz w:val="24"/>
          <w:szCs w:val="24"/>
        </w:rPr>
        <w:t>（1）在院区的A楼、B楼、C楼、D楼及加速器楼屋顶采用合同能源管理模式投资、建设屋顶分布式光伏电站。</w:t>
      </w:r>
    </w:p>
    <w:p w14:paraId="352C90BF">
      <w:pPr>
        <w:snapToGrid w:val="0"/>
        <w:spacing w:line="360" w:lineRule="auto"/>
        <w:ind w:firstLine="480" w:firstLineChars="200"/>
        <w:rPr>
          <w:rFonts w:ascii="宋体" w:hAnsi="宋体" w:cs="宋体"/>
          <w:sz w:val="24"/>
          <w:szCs w:val="24"/>
        </w:rPr>
      </w:pPr>
      <w:r>
        <w:rPr>
          <w:rFonts w:hint="eastAsia" w:ascii="宋体" w:hAnsi="宋体" w:cs="宋体"/>
          <w:sz w:val="24"/>
          <w:szCs w:val="24"/>
        </w:rPr>
        <w:t>（2）屋顶分布式光伏电站发电按</w:t>
      </w:r>
      <w:r>
        <w:rPr>
          <w:rFonts w:hint="eastAsia" w:ascii="宋体" w:hAnsi="宋体" w:cs="宋体"/>
          <w:sz w:val="24"/>
          <w:szCs w:val="24"/>
          <w:lang w:val="en-US" w:eastAsia="zh-CN"/>
        </w:rPr>
        <w:t>投标时申报的</w:t>
      </w:r>
      <w:r>
        <w:rPr>
          <w:rFonts w:hint="eastAsia" w:ascii="宋体" w:hAnsi="宋体" w:cs="宋体"/>
          <w:sz w:val="24"/>
          <w:szCs w:val="24"/>
        </w:rPr>
        <w:t>折扣比例供招标方使用。</w:t>
      </w:r>
    </w:p>
    <w:p w14:paraId="2DA90166">
      <w:pPr>
        <w:snapToGrid w:val="0"/>
        <w:spacing w:line="360" w:lineRule="auto"/>
        <w:ind w:firstLine="480" w:firstLineChars="200"/>
        <w:rPr>
          <w:rFonts w:ascii="宋体" w:hAnsi="宋体" w:cs="宋体"/>
          <w:sz w:val="24"/>
          <w:szCs w:val="24"/>
        </w:rPr>
      </w:pPr>
      <w:r>
        <w:rPr>
          <w:rFonts w:hint="eastAsia" w:ascii="宋体" w:hAnsi="宋体" w:cs="宋体"/>
          <w:sz w:val="24"/>
          <w:szCs w:val="24"/>
        </w:rPr>
        <w:t>（3）投标方承担屋顶分布式光伏电站25年运营期所有运维服务。</w:t>
      </w:r>
    </w:p>
    <w:p w14:paraId="4BD49EB6">
      <w:pPr>
        <w:snapToGrid w:val="0"/>
        <w:spacing w:line="360" w:lineRule="auto"/>
        <w:rPr>
          <w:rFonts w:ascii="宋体" w:hAnsi="宋体" w:cs="宋体"/>
          <w:sz w:val="24"/>
          <w:szCs w:val="24"/>
        </w:rPr>
      </w:pPr>
      <w:r>
        <w:rPr>
          <w:rFonts w:hint="eastAsia" w:ascii="宋体" w:hAnsi="宋体" w:cs="宋体"/>
          <w:sz w:val="24"/>
          <w:szCs w:val="24"/>
        </w:rPr>
        <w:t>2、服务要求</w:t>
      </w:r>
    </w:p>
    <w:p w14:paraId="15EA12CE">
      <w:pPr>
        <w:spacing w:line="360" w:lineRule="auto"/>
        <w:ind w:firstLine="480" w:firstLineChars="200"/>
        <w:rPr>
          <w:rFonts w:ascii="宋体" w:hAnsi="宋体" w:cs="宋体"/>
          <w:sz w:val="24"/>
          <w:szCs w:val="24"/>
        </w:rPr>
      </w:pPr>
      <w:r>
        <w:rPr>
          <w:rFonts w:hint="eastAsia" w:ascii="宋体" w:hAnsi="宋体" w:cs="宋体"/>
          <w:sz w:val="24"/>
          <w:szCs w:val="24"/>
        </w:rPr>
        <w:t>根据项目要求，安徽省第二人民医院屋顶分布式光伏合同能源管理项目内容包括但不限于以下工作：</w:t>
      </w:r>
    </w:p>
    <w:p w14:paraId="4A4EAC8C">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项目为合同能源管理项目，投标方一旦获得建设资格，则投标方需全额出资完成院区的A楼、B楼、C楼、D楼及加速器楼屋顶分布式（容量约0.52MWp，以电网批复为准）光伏项目设计、设备和辅材采购、施工、电网接入、并网、验收、试运行等全流程工作并承担后期25年的项目运行维护工作。项目并网发电后，投标方需按投标时的最低</w:t>
      </w:r>
      <w:r>
        <w:rPr>
          <w:rFonts w:hint="eastAsia" w:ascii="宋体" w:hAnsi="宋体" w:cs="宋体"/>
          <w:sz w:val="24"/>
          <w:szCs w:val="24"/>
          <w:lang w:val="en-US" w:eastAsia="zh-CN"/>
        </w:rPr>
        <w:t>折扣比例将光伏所发电能</w:t>
      </w:r>
      <w:r>
        <w:rPr>
          <w:rFonts w:hint="eastAsia" w:ascii="宋体" w:hAnsi="宋体" w:cs="宋体"/>
          <w:sz w:val="24"/>
          <w:szCs w:val="24"/>
        </w:rPr>
        <w:t>优先供给安徽省第二人民医院使用，并对工程的安全、环保、质量、工期、运维服务全</w:t>
      </w:r>
      <w:r>
        <w:rPr>
          <w:rFonts w:hint="eastAsia" w:ascii="微软雅黑" w:hAnsi="微软雅黑" w:eastAsia="微软雅黑" w:cs="微软雅黑"/>
          <w:sz w:val="24"/>
          <w:szCs w:val="24"/>
        </w:rPr>
        <w:t>⾯</w:t>
      </w:r>
      <w:r>
        <w:rPr>
          <w:rFonts w:hint="eastAsia" w:ascii="宋体" w:hAnsi="宋体" w:cs="宋体"/>
          <w:sz w:val="24"/>
          <w:szCs w:val="24"/>
        </w:rPr>
        <w:t>负责。</w:t>
      </w:r>
    </w:p>
    <w:p w14:paraId="1D57E98C">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）项目主要工作。投标方一旦获得建设资格，需完成投资、建设装机（容量约0.52MWp，以电网批复为准）的屋顶分布式光伏电站系统，包含组串逆变器、光伏组件、配电柜、电缆、监控等所有子系统。</w:t>
      </w:r>
    </w:p>
    <w:p w14:paraId="4A1CB339">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项目前期相关工作。投标方一旦获得建设资格，需完成项目招标、设计、设备和辅材、施工、接入、并网、验收、试运行的全流程工作。开工前所需的报批手续办理、购买保险、施工临时及永久性设施、临时水源、临时电源、通讯施工及相关工作、施工前屋面清理、屋面防水修缮等。</w:t>
      </w:r>
    </w:p>
    <w:p w14:paraId="116AAFE5">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项目设计和运维服务部分。投标方一旦获得建设资格，需完成勘察、项目本体设计、设计审查等与设计相关的工作；工程安全控制、质量控制、进度控制、工程管理、设备监造、人员培训、调试、试运行以及后期25年运维相关的工作。</w:t>
      </w:r>
    </w:p>
    <w:p w14:paraId="0BBDBAD1">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）设备及材料采购及安装。投标方一旦获得建设资格，需完成光伏组件、</w:t>
      </w:r>
      <w:r>
        <w:rPr>
          <w:rFonts w:ascii="宋体" w:hAnsi="宋体" w:cs="宋体"/>
          <w:sz w:val="24"/>
          <w:szCs w:val="24"/>
        </w:rPr>
        <w:t>MC</w:t>
      </w:r>
      <w:r>
        <w:rPr>
          <w:rFonts w:hint="eastAsia" w:ascii="宋体" w:hAnsi="宋体" w:cs="宋体"/>
          <w:sz w:val="24"/>
          <w:szCs w:val="24"/>
        </w:rPr>
        <w:t>插头、支架、汇流箱、电缆、逆变器、并网柜、消防系统、防雷接地系统、备品备件、专用工具、消耗品等的采购、就位、安装、接线、试验、调试；热浸镀锌（铝合金）桥架、热浸镀锌扁铁、热浸镀锌钢管、</w:t>
      </w:r>
      <w:r>
        <w:rPr>
          <w:rFonts w:ascii="宋体" w:hAnsi="宋体" w:cs="宋体"/>
          <w:sz w:val="24"/>
          <w:szCs w:val="24"/>
        </w:rPr>
        <w:t>PVC</w:t>
      </w:r>
      <w:r>
        <w:rPr>
          <w:rFonts w:hint="eastAsia" w:ascii="宋体" w:hAnsi="宋体" w:cs="宋体"/>
          <w:sz w:val="24"/>
          <w:szCs w:val="24"/>
        </w:rPr>
        <w:t>线管、预埋件、基础槽钢、设备支架、电缆头、铜鼻子、安全护栏、运维爬梯等与项目建设相关的设备及辅材的采购和安装；还应包含所有设备和材料的催交、运输、接车、卸车、开箱验收、入库保管、维护、设备转运等工作。</w:t>
      </w:r>
    </w:p>
    <w:p w14:paraId="24D9CF5D">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项目施工。投标方一旦获得建设资格，需完成组件和支架安装、电缆敷设、电缆桥架、电缆保护套管、防水、防腐、防火、封闭、防雷、接地、消防、栏杆、屋顶检修通道、检修爬梯、清洗系统、安健环、设备基础、地面硬化、钢结构基础、电缆沟、电缆井、电缆标识桩、设备围栏等建筑结构工程的施工工作和已完成工作的成品保护工作。</w:t>
      </w:r>
    </w:p>
    <w:p w14:paraId="64905D8E">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）电网接入系统。投标方一旦获得建设资格，需完成电网接入系统的设计、审查、接入设备的采购及安装、设备调试等相关工作。</w:t>
      </w:r>
    </w:p>
    <w:p w14:paraId="4EC9F03D">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）并网和验收手续办理。投标方一旦获得建设资格，需完成施工图审查意见、工程质量监督申报及验收、购售电合同、并网调度协议、整套启动验收等手续办理等。</w:t>
      </w:r>
    </w:p>
    <w:p w14:paraId="472B3B9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）投标方一旦获得建设资格，需完成其他即便在以上范围内没有载明，但实际证明是确保本项目发电运行、确保通过各方验收</w:t>
      </w:r>
      <w:r>
        <w:rPr>
          <w:rFonts w:hint="eastAsia" w:ascii="宋体" w:hAnsi="宋体" w:cs="宋体"/>
          <w:sz w:val="24"/>
          <w:szCs w:val="24"/>
          <w:lang w:eastAsia="zh-CN"/>
        </w:rPr>
        <w:t>所必需的</w:t>
      </w:r>
      <w:r>
        <w:rPr>
          <w:rFonts w:hint="eastAsia" w:ascii="宋体" w:hAnsi="宋体" w:cs="宋体"/>
          <w:sz w:val="24"/>
          <w:szCs w:val="24"/>
        </w:rPr>
        <w:t>、与建筑安装工程相关的施工和服务，包括因建造光伏电站需要而对原有建、构筑物（如楼顶太阳能热水器、废旧水管、空调外机等）的拆除、还建等，电缆沟开挖中花草树木的移植及花、树木的恢复，调试试验及检查、240小时（30天）试运行、竣工资料编制及移交、消缺、性能试验、技术和售后服务等全部内容工程，按照工期要求和合同规定达到建设标准。投标方应对上述工作范围内的工作负全部责任。</w:t>
      </w:r>
    </w:p>
    <w:p w14:paraId="0922F0A2">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w:t>
      </w:r>
      <w:r>
        <w:rPr>
          <w:rFonts w:hint="eastAsia" w:ascii="宋体" w:hAnsi="宋体" w:cs="宋体"/>
          <w:sz w:val="24"/>
          <w:szCs w:val="24"/>
          <w:lang w:val="en-US" w:eastAsia="zh-CN"/>
        </w:rPr>
        <w:t>光伏组件选用标准：为确保光伏电站可靠经济运行，以及设备厂家能快速本地化响应售后，</w:t>
      </w:r>
      <w:r>
        <w:rPr>
          <w:rFonts w:hint="eastAsia" w:ascii="宋体" w:hAnsi="宋体" w:cs="宋体"/>
          <w:sz w:val="24"/>
          <w:szCs w:val="24"/>
        </w:rPr>
        <w:t>投标方一旦获得建设资格</w:t>
      </w:r>
      <w:r>
        <w:rPr>
          <w:rFonts w:hint="eastAsia" w:ascii="宋体" w:hAnsi="宋体" w:cs="宋体"/>
          <w:sz w:val="24"/>
          <w:szCs w:val="24"/>
          <w:lang w:eastAsia="zh-CN"/>
        </w:rPr>
        <w:t>，</w:t>
      </w:r>
      <w:r>
        <w:rPr>
          <w:rFonts w:hint="eastAsia" w:ascii="宋体" w:hAnsi="宋体" w:cs="宋体"/>
          <w:sz w:val="24"/>
          <w:szCs w:val="24"/>
          <w:lang w:val="en-US" w:eastAsia="zh-CN"/>
        </w:rPr>
        <w:t>需确保选用光伏组件为以下品牌（天合光能、通威太阳能、晶科能源），从而达到良好的本地化服务。</w:t>
      </w:r>
    </w:p>
    <w:p w14:paraId="1FC19C50">
      <w:pPr>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11）项目施工过程中以及项目建成后的运维过程中，投标方承担屋面防水责任，并在施工前在光伏布置区域做一次防水工程。若由于投标方原因给业主屋顶造成损害的，承包方需负责对屋顶进行修复并承担相关费用（投标方在项目施工前需确认屋面的完好性）</w:t>
      </w:r>
    </w:p>
    <w:p w14:paraId="3764688B">
      <w:pPr>
        <w:spacing w:line="360" w:lineRule="auto"/>
        <w:jc w:val="left"/>
        <w:rPr>
          <w:rFonts w:ascii="宋体" w:hAnsi="宋体" w:cs="宋体"/>
          <w:b/>
          <w:bCs/>
          <w:sz w:val="24"/>
          <w:szCs w:val="24"/>
        </w:rPr>
      </w:pPr>
      <w:r>
        <w:rPr>
          <w:rFonts w:hint="eastAsia" w:ascii="宋体" w:hAnsi="宋体" w:cs="宋体"/>
          <w:b/>
          <w:bCs/>
          <w:sz w:val="24"/>
          <w:szCs w:val="24"/>
        </w:rPr>
        <w:t>三、双方的权利与义务</w:t>
      </w:r>
      <w:bookmarkEnd w:id="17"/>
    </w:p>
    <w:p w14:paraId="47BE1EDB">
      <w:pPr>
        <w:snapToGrid w:val="0"/>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招标方的权利与义务</w:t>
      </w:r>
    </w:p>
    <w:p w14:paraId="2C497C9E">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）不组织集中现场踏勘，但配合投标方的现场踏勘。</w:t>
      </w:r>
    </w:p>
    <w:p w14:paraId="785A63E8">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）对施工过程中的安全、环保等进行全过程监督，协调施工过程中出现的问题，不发生影响工期的行为。</w:t>
      </w:r>
    </w:p>
    <w:p w14:paraId="6AF4E8BA">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ascii="宋体" w:hAnsi="宋体" w:cs="宋体"/>
          <w:sz w:val="24"/>
          <w:szCs w:val="24"/>
        </w:rPr>
        <w:t>及时审核投标方提供的技术资料，尽快给出修改意见，以免影响工期。</w:t>
      </w:r>
    </w:p>
    <w:p w14:paraId="49CCADB1">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协助投标方</w:t>
      </w:r>
      <w:r>
        <w:rPr>
          <w:rFonts w:hint="eastAsia" w:ascii="宋体" w:hAnsi="宋体" w:cs="宋体"/>
          <w:sz w:val="24"/>
          <w:szCs w:val="24"/>
        </w:rPr>
        <w:t>的项目所需设备部件、施工人员院区进出</w:t>
      </w:r>
      <w:r>
        <w:rPr>
          <w:rFonts w:ascii="宋体" w:hAnsi="宋体" w:cs="宋体"/>
          <w:sz w:val="24"/>
          <w:szCs w:val="24"/>
        </w:rPr>
        <w:t>工作。</w:t>
      </w:r>
    </w:p>
    <w:p w14:paraId="604E4622">
      <w:pPr>
        <w:pStyle w:val="2"/>
      </w:pPr>
    </w:p>
    <w:p w14:paraId="172201F7">
      <w:pPr>
        <w:snapToGrid w:val="0"/>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投标方的权利与义务</w:t>
      </w:r>
    </w:p>
    <w:p w14:paraId="6178B862">
      <w:pPr>
        <w:tabs>
          <w:tab w:val="left" w:pos="567"/>
          <w:tab w:val="left" w:pos="900"/>
        </w:tabs>
        <w:spacing w:line="360" w:lineRule="auto"/>
        <w:rPr>
          <w:rFonts w:ascii="宋体" w:hAnsi="宋体" w:cs="宋体"/>
          <w:sz w:val="24"/>
          <w:szCs w:val="24"/>
        </w:rPr>
      </w:pPr>
      <w:bookmarkStart w:id="18" w:name="_Toc484775389"/>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）联系招标方进行现场踏勘。</w:t>
      </w:r>
    </w:p>
    <w:p w14:paraId="6769955F">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）接受招标方相关部门的监督和管理，遵守国家和招标方有关安全生产和文明施工等相关规定。</w:t>
      </w:r>
    </w:p>
    <w:p w14:paraId="38EACAD4">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）及时完成项目的各项流程工作，尽快完成施工工作。</w:t>
      </w:r>
    </w:p>
    <w:p w14:paraId="505C3A4B">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）按要求提供真实、完整、详尽的技术资料。</w:t>
      </w:r>
    </w:p>
    <w:p w14:paraId="73D48737">
      <w:pPr>
        <w:tabs>
          <w:tab w:val="left" w:pos="567"/>
          <w:tab w:val="left" w:pos="900"/>
        </w:tabs>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）设备到货前，提前准备好存放位置，并自行保管。</w:t>
      </w:r>
    </w:p>
    <w:p w14:paraId="3888FCB9">
      <w:pPr>
        <w:snapToGrid w:val="0"/>
        <w:spacing w:line="360" w:lineRule="auto"/>
        <w:rPr>
          <w:rFonts w:ascii="宋体" w:hAnsi="宋体" w:cs="宋体"/>
          <w:b/>
          <w:bCs/>
          <w:sz w:val="24"/>
          <w:szCs w:val="24"/>
        </w:rPr>
      </w:pPr>
      <w:r>
        <w:rPr>
          <w:rFonts w:hint="eastAsia" w:ascii="宋体" w:hAnsi="宋体" w:cs="宋体"/>
          <w:b/>
          <w:bCs/>
          <w:sz w:val="24"/>
          <w:szCs w:val="24"/>
        </w:rPr>
        <w:t>四、相关约定与违约责任</w:t>
      </w:r>
      <w:bookmarkEnd w:id="18"/>
    </w:p>
    <w:p w14:paraId="1D195F19">
      <w:pPr>
        <w:snapToGrid w:val="0"/>
        <w:spacing w:line="360" w:lineRule="auto"/>
        <w:rPr>
          <w:rFonts w:ascii="宋体" w:hAnsi="宋体" w:cs="宋体"/>
          <w:sz w:val="24"/>
          <w:szCs w:val="24"/>
        </w:rPr>
      </w:pPr>
      <w:bookmarkStart w:id="19" w:name="_Toc33335635"/>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）投标人对房屋设施使用管理不当，造成房屋设施受损，投标人要原样修复或按价赔偿。</w:t>
      </w:r>
    </w:p>
    <w:p w14:paraId="07339884">
      <w:pPr>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）因投标人管理不善，发生安全事故、质量问题，由投标人负责全部责任。</w:t>
      </w:r>
    </w:p>
    <w:p w14:paraId="10031422">
      <w:pPr>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）如因政府原因需对协议屋顶或场地进行拆迁，</w:t>
      </w:r>
      <w:r>
        <w:rPr>
          <w:rFonts w:hint="eastAsia" w:ascii="宋体" w:hAnsi="宋体" w:cs="宋体"/>
          <w:sz w:val="24"/>
          <w:szCs w:val="24"/>
          <w:lang w:eastAsia="zh-CN"/>
        </w:rPr>
        <w:t>涉及</w:t>
      </w:r>
      <w:r>
        <w:rPr>
          <w:rFonts w:hint="eastAsia" w:ascii="宋体" w:hAnsi="宋体" w:cs="宋体"/>
          <w:sz w:val="24"/>
          <w:szCs w:val="24"/>
        </w:rPr>
        <w:t>屋顶分布式光伏电站拆除的，投标方有权参与具体拆迁方案的沟通谈判，屋顶分布式光伏电站赔付方案应经过双方共同认定。所有与光伏电站相关补贴、赔偿等权益归属投标方所有。</w:t>
      </w:r>
    </w:p>
    <w:p w14:paraId="4F460E02">
      <w:pPr>
        <w:spacing w:line="360" w:lineRule="auto"/>
        <w:jc w:val="left"/>
        <w:rPr>
          <w:rFonts w:ascii="宋体" w:hAnsi="宋体" w:cs="宋体"/>
          <w:b/>
          <w:bCs/>
          <w:sz w:val="24"/>
          <w:szCs w:val="24"/>
        </w:rPr>
      </w:pPr>
      <w:bookmarkStart w:id="20" w:name="_Toc484775390"/>
      <w:r>
        <w:rPr>
          <w:rFonts w:hint="eastAsia" w:ascii="宋体" w:hAnsi="宋体" w:cs="宋体"/>
          <w:b/>
          <w:bCs/>
          <w:sz w:val="24"/>
          <w:szCs w:val="24"/>
        </w:rPr>
        <w:t>五、</w:t>
      </w:r>
      <w:bookmarkEnd w:id="19"/>
      <w:r>
        <w:rPr>
          <w:rFonts w:hint="eastAsia" w:ascii="宋体" w:hAnsi="宋体" w:cs="宋体"/>
          <w:b/>
          <w:bCs/>
          <w:sz w:val="24"/>
          <w:szCs w:val="24"/>
        </w:rPr>
        <w:t>费用计取</w:t>
      </w:r>
      <w:bookmarkEnd w:id="20"/>
    </w:p>
    <w:p w14:paraId="49A41530">
      <w:pPr>
        <w:snapToGrid w:val="0"/>
        <w:spacing w:line="360" w:lineRule="auto"/>
        <w:ind w:firstLine="480" w:firstLineChars="200"/>
        <w:rPr>
          <w:rFonts w:hint="eastAsia" w:ascii="宋体" w:hAnsi="宋体" w:cs="宋体"/>
          <w:sz w:val="24"/>
          <w:szCs w:val="24"/>
          <w:lang w:val="zh-CN"/>
        </w:rPr>
      </w:pPr>
      <w:bookmarkStart w:id="21" w:name="_Toc484775391"/>
      <w:bookmarkStart w:id="22" w:name="_Toc33335636"/>
      <w:r>
        <w:rPr>
          <w:rFonts w:hint="eastAsia" w:ascii="宋体" w:hAnsi="宋体" w:cs="宋体"/>
          <w:sz w:val="24"/>
          <w:szCs w:val="24"/>
        </w:rPr>
        <w:t>投标方</w:t>
      </w:r>
      <w:r>
        <w:rPr>
          <w:rFonts w:hint="eastAsia" w:ascii="宋体" w:hAnsi="宋体" w:cs="宋体"/>
          <w:sz w:val="24"/>
          <w:szCs w:val="24"/>
          <w:lang w:val="zh-CN"/>
        </w:rPr>
        <w:t>无需支付屋顶租金，但</w:t>
      </w:r>
      <w:r>
        <w:rPr>
          <w:rFonts w:hint="eastAsia" w:ascii="宋体" w:hAnsi="宋体" w:cs="宋体"/>
          <w:sz w:val="24"/>
          <w:szCs w:val="24"/>
        </w:rPr>
        <w:t>投</w:t>
      </w:r>
      <w:r>
        <w:rPr>
          <w:rFonts w:hint="eastAsia" w:ascii="宋体" w:hAnsi="宋体" w:cs="宋体"/>
          <w:sz w:val="24"/>
          <w:szCs w:val="24"/>
          <w:lang w:val="zh-CN"/>
        </w:rPr>
        <w:t>标方建设的屋顶分布式光伏项目并网发电后，投标方需按投标时确定的</w:t>
      </w:r>
      <w:r>
        <w:rPr>
          <w:rFonts w:hint="eastAsia" w:ascii="宋体" w:hAnsi="宋体" w:cs="宋体"/>
          <w:sz w:val="24"/>
          <w:szCs w:val="24"/>
          <w:lang w:val="en-US" w:eastAsia="zh-CN"/>
        </w:rPr>
        <w:t>折扣比例</w:t>
      </w:r>
      <w:r>
        <w:rPr>
          <w:rFonts w:hint="eastAsia" w:ascii="宋体" w:hAnsi="宋体" w:cs="宋体"/>
          <w:sz w:val="24"/>
          <w:szCs w:val="24"/>
          <w:lang w:val="zh-CN"/>
        </w:rPr>
        <w:t>优先供给安徽省第二人民医院使用，本项目要求投标方投标时确定</w:t>
      </w:r>
      <w:r>
        <w:rPr>
          <w:rFonts w:hint="eastAsia" w:ascii="宋体" w:hAnsi="宋体" w:cs="宋体"/>
          <w:sz w:val="24"/>
          <w:szCs w:val="24"/>
          <w:lang w:val="en-US" w:eastAsia="zh-CN"/>
        </w:rPr>
        <w:t>申报的</w:t>
      </w:r>
      <w:r>
        <w:rPr>
          <w:rFonts w:hint="eastAsia" w:ascii="宋体" w:hAnsi="宋体" w:cs="宋体"/>
          <w:sz w:val="24"/>
          <w:szCs w:val="24"/>
          <w:lang w:val="zh-CN"/>
        </w:rPr>
        <w:t>折扣比例。</w:t>
      </w:r>
    </w:p>
    <w:p w14:paraId="553BDAA1">
      <w:pPr>
        <w:spacing w:line="360" w:lineRule="auto"/>
        <w:jc w:val="left"/>
        <w:rPr>
          <w:rFonts w:hint="eastAsia" w:ascii="宋体" w:hAnsi="宋体" w:cs="宋体"/>
          <w:b/>
          <w:bCs/>
          <w:sz w:val="24"/>
          <w:szCs w:val="24"/>
        </w:rPr>
      </w:pPr>
    </w:p>
    <w:p w14:paraId="0F97C8A4">
      <w:pPr>
        <w:spacing w:line="360" w:lineRule="auto"/>
        <w:jc w:val="left"/>
        <w:rPr>
          <w:rFonts w:ascii="宋体" w:hAnsi="宋体" w:cs="宋体"/>
          <w:b/>
          <w:bCs/>
          <w:sz w:val="24"/>
          <w:szCs w:val="24"/>
        </w:rPr>
      </w:pPr>
      <w:r>
        <w:rPr>
          <w:rFonts w:hint="eastAsia" w:ascii="宋体" w:hAnsi="宋体" w:cs="宋体"/>
          <w:b/>
          <w:bCs/>
          <w:sz w:val="24"/>
          <w:szCs w:val="24"/>
        </w:rPr>
        <w:t>六、质量保证</w:t>
      </w:r>
    </w:p>
    <w:p w14:paraId="402D84A1">
      <w:pPr>
        <w:spacing w:line="360" w:lineRule="auto"/>
        <w:ind w:firstLine="480" w:firstLineChars="200"/>
        <w:rPr>
          <w:rFonts w:ascii="宋体" w:hAnsi="宋体" w:cs="宋体"/>
          <w:sz w:val="24"/>
          <w:szCs w:val="24"/>
        </w:rPr>
      </w:pPr>
      <w:r>
        <w:rPr>
          <w:rFonts w:hint="eastAsia" w:ascii="宋体" w:hAnsi="宋体" w:cs="宋体"/>
          <w:sz w:val="24"/>
          <w:szCs w:val="24"/>
        </w:rPr>
        <w:t>本项目勘察设计、施工过程中，按照各专业标准和规范执行。</w:t>
      </w:r>
    </w:p>
    <w:p w14:paraId="42A8FD6C">
      <w:pPr>
        <w:spacing w:line="360" w:lineRule="auto"/>
        <w:ind w:firstLine="480" w:firstLineChars="200"/>
        <w:rPr>
          <w:rFonts w:ascii="宋体" w:hAnsi="宋体" w:cs="宋体"/>
          <w:sz w:val="24"/>
          <w:szCs w:val="24"/>
        </w:rPr>
      </w:pPr>
      <w:r>
        <w:rPr>
          <w:rFonts w:hint="eastAsia" w:ascii="宋体" w:hAnsi="宋体" w:cs="宋体"/>
          <w:sz w:val="24"/>
          <w:szCs w:val="24"/>
        </w:rPr>
        <w:t>设备应符合相应的标准规范或法规的最新版本或其修正本的要求</w:t>
      </w:r>
      <w:r>
        <w:rPr>
          <w:rFonts w:hint="eastAsia" w:ascii="宋体" w:hAnsi="宋体" w:cs="宋体"/>
          <w:sz w:val="24"/>
          <w:szCs w:val="24"/>
          <w:lang w:eastAsia="zh-CN"/>
        </w:rPr>
        <w:t>，</w:t>
      </w:r>
      <w:r>
        <w:rPr>
          <w:rFonts w:hint="eastAsia" w:ascii="宋体" w:hAnsi="宋体" w:cs="宋体"/>
          <w:sz w:val="24"/>
          <w:szCs w:val="24"/>
        </w:rPr>
        <w:t>除非另有特别说明，将包括在投标期内有效的任何修正和补充。</w:t>
      </w:r>
    </w:p>
    <w:p w14:paraId="2D9E3F08">
      <w:pPr>
        <w:spacing w:line="360" w:lineRule="auto"/>
        <w:ind w:firstLine="480" w:firstLineChars="200"/>
        <w:rPr>
          <w:rFonts w:ascii="宋体" w:hAnsi="宋体" w:cs="宋体"/>
          <w:sz w:val="24"/>
          <w:szCs w:val="24"/>
          <w:highlight w:val="yellow"/>
        </w:rPr>
      </w:pPr>
      <w:r>
        <w:rPr>
          <w:rFonts w:hint="eastAsia" w:ascii="宋体" w:hAnsi="宋体" w:cs="宋体"/>
          <w:sz w:val="24"/>
          <w:szCs w:val="24"/>
        </w:rPr>
        <w:t>除非合同另有规定，均须遵守最新的国家标准（GB）、行业标准（DL）和国际电工委员会</w:t>
      </w:r>
      <w:r>
        <w:rPr>
          <w:rFonts w:hint="eastAsia" w:ascii="宋体" w:hAnsi="宋体" w:cs="宋体"/>
          <w:sz w:val="24"/>
          <w:szCs w:val="24"/>
          <w:lang w:eastAsia="zh-CN"/>
        </w:rPr>
        <w:t>（</w:t>
      </w:r>
      <w:r>
        <w:rPr>
          <w:rFonts w:hint="eastAsia" w:ascii="宋体" w:hAnsi="宋体" w:cs="宋体"/>
          <w:sz w:val="24"/>
          <w:szCs w:val="24"/>
        </w:rPr>
        <w:t>IEC</w:t>
      </w:r>
      <w:r>
        <w:rPr>
          <w:rFonts w:hint="eastAsia" w:ascii="宋体" w:hAnsi="宋体" w:cs="宋体"/>
          <w:sz w:val="24"/>
          <w:szCs w:val="24"/>
          <w:lang w:eastAsia="zh-CN"/>
        </w:rPr>
        <w:t>）</w:t>
      </w:r>
      <w:r>
        <w:rPr>
          <w:rFonts w:hint="eastAsia" w:ascii="宋体" w:hAnsi="宋体" w:cs="宋体"/>
          <w:sz w:val="24"/>
          <w:szCs w:val="24"/>
        </w:rPr>
        <w:t>标准以及国际单位制</w:t>
      </w:r>
      <w:r>
        <w:rPr>
          <w:rFonts w:hint="eastAsia" w:ascii="宋体" w:hAnsi="宋体" w:cs="宋体"/>
          <w:sz w:val="24"/>
          <w:szCs w:val="24"/>
          <w:lang w:eastAsia="zh-CN"/>
        </w:rPr>
        <w:t>（</w:t>
      </w:r>
      <w:r>
        <w:rPr>
          <w:rFonts w:hint="eastAsia" w:ascii="宋体" w:hAnsi="宋体" w:cs="宋体"/>
          <w:sz w:val="24"/>
          <w:szCs w:val="24"/>
        </w:rPr>
        <w:t>SI</w:t>
      </w:r>
      <w:r>
        <w:rPr>
          <w:rFonts w:hint="eastAsia" w:ascii="宋体" w:hAnsi="宋体" w:cs="宋体"/>
          <w:sz w:val="24"/>
          <w:szCs w:val="24"/>
          <w:lang w:eastAsia="zh-CN"/>
        </w:rPr>
        <w:t>）</w:t>
      </w:r>
      <w:r>
        <w:rPr>
          <w:rFonts w:hint="eastAsia" w:ascii="宋体" w:hAnsi="宋体" w:cs="宋体"/>
          <w:sz w:val="24"/>
          <w:szCs w:val="24"/>
        </w:rPr>
        <w:t>标准。如采用合资或合作产品，还应遵守合作方国家标准，当上述标准不一致时按高标准执行。</w:t>
      </w:r>
    </w:p>
    <w:p w14:paraId="25ABC53D">
      <w:pPr>
        <w:spacing w:line="360" w:lineRule="auto"/>
        <w:jc w:val="left"/>
        <w:rPr>
          <w:rFonts w:ascii="宋体" w:hAnsi="宋体" w:cs="宋体"/>
          <w:b/>
          <w:bCs/>
          <w:sz w:val="24"/>
          <w:szCs w:val="24"/>
        </w:rPr>
      </w:pPr>
      <w:r>
        <w:rPr>
          <w:rFonts w:hint="eastAsia" w:ascii="宋体" w:hAnsi="宋体" w:cs="宋体"/>
          <w:b/>
          <w:bCs/>
          <w:sz w:val="24"/>
          <w:szCs w:val="24"/>
        </w:rPr>
        <w:t>七、服务承诺</w:t>
      </w:r>
      <w:bookmarkEnd w:id="21"/>
      <w:bookmarkEnd w:id="22"/>
    </w:p>
    <w:p w14:paraId="40F7864E">
      <w:pPr>
        <w:spacing w:line="360" w:lineRule="auto"/>
        <w:rPr>
          <w:rFonts w:ascii="宋体" w:hAnsi="宋体" w:cs="宋体"/>
          <w:sz w:val="24"/>
          <w:szCs w:val="24"/>
        </w:rPr>
      </w:pPr>
      <w:bookmarkStart w:id="23" w:name="_Toc484775392"/>
      <w:bookmarkStart w:id="24" w:name="_Toc33335637"/>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）投标方应提供全天候的维保服务，项目投运后若出现异常工况时，投标方要确保6小时内响应并查明故障原因，12小时内安排专业技术人员赶赴现场进行故障识别处理。</w:t>
      </w:r>
    </w:p>
    <w:p w14:paraId="0FC75571">
      <w:pPr>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）在系统出现故障时，允许投标方先通过电话或视频进行辅助诊断，确定故障原因后投标方应选派专业维护人员在12小时内上门处理，严禁投标方安排不谙技术或不了解本工程项目实际情况的人员前来服务。</w:t>
      </w:r>
    </w:p>
    <w:p w14:paraId="05098B8C">
      <w:pPr>
        <w:spacing w:line="360" w:lineRule="auto"/>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）在合同期内，本项目所有软硬件的维护工作，包括完善性维护、适应性维护、改正性维护及相关电气试验等工作，均由投标方负责。</w:t>
      </w:r>
    </w:p>
    <w:p w14:paraId="79001344">
      <w:pPr>
        <w:pStyle w:val="2"/>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szCs w:val="24"/>
          <w:lang w:eastAsia="zh-CN"/>
        </w:rPr>
        <w:t>（</w:t>
      </w:r>
      <w:r>
        <w:rPr>
          <w:rFonts w:hint="eastAsia" w:ascii="宋体" w:hAnsi="宋体" w:eastAsia="宋体" w:cs="宋体"/>
          <w:kern w:val="2"/>
          <w:sz w:val="24"/>
          <w:szCs w:val="24"/>
          <w:lang w:val="en-US" w:eastAsia="zh-CN" w:bidi="ar-SA"/>
        </w:rPr>
        <w:t>4）合同期满后，招标人如无使用光伏需求，中标人应在收到招标人书面通知后2个月内无偿拆除全套设备，恢复顶面至完好状态，招标人不支付费用。</w:t>
      </w:r>
    </w:p>
    <w:p w14:paraId="52A5AFFD">
      <w:pPr>
        <w:spacing w:line="360" w:lineRule="auto"/>
        <w:rPr>
          <w:rFonts w:ascii="宋体" w:hAnsi="宋体" w:cs="宋体"/>
          <w:b/>
          <w:bCs/>
          <w:sz w:val="24"/>
          <w:szCs w:val="24"/>
        </w:rPr>
      </w:pPr>
      <w:r>
        <w:rPr>
          <w:rFonts w:hint="eastAsia" w:ascii="宋体" w:hAnsi="宋体" w:cs="宋体"/>
          <w:b/>
          <w:bCs/>
          <w:sz w:val="24"/>
          <w:szCs w:val="24"/>
        </w:rPr>
        <w:t>八、优惠服务</w:t>
      </w:r>
      <w:bookmarkEnd w:id="23"/>
      <w:bookmarkEnd w:id="24"/>
    </w:p>
    <w:p w14:paraId="2A3C1C24">
      <w:pPr>
        <w:spacing w:line="360" w:lineRule="auto"/>
        <w:ind w:firstLine="480" w:firstLineChars="200"/>
        <w:rPr>
          <w:rFonts w:ascii="宋体" w:hAnsi="宋体" w:cs="宋体"/>
          <w:sz w:val="24"/>
          <w:szCs w:val="24"/>
        </w:rPr>
      </w:pPr>
      <w:r>
        <w:rPr>
          <w:rFonts w:hint="eastAsia" w:ascii="宋体" w:hAnsi="宋体" w:cs="宋体"/>
          <w:sz w:val="24"/>
          <w:szCs w:val="24"/>
        </w:rPr>
        <w:t>中标人建设的屋顶分布式光伏电站项目并网发电后，中标人需按</w:t>
      </w:r>
      <w:r>
        <w:rPr>
          <w:rFonts w:hint="eastAsia" w:ascii="宋体" w:hAnsi="宋体" w:cs="宋体"/>
          <w:sz w:val="24"/>
          <w:szCs w:val="24"/>
          <w:lang w:val="en-US" w:eastAsia="zh-CN"/>
        </w:rPr>
        <w:t>投标时申报的</w:t>
      </w:r>
      <w:r>
        <w:rPr>
          <w:rFonts w:hint="eastAsia" w:ascii="宋体" w:hAnsi="宋体" w:cs="宋体"/>
          <w:sz w:val="24"/>
          <w:szCs w:val="24"/>
        </w:rPr>
        <w:t>折扣比例优先供给安徽省第二人民医院使用。</w:t>
      </w:r>
    </w:p>
    <w:p w14:paraId="13BCA16F">
      <w:pPr>
        <w:spacing w:line="360" w:lineRule="auto"/>
        <w:jc w:val="left"/>
        <w:rPr>
          <w:rFonts w:ascii="宋体" w:hAnsi="宋体" w:cs="宋体"/>
          <w:b/>
          <w:bCs/>
          <w:sz w:val="24"/>
          <w:szCs w:val="24"/>
        </w:rPr>
      </w:pPr>
      <w:bookmarkStart w:id="25" w:name="_Toc33335638"/>
      <w:bookmarkStart w:id="26" w:name="_Toc484775393"/>
      <w:r>
        <w:rPr>
          <w:rFonts w:hint="eastAsia" w:ascii="宋体" w:hAnsi="宋体" w:cs="宋体"/>
          <w:b/>
          <w:bCs/>
          <w:sz w:val="24"/>
          <w:szCs w:val="24"/>
        </w:rPr>
        <w:t>九、其他服务</w:t>
      </w:r>
      <w:bookmarkEnd w:id="25"/>
      <w:bookmarkEnd w:id="26"/>
    </w:p>
    <w:p w14:paraId="1499B5AC">
      <w:pPr>
        <w:spacing w:line="360" w:lineRule="auto"/>
        <w:ind w:firstLine="480" w:firstLineChars="200"/>
        <w:rPr>
          <w:rFonts w:hint="eastAsia" w:ascii="宋体" w:hAnsi="宋体" w:cs="宋体"/>
          <w:sz w:val="24"/>
          <w:szCs w:val="24"/>
        </w:rPr>
      </w:pPr>
      <w:r>
        <w:rPr>
          <w:rFonts w:hint="eastAsia" w:ascii="宋体" w:hAnsi="宋体" w:cs="宋体"/>
          <w:sz w:val="24"/>
          <w:szCs w:val="24"/>
        </w:rPr>
        <w:t>投标人对本项目25年合作期的运维服务必须全面负责，</w:t>
      </w:r>
      <w:r>
        <w:rPr>
          <w:rFonts w:hint="eastAsia" w:ascii="宋体" w:hAnsi="宋体" w:cs="宋体"/>
          <w:sz w:val="24"/>
          <w:szCs w:val="24"/>
          <w:lang w:val="en-US" w:eastAsia="zh-CN"/>
        </w:rPr>
        <w:t>合同期内</w:t>
      </w:r>
      <w:r>
        <w:rPr>
          <w:rFonts w:hint="eastAsia" w:ascii="宋体" w:hAnsi="宋体" w:cs="宋体"/>
          <w:sz w:val="24"/>
          <w:szCs w:val="24"/>
        </w:rPr>
        <w:t>不得</w:t>
      </w:r>
      <w:r>
        <w:rPr>
          <w:rFonts w:hint="eastAsia" w:ascii="宋体" w:hAnsi="宋体" w:cs="宋体"/>
          <w:sz w:val="24"/>
          <w:szCs w:val="24"/>
          <w:lang w:val="en-US" w:eastAsia="zh-CN"/>
        </w:rPr>
        <w:t>出售或</w:t>
      </w:r>
      <w:r>
        <w:rPr>
          <w:rFonts w:hint="eastAsia" w:ascii="宋体" w:hAnsi="宋体" w:cs="宋体"/>
          <w:sz w:val="24"/>
          <w:szCs w:val="24"/>
        </w:rPr>
        <w:t>转让。</w:t>
      </w:r>
    </w:p>
    <w:bookmarkEnd w:id="14"/>
    <w:p w14:paraId="368A8E58">
      <w:pPr>
        <w:pStyle w:val="6"/>
        <w:spacing w:before="0" w:after="0" w:line="360" w:lineRule="auto"/>
        <w:ind w:firstLine="3213" w:firstLineChars="1000"/>
        <w:jc w:val="both"/>
        <w:rPr>
          <w:rFonts w:ascii="宋体" w:hAnsi="宋体" w:eastAsia="宋体"/>
          <w:color w:val="000000"/>
        </w:rPr>
      </w:pPr>
      <w:bookmarkStart w:id="27" w:name="_Toc24178"/>
      <w:bookmarkStart w:id="28" w:name="_Toc1479821"/>
      <w:bookmarkStart w:id="29" w:name="_Toc220232409"/>
      <w:r>
        <w:rPr>
          <w:rFonts w:hint="eastAsia" w:ascii="宋体" w:hAnsi="宋体" w:eastAsia="宋体"/>
          <w:color w:val="000000"/>
        </w:rPr>
        <w:br w:type="page"/>
      </w:r>
      <w:r>
        <w:rPr>
          <w:rFonts w:hint="eastAsia" w:ascii="宋体" w:hAnsi="宋体" w:eastAsia="宋体"/>
          <w:color w:val="000000"/>
        </w:rPr>
        <w:t>第四章  评标办法</w:t>
      </w:r>
      <w:bookmarkEnd w:id="27"/>
      <w:bookmarkEnd w:id="28"/>
    </w:p>
    <w:p w14:paraId="222B337D">
      <w:pPr>
        <w:adjustRightInd w:val="0"/>
        <w:snapToGrid w:val="0"/>
        <w:spacing w:line="360" w:lineRule="auto"/>
        <w:jc w:val="center"/>
        <w:rPr>
          <w:rFonts w:ascii="宋体" w:hAnsi="宋体"/>
          <w:b/>
          <w:bCs/>
          <w:color w:val="000000"/>
          <w:sz w:val="24"/>
        </w:rPr>
      </w:pPr>
      <w:r>
        <w:rPr>
          <w:rFonts w:hint="eastAsia" w:ascii="宋体" w:hAnsi="宋体"/>
          <w:b/>
          <w:bCs/>
          <w:color w:val="000000"/>
          <w:sz w:val="24"/>
        </w:rPr>
        <w:t>评标办法前附表（一）</w:t>
      </w:r>
    </w:p>
    <w:p w14:paraId="6B97C721">
      <w:pPr>
        <w:adjustRightInd w:val="0"/>
        <w:snapToGrid w:val="0"/>
        <w:spacing w:line="360" w:lineRule="auto"/>
        <w:jc w:val="center"/>
        <w:rPr>
          <w:rFonts w:ascii="宋体" w:hAnsi="宋体"/>
          <w:b/>
          <w:bCs/>
          <w:color w:val="000000"/>
          <w:sz w:val="24"/>
        </w:rPr>
      </w:pPr>
      <w:r>
        <w:rPr>
          <w:rFonts w:hint="eastAsia" w:ascii="宋体" w:hAnsi="宋体"/>
          <w:b/>
          <w:bCs/>
          <w:color w:val="000000"/>
          <w:sz w:val="24"/>
        </w:rPr>
        <w:t>初步评审表</w:t>
      </w:r>
    </w:p>
    <w:tbl>
      <w:tblPr>
        <w:tblStyle w:val="51"/>
        <w:tblW w:w="9217" w:type="dxa"/>
        <w:jc w:val="center"/>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5"/>
        <w:gridCol w:w="688"/>
        <w:gridCol w:w="3921"/>
        <w:gridCol w:w="4183"/>
      </w:tblGrid>
      <w:tr w14:paraId="75A620E7">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0" w:hRule="atLeast"/>
          <w:jc w:val="center"/>
        </w:trPr>
        <w:tc>
          <w:tcPr>
            <w:tcW w:w="425" w:type="dxa"/>
            <w:tcBorders>
              <w:top w:val="single" w:color="auto" w:sz="2" w:space="0"/>
              <w:left w:val="single" w:color="auto" w:sz="2" w:space="0"/>
              <w:bottom w:val="single" w:color="auto" w:sz="2" w:space="0"/>
              <w:right w:val="single" w:color="auto" w:sz="4" w:space="0"/>
            </w:tcBorders>
            <w:vAlign w:val="center"/>
          </w:tcPr>
          <w:p w14:paraId="3C9BA0CC">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序号</w:t>
            </w:r>
          </w:p>
        </w:tc>
        <w:tc>
          <w:tcPr>
            <w:tcW w:w="688" w:type="dxa"/>
            <w:tcBorders>
              <w:top w:val="single" w:color="auto" w:sz="2" w:space="0"/>
              <w:left w:val="single" w:color="auto" w:sz="4" w:space="0"/>
              <w:bottom w:val="single" w:color="auto" w:sz="2" w:space="0"/>
              <w:right w:val="single" w:color="auto" w:sz="2" w:space="0"/>
            </w:tcBorders>
            <w:vAlign w:val="center"/>
          </w:tcPr>
          <w:p w14:paraId="56139035">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内容</w:t>
            </w:r>
          </w:p>
        </w:tc>
        <w:tc>
          <w:tcPr>
            <w:tcW w:w="3921" w:type="dxa"/>
            <w:tcBorders>
              <w:top w:val="single" w:color="auto" w:sz="2" w:space="0"/>
              <w:left w:val="single" w:color="auto" w:sz="2" w:space="0"/>
              <w:bottom w:val="single" w:color="auto" w:sz="2" w:space="0"/>
              <w:right w:val="single" w:color="auto" w:sz="2" w:space="0"/>
            </w:tcBorders>
            <w:vAlign w:val="center"/>
          </w:tcPr>
          <w:p w14:paraId="7F47B772">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评审因素</w:t>
            </w:r>
          </w:p>
        </w:tc>
        <w:tc>
          <w:tcPr>
            <w:tcW w:w="4183" w:type="dxa"/>
            <w:tcBorders>
              <w:top w:val="single" w:color="auto" w:sz="2" w:space="0"/>
              <w:left w:val="single" w:color="auto" w:sz="2" w:space="0"/>
              <w:bottom w:val="single" w:color="auto" w:sz="2" w:space="0"/>
              <w:right w:val="single" w:color="auto" w:sz="2" w:space="0"/>
            </w:tcBorders>
            <w:vAlign w:val="center"/>
          </w:tcPr>
          <w:p w14:paraId="2874BDFB">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评审标准</w:t>
            </w:r>
          </w:p>
        </w:tc>
      </w:tr>
      <w:tr w14:paraId="4F622534">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74" w:hRule="atLeast"/>
          <w:jc w:val="center"/>
        </w:trPr>
        <w:tc>
          <w:tcPr>
            <w:tcW w:w="425" w:type="dxa"/>
            <w:vMerge w:val="restart"/>
            <w:tcBorders>
              <w:top w:val="single" w:color="auto" w:sz="2" w:space="0"/>
              <w:left w:val="single" w:color="auto" w:sz="2" w:space="0"/>
              <w:right w:val="single" w:color="auto" w:sz="4" w:space="0"/>
            </w:tcBorders>
            <w:vAlign w:val="center"/>
          </w:tcPr>
          <w:p w14:paraId="7A0B647F">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688" w:type="dxa"/>
            <w:vMerge w:val="restart"/>
            <w:tcBorders>
              <w:top w:val="single" w:color="auto" w:sz="2" w:space="0"/>
              <w:left w:val="single" w:color="auto" w:sz="4" w:space="0"/>
              <w:right w:val="single" w:color="auto" w:sz="2" w:space="0"/>
            </w:tcBorders>
            <w:vAlign w:val="center"/>
          </w:tcPr>
          <w:p w14:paraId="2B9F8464">
            <w:pPr>
              <w:autoSpaceDE w:val="0"/>
              <w:autoSpaceDN w:val="0"/>
              <w:snapToGrid w:val="0"/>
              <w:spacing w:line="360" w:lineRule="auto"/>
              <w:jc w:val="center"/>
              <w:rPr>
                <w:rFonts w:ascii="宋体" w:hAnsi="宋体"/>
                <w:color w:val="000000"/>
                <w:kern w:val="0"/>
                <w:sz w:val="24"/>
                <w:szCs w:val="24"/>
              </w:rPr>
            </w:pPr>
          </w:p>
          <w:p w14:paraId="7F219A62">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资</w:t>
            </w:r>
          </w:p>
          <w:p w14:paraId="43E3E2BB">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格</w:t>
            </w:r>
          </w:p>
          <w:p w14:paraId="5B389330">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评</w:t>
            </w:r>
          </w:p>
          <w:p w14:paraId="7DD15DA9">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审</w:t>
            </w:r>
          </w:p>
          <w:p w14:paraId="7BD824E5">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标</w:t>
            </w:r>
          </w:p>
          <w:p w14:paraId="4F8FCECE">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准</w:t>
            </w:r>
          </w:p>
        </w:tc>
        <w:tc>
          <w:tcPr>
            <w:tcW w:w="3921" w:type="dxa"/>
            <w:tcBorders>
              <w:top w:val="single" w:color="auto" w:sz="2" w:space="0"/>
              <w:left w:val="single" w:color="auto" w:sz="2" w:space="0"/>
              <w:bottom w:val="single" w:color="auto" w:sz="4" w:space="0"/>
              <w:right w:val="single" w:color="auto" w:sz="2" w:space="0"/>
            </w:tcBorders>
            <w:vAlign w:val="center"/>
          </w:tcPr>
          <w:p w14:paraId="6160830D">
            <w:pPr>
              <w:spacing w:line="360" w:lineRule="auto"/>
              <w:jc w:val="center"/>
              <w:rPr>
                <w:rFonts w:ascii="宋体" w:hAnsi="宋体"/>
                <w:color w:val="000000"/>
                <w:sz w:val="24"/>
                <w:szCs w:val="24"/>
              </w:rPr>
            </w:pPr>
            <w:r>
              <w:rPr>
                <w:rFonts w:hint="eastAsia" w:ascii="宋体" w:hAnsi="宋体"/>
                <w:color w:val="000000"/>
                <w:sz w:val="24"/>
                <w:szCs w:val="24"/>
              </w:rPr>
              <w:t>营业执照</w:t>
            </w:r>
          </w:p>
        </w:tc>
        <w:tc>
          <w:tcPr>
            <w:tcW w:w="4183" w:type="dxa"/>
            <w:tcBorders>
              <w:top w:val="single" w:color="auto" w:sz="2" w:space="0"/>
              <w:left w:val="single" w:color="auto" w:sz="2" w:space="0"/>
              <w:bottom w:val="single" w:color="auto" w:sz="4" w:space="0"/>
              <w:right w:val="single" w:color="auto" w:sz="2" w:space="0"/>
            </w:tcBorders>
            <w:vAlign w:val="center"/>
          </w:tcPr>
          <w:p w14:paraId="04BFACC0">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olor w:val="000000"/>
                <w:sz w:val="24"/>
                <w:szCs w:val="28"/>
                <w:lang w:val="zh-CN"/>
              </w:rPr>
              <w:t>投标人</w:t>
            </w:r>
            <w:r>
              <w:rPr>
                <w:rFonts w:hint="eastAsia" w:ascii="宋体" w:hAnsi="宋体" w:cs="宋体"/>
                <w:sz w:val="24"/>
                <w:szCs w:val="24"/>
                <w:lang w:val="zh-CN"/>
              </w:rPr>
              <w:t>营业执照经营范围应至少具备：</w:t>
            </w:r>
            <w:r>
              <w:rPr>
                <w:rFonts w:hint="eastAsia" w:ascii="宋体" w:hAnsi="宋体"/>
                <w:color w:val="000000"/>
                <w:sz w:val="24"/>
                <w:szCs w:val="28"/>
                <w:lang w:val="zh-CN"/>
              </w:rPr>
              <w:t>合同能源管理或太阳能光伏系统、太阳能路灯研发、安装，太阳能发电技术服务发电业务、输电业务、合同能源管理，工程管理服务；</w:t>
            </w:r>
          </w:p>
          <w:p w14:paraId="584E3201">
            <w:pPr>
              <w:autoSpaceDE w:val="0"/>
              <w:autoSpaceDN w:val="0"/>
              <w:adjustRightInd w:val="0"/>
              <w:spacing w:line="360" w:lineRule="auto"/>
              <w:ind w:firstLine="480" w:firstLineChars="200"/>
              <w:jc w:val="left"/>
              <w:rPr>
                <w:rFonts w:ascii="宋体" w:hAnsi="宋体"/>
                <w:color w:val="000000"/>
                <w:sz w:val="24"/>
                <w:szCs w:val="24"/>
              </w:rPr>
            </w:pPr>
          </w:p>
        </w:tc>
      </w:tr>
      <w:tr w14:paraId="7035E099">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6" w:hRule="atLeast"/>
          <w:jc w:val="center"/>
        </w:trPr>
        <w:tc>
          <w:tcPr>
            <w:tcW w:w="425" w:type="dxa"/>
            <w:vMerge w:val="continue"/>
            <w:tcBorders>
              <w:left w:val="single" w:color="auto" w:sz="2" w:space="0"/>
              <w:right w:val="single" w:color="auto" w:sz="4" w:space="0"/>
            </w:tcBorders>
            <w:vAlign w:val="center"/>
          </w:tcPr>
          <w:p w14:paraId="18CF40C9">
            <w:pPr>
              <w:autoSpaceDE w:val="0"/>
              <w:autoSpaceDN w:val="0"/>
              <w:snapToGrid w:val="0"/>
              <w:spacing w:line="360" w:lineRule="auto"/>
              <w:jc w:val="center"/>
              <w:rPr>
                <w:rFonts w:hint="eastAsia" w:ascii="宋体" w:hAnsi="宋体"/>
                <w:color w:val="000000"/>
                <w:kern w:val="0"/>
                <w:sz w:val="24"/>
                <w:szCs w:val="24"/>
              </w:rPr>
            </w:pPr>
          </w:p>
        </w:tc>
        <w:tc>
          <w:tcPr>
            <w:tcW w:w="688" w:type="dxa"/>
            <w:vMerge w:val="continue"/>
            <w:tcBorders>
              <w:left w:val="single" w:color="auto" w:sz="4" w:space="0"/>
              <w:right w:val="single" w:color="auto" w:sz="2" w:space="0"/>
            </w:tcBorders>
            <w:vAlign w:val="center"/>
          </w:tcPr>
          <w:p w14:paraId="313AC0EC">
            <w:pPr>
              <w:autoSpaceDE w:val="0"/>
              <w:autoSpaceDN w:val="0"/>
              <w:snapToGrid w:val="0"/>
              <w:spacing w:line="360" w:lineRule="auto"/>
              <w:jc w:val="center"/>
              <w:rPr>
                <w:rFonts w:hint="eastAsia" w:ascii="宋体" w:hAnsi="宋体"/>
                <w:color w:val="000000"/>
                <w:kern w:val="0"/>
                <w:sz w:val="24"/>
                <w:szCs w:val="24"/>
              </w:rPr>
            </w:pPr>
          </w:p>
        </w:tc>
        <w:tc>
          <w:tcPr>
            <w:tcW w:w="3921" w:type="dxa"/>
            <w:tcBorders>
              <w:top w:val="single" w:color="auto" w:sz="4" w:space="0"/>
              <w:left w:val="single" w:color="auto" w:sz="2" w:space="0"/>
              <w:bottom w:val="single" w:color="auto" w:sz="2" w:space="0"/>
              <w:right w:val="single" w:color="auto" w:sz="2" w:space="0"/>
            </w:tcBorders>
            <w:vAlign w:val="center"/>
          </w:tcPr>
          <w:p w14:paraId="20D49FB6">
            <w:pPr>
              <w:spacing w:line="360" w:lineRule="auto"/>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企业规模</w:t>
            </w:r>
          </w:p>
        </w:tc>
        <w:tc>
          <w:tcPr>
            <w:tcW w:w="4183" w:type="dxa"/>
            <w:tcBorders>
              <w:top w:val="single" w:color="auto" w:sz="4" w:space="0"/>
              <w:left w:val="single" w:color="auto" w:sz="2" w:space="0"/>
              <w:bottom w:val="single" w:color="auto" w:sz="2" w:space="0"/>
              <w:right w:val="single" w:color="auto" w:sz="2" w:space="0"/>
            </w:tcBorders>
            <w:vAlign w:val="center"/>
          </w:tcPr>
          <w:p w14:paraId="7BBC99D3">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投标方提供2021或者2022年度财务报表，企业年产值5000万及以上。</w:t>
            </w:r>
          </w:p>
          <w:p w14:paraId="3B114B9D">
            <w:pPr>
              <w:autoSpaceDE w:val="0"/>
              <w:autoSpaceDN w:val="0"/>
              <w:adjustRightInd w:val="0"/>
              <w:spacing w:line="360" w:lineRule="auto"/>
              <w:ind w:firstLine="480" w:firstLineChars="200"/>
              <w:jc w:val="left"/>
              <w:rPr>
                <w:rFonts w:ascii="宋体" w:hAnsi="宋体"/>
                <w:color w:val="000000"/>
                <w:sz w:val="24"/>
                <w:szCs w:val="24"/>
              </w:rPr>
            </w:pPr>
          </w:p>
        </w:tc>
      </w:tr>
      <w:tr w14:paraId="2E985FBD">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8" w:hRule="atLeast"/>
          <w:jc w:val="center"/>
        </w:trPr>
        <w:tc>
          <w:tcPr>
            <w:tcW w:w="425" w:type="dxa"/>
            <w:vMerge w:val="continue"/>
            <w:tcBorders>
              <w:left w:val="single" w:color="auto" w:sz="2" w:space="0"/>
              <w:right w:val="single" w:color="auto" w:sz="4" w:space="0"/>
            </w:tcBorders>
            <w:vAlign w:val="center"/>
          </w:tcPr>
          <w:p w14:paraId="3FEAD43D">
            <w:pPr>
              <w:widowControl/>
              <w:spacing w:line="360" w:lineRule="auto"/>
              <w:jc w:val="left"/>
              <w:rPr>
                <w:rFonts w:ascii="宋体" w:hAnsi="宋体"/>
                <w:color w:val="000000"/>
                <w:kern w:val="0"/>
                <w:sz w:val="24"/>
                <w:szCs w:val="24"/>
              </w:rPr>
            </w:pPr>
          </w:p>
        </w:tc>
        <w:tc>
          <w:tcPr>
            <w:tcW w:w="688" w:type="dxa"/>
            <w:vMerge w:val="continue"/>
            <w:tcBorders>
              <w:left w:val="single" w:color="auto" w:sz="4" w:space="0"/>
              <w:right w:val="single" w:color="auto" w:sz="2" w:space="0"/>
            </w:tcBorders>
            <w:vAlign w:val="center"/>
          </w:tcPr>
          <w:p w14:paraId="111C63CF">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right w:val="single" w:color="auto" w:sz="2" w:space="0"/>
            </w:tcBorders>
            <w:vAlign w:val="center"/>
          </w:tcPr>
          <w:p w14:paraId="2BAE15B5">
            <w:pPr>
              <w:spacing w:after="120" w:line="360" w:lineRule="auto"/>
              <w:jc w:val="center"/>
              <w:rPr>
                <w:rFonts w:ascii="宋体" w:hAnsi="宋体"/>
                <w:sz w:val="24"/>
                <w:szCs w:val="28"/>
              </w:rPr>
            </w:pPr>
            <w:r>
              <w:rPr>
                <w:rFonts w:hint="eastAsia" w:ascii="宋体" w:hAnsi="宋体"/>
                <w:sz w:val="24"/>
                <w:szCs w:val="28"/>
              </w:rPr>
              <w:t>业绩</w:t>
            </w:r>
          </w:p>
        </w:tc>
        <w:tc>
          <w:tcPr>
            <w:tcW w:w="4183" w:type="dxa"/>
            <w:tcBorders>
              <w:top w:val="single" w:color="auto" w:sz="2" w:space="0"/>
              <w:left w:val="single" w:color="auto" w:sz="2" w:space="0"/>
              <w:right w:val="single" w:color="auto" w:sz="2" w:space="0"/>
            </w:tcBorders>
            <w:vAlign w:val="center"/>
          </w:tcPr>
          <w:p w14:paraId="4BB4DBD8">
            <w:pPr>
              <w:spacing w:line="360" w:lineRule="auto"/>
            </w:pPr>
            <w:r>
              <w:rPr>
                <w:rFonts w:hint="eastAsia" w:ascii="宋体" w:hAnsi="宋体" w:cs="宋体"/>
                <w:sz w:val="24"/>
                <w:szCs w:val="24"/>
                <w:lang w:val="zh-CN"/>
              </w:rPr>
              <w:t>投标人须具有自 202</w:t>
            </w:r>
            <w:r>
              <w:rPr>
                <w:rFonts w:hint="eastAsia" w:ascii="宋体" w:hAnsi="宋体" w:cs="宋体"/>
                <w:sz w:val="24"/>
                <w:szCs w:val="24"/>
              </w:rPr>
              <w:t>0</w:t>
            </w:r>
            <w:r>
              <w:rPr>
                <w:rFonts w:hint="eastAsia" w:ascii="宋体" w:hAnsi="宋体" w:cs="宋体"/>
                <w:sz w:val="24"/>
                <w:szCs w:val="24"/>
                <w:lang w:val="zh-CN"/>
              </w:rPr>
              <w:t>年 1 月 1 日以来 （以合同签订时间为准） ，至少</w:t>
            </w:r>
            <w:r>
              <w:rPr>
                <w:rFonts w:hint="eastAsia" w:ascii="宋体" w:hAnsi="宋体" w:cs="宋体"/>
                <w:sz w:val="24"/>
                <w:szCs w:val="24"/>
                <w:lang w:val="en-US" w:eastAsia="zh-CN"/>
              </w:rPr>
              <w:t>有</w:t>
            </w:r>
            <w:r>
              <w:rPr>
                <w:rFonts w:hint="eastAsia" w:ascii="宋体" w:hAnsi="宋体" w:cs="宋体"/>
                <w:sz w:val="24"/>
                <w:szCs w:val="24"/>
                <w:lang w:val="zh-CN"/>
              </w:rPr>
              <w:t>投资、供货或建设二个</w:t>
            </w:r>
            <w:r>
              <w:rPr>
                <w:rFonts w:hint="eastAsia" w:ascii="宋体" w:hAnsi="宋体" w:cs="宋体"/>
                <w:sz w:val="24"/>
                <w:szCs w:val="24"/>
              </w:rPr>
              <w:t>综合能源或</w:t>
            </w:r>
            <w:r>
              <w:rPr>
                <w:rFonts w:hint="eastAsia" w:ascii="宋体" w:hAnsi="宋体" w:cs="宋体"/>
                <w:sz w:val="24"/>
                <w:szCs w:val="24"/>
                <w:lang w:val="zh-CN"/>
              </w:rPr>
              <w:t>新能源类项目</w:t>
            </w:r>
            <w:r>
              <w:rPr>
                <w:rFonts w:hint="eastAsia" w:ascii="宋体" w:hAnsi="宋体" w:cs="宋体"/>
                <w:sz w:val="24"/>
                <w:szCs w:val="24"/>
              </w:rPr>
              <w:t>相关业绩。</w:t>
            </w:r>
          </w:p>
        </w:tc>
      </w:tr>
      <w:tr w14:paraId="4212EE6A">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3" w:hRule="atLeast"/>
          <w:jc w:val="center"/>
        </w:trPr>
        <w:tc>
          <w:tcPr>
            <w:tcW w:w="425" w:type="dxa"/>
            <w:vMerge w:val="continue"/>
            <w:tcBorders>
              <w:left w:val="single" w:color="auto" w:sz="2" w:space="0"/>
              <w:right w:val="single" w:color="auto" w:sz="4" w:space="0"/>
            </w:tcBorders>
            <w:vAlign w:val="center"/>
          </w:tcPr>
          <w:p w14:paraId="6F75D7E0">
            <w:pPr>
              <w:widowControl/>
              <w:spacing w:line="360" w:lineRule="auto"/>
              <w:jc w:val="left"/>
              <w:rPr>
                <w:rFonts w:ascii="宋体" w:hAnsi="宋体"/>
                <w:color w:val="000000"/>
                <w:kern w:val="0"/>
                <w:sz w:val="24"/>
                <w:szCs w:val="24"/>
              </w:rPr>
            </w:pPr>
          </w:p>
        </w:tc>
        <w:tc>
          <w:tcPr>
            <w:tcW w:w="688" w:type="dxa"/>
            <w:vMerge w:val="continue"/>
            <w:tcBorders>
              <w:left w:val="single" w:color="auto" w:sz="4" w:space="0"/>
              <w:right w:val="single" w:color="auto" w:sz="2" w:space="0"/>
            </w:tcBorders>
            <w:vAlign w:val="center"/>
          </w:tcPr>
          <w:p w14:paraId="548AE16A">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right w:val="single" w:color="auto" w:sz="2" w:space="0"/>
            </w:tcBorders>
            <w:vAlign w:val="center"/>
          </w:tcPr>
          <w:p w14:paraId="693CCF80">
            <w:pPr>
              <w:spacing w:line="360" w:lineRule="auto"/>
              <w:jc w:val="center"/>
              <w:rPr>
                <w:rFonts w:ascii="宋体" w:hAnsi="宋体"/>
                <w:sz w:val="24"/>
                <w:szCs w:val="28"/>
              </w:rPr>
            </w:pPr>
            <w:r>
              <w:rPr>
                <w:rFonts w:hint="eastAsia" w:ascii="宋体" w:hAnsi="宋体"/>
                <w:sz w:val="24"/>
                <w:szCs w:val="28"/>
              </w:rPr>
              <w:t>本地化服务能力</w:t>
            </w:r>
          </w:p>
        </w:tc>
        <w:tc>
          <w:tcPr>
            <w:tcW w:w="4183" w:type="dxa"/>
            <w:tcBorders>
              <w:top w:val="single" w:color="auto" w:sz="2" w:space="0"/>
              <w:left w:val="single" w:color="auto" w:sz="2" w:space="0"/>
              <w:right w:val="single" w:color="auto" w:sz="2" w:space="0"/>
            </w:tcBorders>
            <w:vAlign w:val="center"/>
          </w:tcPr>
          <w:p w14:paraId="5012635D">
            <w:pPr>
              <w:spacing w:line="360" w:lineRule="auto"/>
              <w:rPr>
                <w:rFonts w:ascii="宋体" w:hAnsi="宋体" w:cs="宋体"/>
                <w:sz w:val="24"/>
                <w:szCs w:val="24"/>
              </w:rPr>
            </w:pPr>
            <w:r>
              <w:rPr>
                <w:rFonts w:hint="eastAsia" w:ascii="宋体" w:hAnsi="宋体"/>
                <w:sz w:val="24"/>
                <w:szCs w:val="24"/>
              </w:rPr>
              <w:t>1.</w:t>
            </w:r>
            <w:r>
              <w:rPr>
                <w:rFonts w:hint="eastAsia" w:ascii="宋体" w:hAnsi="宋体" w:cs="宋体"/>
                <w:sz w:val="24"/>
                <w:szCs w:val="24"/>
              </w:rPr>
              <w:t>投标方应提供全天候的维保服务，项目投运后若出现异常工况时，投标方要确保6小时内响应并查明故障原因，12小时内安排专业技术人员赶赴现场进行故障识别处理。</w:t>
            </w:r>
          </w:p>
          <w:p w14:paraId="68611793">
            <w:pPr>
              <w:spacing w:line="360" w:lineRule="auto"/>
              <w:rPr>
                <w:rFonts w:ascii="宋体" w:hAnsi="宋体" w:cs="宋体"/>
                <w:sz w:val="24"/>
                <w:szCs w:val="24"/>
              </w:rPr>
            </w:pPr>
            <w:r>
              <w:rPr>
                <w:rFonts w:ascii="宋体" w:hAnsi="宋体"/>
                <w:sz w:val="24"/>
                <w:szCs w:val="24"/>
              </w:rPr>
              <w:t>2</w:t>
            </w:r>
            <w:r>
              <w:rPr>
                <w:rFonts w:hint="eastAsia" w:ascii="宋体" w:hAnsi="宋体"/>
                <w:sz w:val="24"/>
                <w:szCs w:val="24"/>
              </w:rPr>
              <w:t>.</w:t>
            </w:r>
            <w:r>
              <w:rPr>
                <w:rFonts w:hint="eastAsia" w:ascii="宋体" w:hAnsi="宋体" w:cs="宋体"/>
                <w:sz w:val="24"/>
                <w:szCs w:val="24"/>
              </w:rPr>
              <w:t>在系统出现故障时，允许投标方先通过电话或视频进行辅助诊断，确定故障原因后投标方应选派专业维护人员在12小时内上门处理，严禁投标方安排不谙技术或不了解本工程项目实际情况的人员前来服务。</w:t>
            </w:r>
          </w:p>
          <w:p w14:paraId="0641DC65">
            <w:pPr>
              <w:spacing w:line="360" w:lineRule="auto"/>
              <w:rPr>
                <w:rFonts w:ascii="宋体" w:hAnsi="宋体" w:cs="宋体"/>
                <w:sz w:val="24"/>
                <w:szCs w:val="24"/>
              </w:rPr>
            </w:pPr>
            <w:r>
              <w:rPr>
                <w:rFonts w:ascii="宋体" w:hAnsi="宋体"/>
                <w:sz w:val="24"/>
                <w:szCs w:val="24"/>
              </w:rPr>
              <w:t>3</w:t>
            </w:r>
            <w:r>
              <w:rPr>
                <w:rFonts w:hint="eastAsia" w:ascii="宋体" w:hAnsi="宋体"/>
                <w:sz w:val="24"/>
                <w:szCs w:val="24"/>
              </w:rPr>
              <w:t>.</w:t>
            </w:r>
            <w:r>
              <w:rPr>
                <w:rFonts w:hint="eastAsia" w:ascii="宋体" w:hAnsi="宋体" w:cs="宋体"/>
                <w:sz w:val="24"/>
                <w:szCs w:val="24"/>
              </w:rPr>
              <w:t>在合同期内，本项目所有软硬件的维护工作，包括完善性维护、适应性维护、改正性维护及相关电气试验等工作，均由投标方负责。</w:t>
            </w:r>
          </w:p>
          <w:p w14:paraId="1868F43C">
            <w:pPr>
              <w:spacing w:line="360" w:lineRule="auto"/>
              <w:rPr>
                <w:rFonts w:ascii="宋体" w:hAnsi="宋体"/>
                <w:color w:val="000000"/>
                <w:sz w:val="24"/>
                <w:szCs w:val="24"/>
              </w:rPr>
            </w:pPr>
          </w:p>
        </w:tc>
      </w:tr>
      <w:tr w14:paraId="5465BD10">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425" w:type="dxa"/>
            <w:vMerge w:val="continue"/>
            <w:tcBorders>
              <w:left w:val="single" w:color="auto" w:sz="2" w:space="0"/>
              <w:right w:val="single" w:color="auto" w:sz="4" w:space="0"/>
            </w:tcBorders>
            <w:vAlign w:val="center"/>
          </w:tcPr>
          <w:p w14:paraId="05D777B0">
            <w:pPr>
              <w:widowControl/>
              <w:spacing w:line="360" w:lineRule="auto"/>
              <w:jc w:val="left"/>
              <w:rPr>
                <w:rFonts w:ascii="宋体" w:hAnsi="宋体"/>
                <w:color w:val="000000"/>
                <w:kern w:val="0"/>
                <w:sz w:val="24"/>
                <w:szCs w:val="24"/>
              </w:rPr>
            </w:pPr>
          </w:p>
        </w:tc>
        <w:tc>
          <w:tcPr>
            <w:tcW w:w="688" w:type="dxa"/>
            <w:vMerge w:val="continue"/>
            <w:tcBorders>
              <w:left w:val="single" w:color="auto" w:sz="4" w:space="0"/>
              <w:right w:val="single" w:color="auto" w:sz="2" w:space="0"/>
            </w:tcBorders>
            <w:vAlign w:val="center"/>
          </w:tcPr>
          <w:p w14:paraId="4C5B2663">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right w:val="single" w:color="auto" w:sz="2" w:space="0"/>
            </w:tcBorders>
            <w:vAlign w:val="center"/>
          </w:tcPr>
          <w:p w14:paraId="2EA991FD">
            <w:pPr>
              <w:spacing w:line="360" w:lineRule="auto"/>
              <w:jc w:val="center"/>
              <w:rPr>
                <w:rFonts w:ascii="宋体" w:hAnsi="宋体" w:cs="宋体"/>
                <w:sz w:val="24"/>
                <w:szCs w:val="24"/>
              </w:rPr>
            </w:pPr>
            <w:r>
              <w:rPr>
                <w:rFonts w:hint="eastAsia" w:ascii="宋体" w:hAnsi="宋体" w:cs="宋体"/>
                <w:sz w:val="24"/>
                <w:szCs w:val="24"/>
              </w:rPr>
              <w:t>承诺书</w:t>
            </w:r>
          </w:p>
        </w:tc>
        <w:tc>
          <w:tcPr>
            <w:tcW w:w="4183" w:type="dxa"/>
            <w:tcBorders>
              <w:top w:val="single" w:color="auto" w:sz="2" w:space="0"/>
              <w:left w:val="single" w:color="auto" w:sz="2" w:space="0"/>
              <w:right w:val="single" w:color="auto" w:sz="2" w:space="0"/>
            </w:tcBorders>
            <w:vAlign w:val="center"/>
          </w:tcPr>
          <w:p w14:paraId="5117D22A">
            <w:pPr>
              <w:spacing w:line="360" w:lineRule="auto"/>
              <w:rPr>
                <w:rFonts w:ascii="宋体" w:hAnsi="宋体" w:cs="宋体"/>
                <w:sz w:val="24"/>
                <w:szCs w:val="24"/>
              </w:rPr>
            </w:pPr>
            <w:r>
              <w:rPr>
                <w:rFonts w:hint="eastAsia" w:ascii="宋体" w:hAnsi="宋体" w:cs="宋体"/>
                <w:sz w:val="24"/>
                <w:szCs w:val="24"/>
              </w:rPr>
              <w:t>1.具有独立承担民事责任的能力；</w:t>
            </w:r>
          </w:p>
          <w:p w14:paraId="2F5C3610">
            <w:pPr>
              <w:spacing w:line="360" w:lineRule="auto"/>
              <w:rPr>
                <w:rFonts w:ascii="宋体" w:hAnsi="宋体" w:cs="宋体"/>
                <w:sz w:val="24"/>
                <w:szCs w:val="24"/>
              </w:rPr>
            </w:pPr>
            <w:r>
              <w:rPr>
                <w:rFonts w:hint="eastAsia" w:ascii="宋体" w:hAnsi="宋体" w:cs="宋体"/>
                <w:sz w:val="24"/>
                <w:szCs w:val="24"/>
              </w:rPr>
              <w:t>2.具有良好的商业信誉和健全的财务会计制度；</w:t>
            </w:r>
          </w:p>
          <w:p w14:paraId="24561818">
            <w:pPr>
              <w:spacing w:line="360" w:lineRule="auto"/>
              <w:rPr>
                <w:rFonts w:ascii="宋体" w:hAnsi="宋体" w:cs="宋体"/>
                <w:sz w:val="24"/>
                <w:szCs w:val="24"/>
              </w:rPr>
            </w:pPr>
            <w:r>
              <w:rPr>
                <w:rFonts w:hint="eastAsia" w:ascii="宋体" w:hAnsi="宋体" w:cs="宋体"/>
                <w:sz w:val="24"/>
                <w:szCs w:val="24"/>
              </w:rPr>
              <w:t>3.具有履行合同所必需的设备和专业技术能力；</w:t>
            </w:r>
          </w:p>
          <w:p w14:paraId="7D656A1C">
            <w:pPr>
              <w:spacing w:line="360" w:lineRule="auto"/>
              <w:rPr>
                <w:rFonts w:ascii="宋体" w:hAnsi="宋体" w:cs="宋体"/>
                <w:sz w:val="24"/>
                <w:szCs w:val="24"/>
              </w:rPr>
            </w:pPr>
            <w:r>
              <w:rPr>
                <w:rFonts w:hint="eastAsia" w:ascii="宋体" w:hAnsi="宋体" w:cs="宋体"/>
                <w:sz w:val="24"/>
                <w:szCs w:val="24"/>
              </w:rPr>
              <w:t>4.有依法缴纳税收和社会保障资金的良好记录；</w:t>
            </w:r>
          </w:p>
          <w:p w14:paraId="26B567DB">
            <w:pPr>
              <w:spacing w:line="360" w:lineRule="auto"/>
              <w:rPr>
                <w:rFonts w:ascii="宋体" w:hAnsi="宋体" w:cs="宋体"/>
                <w:sz w:val="24"/>
                <w:szCs w:val="24"/>
              </w:rPr>
            </w:pPr>
            <w:r>
              <w:rPr>
                <w:rFonts w:hint="eastAsia" w:ascii="宋体" w:hAnsi="宋体" w:cs="宋体"/>
                <w:sz w:val="24"/>
                <w:szCs w:val="24"/>
              </w:rPr>
              <w:t>5.参加招标投标活动前三年内，在经营活动中没有重大违法记录；</w:t>
            </w:r>
          </w:p>
          <w:p w14:paraId="5AC36B23">
            <w:pPr>
              <w:spacing w:line="360" w:lineRule="auto"/>
              <w:rPr>
                <w:rFonts w:ascii="宋体" w:hAnsi="宋体" w:cs="宋体"/>
                <w:sz w:val="24"/>
                <w:szCs w:val="24"/>
              </w:rPr>
            </w:pPr>
            <w:r>
              <w:rPr>
                <w:rFonts w:hint="eastAsia" w:ascii="宋体" w:hAnsi="宋体" w:cs="宋体"/>
                <w:sz w:val="24"/>
                <w:szCs w:val="24"/>
              </w:rPr>
              <w:t>6.法律、行政法规规定的其他条件。</w:t>
            </w:r>
          </w:p>
          <w:p w14:paraId="0358AA98">
            <w:pPr>
              <w:spacing w:line="360" w:lineRule="auto"/>
              <w:rPr>
                <w:rFonts w:ascii="宋体" w:hAnsi="宋体" w:cs="宋体"/>
                <w:sz w:val="24"/>
                <w:szCs w:val="24"/>
              </w:rPr>
            </w:pPr>
          </w:p>
          <w:p w14:paraId="30F1102A">
            <w:pPr>
              <w:spacing w:line="360" w:lineRule="auto"/>
              <w:rPr>
                <w:rFonts w:ascii="宋体" w:hAnsi="宋体" w:cs="宋体"/>
                <w:sz w:val="24"/>
                <w:szCs w:val="24"/>
              </w:rPr>
            </w:pPr>
            <w:r>
              <w:rPr>
                <w:rFonts w:hint="eastAsia" w:ascii="宋体" w:hAnsi="宋体" w:cs="宋体"/>
                <w:sz w:val="24"/>
                <w:szCs w:val="24"/>
              </w:rPr>
              <w:t>1.公司被人民法院列入失信被执行人；</w:t>
            </w:r>
          </w:p>
          <w:p w14:paraId="4EB86F06">
            <w:pPr>
              <w:spacing w:line="360" w:lineRule="auto"/>
              <w:rPr>
                <w:rFonts w:ascii="宋体" w:hAnsi="宋体" w:cs="宋体"/>
                <w:sz w:val="24"/>
                <w:szCs w:val="24"/>
              </w:rPr>
            </w:pPr>
            <w:r>
              <w:rPr>
                <w:rFonts w:hint="eastAsia" w:ascii="宋体" w:hAnsi="宋体" w:cs="宋体"/>
                <w:sz w:val="24"/>
                <w:szCs w:val="24"/>
              </w:rPr>
              <w:t>2.公司、法定代表人或拟派项目负责人被人民检察院列入行贿犯罪档案；</w:t>
            </w:r>
          </w:p>
          <w:p w14:paraId="721623DF">
            <w:pPr>
              <w:spacing w:line="360" w:lineRule="auto"/>
              <w:rPr>
                <w:rFonts w:ascii="宋体" w:hAnsi="宋体" w:cs="宋体"/>
                <w:sz w:val="24"/>
                <w:szCs w:val="24"/>
              </w:rPr>
            </w:pPr>
            <w:r>
              <w:rPr>
                <w:rFonts w:hint="eastAsia" w:ascii="宋体" w:hAnsi="宋体" w:cs="宋体"/>
                <w:sz w:val="24"/>
                <w:szCs w:val="24"/>
              </w:rPr>
              <w:t>3.公司被市场监督管理部门列入企业经营异常名录；</w:t>
            </w:r>
          </w:p>
          <w:p w14:paraId="058E106D">
            <w:pPr>
              <w:spacing w:line="360" w:lineRule="auto"/>
              <w:rPr>
                <w:rFonts w:ascii="宋体" w:hAnsi="宋体" w:cs="宋体"/>
                <w:sz w:val="24"/>
                <w:szCs w:val="24"/>
              </w:rPr>
            </w:pPr>
            <w:r>
              <w:rPr>
                <w:rFonts w:hint="eastAsia" w:ascii="宋体" w:hAnsi="宋体" w:cs="宋体"/>
                <w:sz w:val="24"/>
                <w:szCs w:val="24"/>
              </w:rPr>
              <w:t>4.公司被税务部门列入重大税收违法案件当事人名单；</w:t>
            </w:r>
          </w:p>
          <w:p w14:paraId="6F3D299B">
            <w:pPr>
              <w:spacing w:line="360" w:lineRule="auto"/>
              <w:rPr>
                <w:rFonts w:ascii="宋体" w:hAnsi="宋体" w:cs="宋体"/>
                <w:sz w:val="24"/>
                <w:szCs w:val="24"/>
              </w:rPr>
            </w:pPr>
            <w:r>
              <w:rPr>
                <w:rFonts w:hint="eastAsia" w:ascii="宋体" w:hAnsi="宋体" w:cs="宋体"/>
                <w:sz w:val="24"/>
                <w:szCs w:val="24"/>
              </w:rPr>
              <w:t>5.公司被招投标监管部门列入严重违法失信行为记录名单（在处罚期限内的）。</w:t>
            </w:r>
          </w:p>
        </w:tc>
      </w:tr>
      <w:tr w14:paraId="4280B719">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8" w:hRule="atLeast"/>
          <w:jc w:val="center"/>
        </w:trPr>
        <w:tc>
          <w:tcPr>
            <w:tcW w:w="425" w:type="dxa"/>
            <w:vMerge w:val="continue"/>
            <w:tcBorders>
              <w:left w:val="single" w:color="auto" w:sz="2" w:space="0"/>
              <w:right w:val="single" w:color="auto" w:sz="4" w:space="0"/>
            </w:tcBorders>
            <w:vAlign w:val="center"/>
          </w:tcPr>
          <w:p w14:paraId="6A16EC7C">
            <w:pPr>
              <w:widowControl/>
              <w:spacing w:line="360" w:lineRule="auto"/>
              <w:jc w:val="left"/>
              <w:rPr>
                <w:rFonts w:ascii="宋体" w:hAnsi="宋体"/>
                <w:color w:val="000000"/>
                <w:kern w:val="0"/>
                <w:sz w:val="24"/>
                <w:szCs w:val="24"/>
              </w:rPr>
            </w:pPr>
          </w:p>
        </w:tc>
        <w:tc>
          <w:tcPr>
            <w:tcW w:w="688" w:type="dxa"/>
            <w:vMerge w:val="continue"/>
            <w:tcBorders>
              <w:left w:val="single" w:color="auto" w:sz="4" w:space="0"/>
              <w:right w:val="single" w:color="auto" w:sz="2" w:space="0"/>
            </w:tcBorders>
            <w:vAlign w:val="center"/>
          </w:tcPr>
          <w:p w14:paraId="139864ED">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bottom w:val="single" w:color="auto" w:sz="2" w:space="0"/>
              <w:right w:val="single" w:color="auto" w:sz="2" w:space="0"/>
            </w:tcBorders>
            <w:vAlign w:val="center"/>
          </w:tcPr>
          <w:p w14:paraId="3A304A5F">
            <w:pPr>
              <w:spacing w:line="360" w:lineRule="auto"/>
              <w:jc w:val="center"/>
              <w:rPr>
                <w:rFonts w:ascii="宋体" w:hAnsi="宋体"/>
                <w:color w:val="000000"/>
                <w:sz w:val="24"/>
                <w:szCs w:val="24"/>
              </w:rPr>
            </w:pPr>
            <w:r>
              <w:rPr>
                <w:rFonts w:hint="eastAsia" w:ascii="宋体" w:hAnsi="宋体"/>
                <w:color w:val="000000"/>
                <w:kern w:val="0"/>
                <w:sz w:val="24"/>
                <w:szCs w:val="24"/>
              </w:rPr>
              <w:t>投标人名称</w:t>
            </w:r>
          </w:p>
        </w:tc>
        <w:tc>
          <w:tcPr>
            <w:tcW w:w="4183" w:type="dxa"/>
            <w:tcBorders>
              <w:top w:val="single" w:color="auto" w:sz="2" w:space="0"/>
              <w:left w:val="single" w:color="auto" w:sz="2" w:space="0"/>
              <w:bottom w:val="single" w:color="auto" w:sz="2" w:space="0"/>
              <w:right w:val="single" w:color="auto" w:sz="2" w:space="0"/>
            </w:tcBorders>
            <w:vAlign w:val="center"/>
          </w:tcPr>
          <w:p w14:paraId="1E1511FB">
            <w:pPr>
              <w:spacing w:line="360" w:lineRule="auto"/>
              <w:rPr>
                <w:rFonts w:ascii="宋体" w:hAnsi="宋体" w:cs="宋体"/>
                <w:color w:val="000000"/>
                <w:kern w:val="0"/>
                <w:sz w:val="24"/>
                <w:szCs w:val="24"/>
              </w:rPr>
            </w:pPr>
            <w:r>
              <w:rPr>
                <w:rFonts w:hint="eastAsia" w:ascii="宋体" w:hAnsi="宋体"/>
                <w:color w:val="000000"/>
                <w:kern w:val="0"/>
                <w:sz w:val="24"/>
                <w:szCs w:val="24"/>
              </w:rPr>
              <w:t>与有效的营业执照一致</w:t>
            </w:r>
          </w:p>
        </w:tc>
      </w:tr>
      <w:tr w14:paraId="214EBE35">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3" w:hRule="atLeast"/>
          <w:jc w:val="center"/>
        </w:trPr>
        <w:tc>
          <w:tcPr>
            <w:tcW w:w="425" w:type="dxa"/>
            <w:vMerge w:val="restart"/>
            <w:tcBorders>
              <w:top w:val="single" w:color="auto" w:sz="2" w:space="0"/>
              <w:left w:val="single" w:color="auto" w:sz="2" w:space="0"/>
              <w:right w:val="single" w:color="auto" w:sz="2" w:space="0"/>
            </w:tcBorders>
            <w:vAlign w:val="center"/>
          </w:tcPr>
          <w:p w14:paraId="348F261E">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688" w:type="dxa"/>
            <w:vMerge w:val="restart"/>
            <w:tcBorders>
              <w:top w:val="single" w:color="auto" w:sz="2" w:space="0"/>
              <w:left w:val="single" w:color="auto" w:sz="2" w:space="0"/>
              <w:right w:val="single" w:color="auto" w:sz="2" w:space="0"/>
            </w:tcBorders>
            <w:vAlign w:val="center"/>
          </w:tcPr>
          <w:p w14:paraId="5E921D04">
            <w:pPr>
              <w:autoSpaceDE w:val="0"/>
              <w:autoSpaceDN w:val="0"/>
              <w:snapToGrid w:val="0"/>
              <w:spacing w:line="360" w:lineRule="auto"/>
              <w:ind w:firstLine="120" w:firstLineChars="50"/>
              <w:jc w:val="left"/>
              <w:rPr>
                <w:rFonts w:ascii="宋体" w:hAnsi="宋体"/>
                <w:color w:val="000000"/>
                <w:kern w:val="0"/>
                <w:sz w:val="24"/>
                <w:szCs w:val="24"/>
              </w:rPr>
            </w:pPr>
            <w:r>
              <w:rPr>
                <w:rFonts w:hint="eastAsia" w:ascii="宋体" w:hAnsi="宋体"/>
                <w:color w:val="000000"/>
                <w:kern w:val="0"/>
                <w:sz w:val="24"/>
                <w:szCs w:val="24"/>
              </w:rPr>
              <w:t>符</w:t>
            </w:r>
          </w:p>
          <w:p w14:paraId="5CE6DD0B">
            <w:pPr>
              <w:autoSpaceDE w:val="0"/>
              <w:autoSpaceDN w:val="0"/>
              <w:snapToGrid w:val="0"/>
              <w:spacing w:line="360" w:lineRule="auto"/>
              <w:ind w:firstLine="120" w:firstLineChars="50"/>
              <w:jc w:val="left"/>
              <w:rPr>
                <w:rFonts w:ascii="宋体" w:hAnsi="宋体"/>
                <w:color w:val="000000"/>
                <w:kern w:val="0"/>
                <w:sz w:val="24"/>
                <w:szCs w:val="24"/>
              </w:rPr>
            </w:pPr>
            <w:r>
              <w:rPr>
                <w:rFonts w:hint="eastAsia" w:ascii="宋体" w:hAnsi="宋体"/>
                <w:color w:val="000000"/>
                <w:kern w:val="0"/>
                <w:sz w:val="24"/>
                <w:szCs w:val="24"/>
              </w:rPr>
              <w:t>合</w:t>
            </w:r>
          </w:p>
          <w:p w14:paraId="116707C4">
            <w:pPr>
              <w:autoSpaceDE w:val="0"/>
              <w:autoSpaceDN w:val="0"/>
              <w:snapToGrid w:val="0"/>
              <w:spacing w:line="360" w:lineRule="auto"/>
              <w:ind w:firstLine="120" w:firstLineChars="50"/>
              <w:jc w:val="left"/>
              <w:rPr>
                <w:rFonts w:ascii="宋体" w:hAnsi="宋体"/>
                <w:color w:val="000000"/>
                <w:kern w:val="0"/>
                <w:sz w:val="24"/>
                <w:szCs w:val="24"/>
              </w:rPr>
            </w:pPr>
            <w:r>
              <w:rPr>
                <w:rFonts w:hint="eastAsia" w:ascii="宋体" w:hAnsi="宋体"/>
                <w:color w:val="000000"/>
                <w:kern w:val="0"/>
                <w:sz w:val="24"/>
                <w:szCs w:val="24"/>
              </w:rPr>
              <w:t>性</w:t>
            </w:r>
          </w:p>
          <w:p w14:paraId="0F98A67E">
            <w:pPr>
              <w:autoSpaceDE w:val="0"/>
              <w:autoSpaceDN w:val="0"/>
              <w:snapToGrid w:val="0"/>
              <w:spacing w:line="360" w:lineRule="auto"/>
              <w:ind w:firstLine="120" w:firstLineChars="50"/>
              <w:jc w:val="left"/>
              <w:rPr>
                <w:rFonts w:ascii="宋体" w:hAnsi="宋体"/>
                <w:color w:val="000000"/>
                <w:kern w:val="0"/>
                <w:sz w:val="24"/>
                <w:szCs w:val="24"/>
              </w:rPr>
            </w:pPr>
            <w:r>
              <w:rPr>
                <w:rFonts w:hint="eastAsia" w:ascii="宋体" w:hAnsi="宋体"/>
                <w:color w:val="000000"/>
                <w:kern w:val="0"/>
                <w:sz w:val="24"/>
                <w:szCs w:val="24"/>
              </w:rPr>
              <w:t>评</w:t>
            </w:r>
          </w:p>
          <w:p w14:paraId="34092D31">
            <w:pPr>
              <w:autoSpaceDE w:val="0"/>
              <w:autoSpaceDN w:val="0"/>
              <w:snapToGrid w:val="0"/>
              <w:spacing w:line="360" w:lineRule="auto"/>
              <w:ind w:firstLine="120" w:firstLineChars="50"/>
              <w:jc w:val="left"/>
              <w:rPr>
                <w:rFonts w:ascii="宋体" w:hAnsi="宋体"/>
                <w:color w:val="000000"/>
                <w:kern w:val="0"/>
                <w:sz w:val="24"/>
                <w:szCs w:val="24"/>
              </w:rPr>
            </w:pPr>
            <w:r>
              <w:rPr>
                <w:rFonts w:hint="eastAsia" w:ascii="宋体" w:hAnsi="宋体"/>
                <w:color w:val="000000"/>
                <w:kern w:val="0"/>
                <w:sz w:val="24"/>
                <w:szCs w:val="24"/>
              </w:rPr>
              <w:t>审</w:t>
            </w:r>
          </w:p>
          <w:p w14:paraId="1A8141A5">
            <w:pPr>
              <w:autoSpaceDE w:val="0"/>
              <w:autoSpaceDN w:val="0"/>
              <w:snapToGrid w:val="0"/>
              <w:spacing w:line="360" w:lineRule="auto"/>
              <w:ind w:firstLine="120" w:firstLineChars="50"/>
              <w:jc w:val="left"/>
              <w:rPr>
                <w:rFonts w:ascii="宋体" w:hAnsi="宋体"/>
                <w:color w:val="000000"/>
                <w:kern w:val="0"/>
                <w:sz w:val="24"/>
                <w:szCs w:val="24"/>
              </w:rPr>
            </w:pPr>
            <w:r>
              <w:rPr>
                <w:rFonts w:hint="eastAsia" w:ascii="宋体" w:hAnsi="宋体"/>
                <w:color w:val="000000"/>
                <w:kern w:val="0"/>
                <w:sz w:val="24"/>
                <w:szCs w:val="24"/>
              </w:rPr>
              <w:t>标</w:t>
            </w:r>
          </w:p>
          <w:p w14:paraId="6BABB56B">
            <w:pPr>
              <w:autoSpaceDE w:val="0"/>
              <w:autoSpaceDN w:val="0"/>
              <w:snapToGrid w:val="0"/>
              <w:spacing w:line="360" w:lineRule="auto"/>
              <w:ind w:firstLine="120" w:firstLineChars="50"/>
              <w:rPr>
                <w:rFonts w:ascii="宋体" w:hAnsi="宋体"/>
                <w:color w:val="000000"/>
                <w:kern w:val="0"/>
                <w:sz w:val="24"/>
                <w:szCs w:val="24"/>
              </w:rPr>
            </w:pPr>
            <w:r>
              <w:rPr>
                <w:rFonts w:hint="eastAsia" w:ascii="宋体" w:hAnsi="宋体"/>
                <w:color w:val="000000"/>
                <w:kern w:val="0"/>
                <w:sz w:val="24"/>
                <w:szCs w:val="24"/>
              </w:rPr>
              <w:t>准</w:t>
            </w:r>
          </w:p>
        </w:tc>
        <w:tc>
          <w:tcPr>
            <w:tcW w:w="3921" w:type="dxa"/>
            <w:tcBorders>
              <w:top w:val="single" w:color="auto" w:sz="2" w:space="0"/>
              <w:left w:val="single" w:color="auto" w:sz="2" w:space="0"/>
              <w:bottom w:val="single" w:color="auto" w:sz="2" w:space="0"/>
              <w:right w:val="single" w:color="auto" w:sz="2" w:space="0"/>
            </w:tcBorders>
            <w:vAlign w:val="center"/>
          </w:tcPr>
          <w:p w14:paraId="51BE8EC0">
            <w:pPr>
              <w:spacing w:line="360" w:lineRule="auto"/>
              <w:jc w:val="center"/>
              <w:rPr>
                <w:rFonts w:ascii="宋体" w:hAnsi="宋体" w:cs="宋体"/>
                <w:sz w:val="24"/>
                <w:szCs w:val="24"/>
              </w:rPr>
            </w:pPr>
            <w:r>
              <w:rPr>
                <w:rFonts w:hint="eastAsia" w:ascii="宋体" w:hAnsi="宋体" w:cs="宋体"/>
                <w:sz w:val="24"/>
                <w:szCs w:val="24"/>
              </w:rPr>
              <w:t>投标文件签字盖章、投标文件份数</w:t>
            </w:r>
          </w:p>
        </w:tc>
        <w:tc>
          <w:tcPr>
            <w:tcW w:w="4183" w:type="dxa"/>
            <w:tcBorders>
              <w:top w:val="single" w:color="auto" w:sz="2" w:space="0"/>
              <w:left w:val="single" w:color="auto" w:sz="2" w:space="0"/>
              <w:bottom w:val="single" w:color="auto" w:sz="2" w:space="0"/>
              <w:right w:val="single" w:color="auto" w:sz="2" w:space="0"/>
            </w:tcBorders>
            <w:vAlign w:val="center"/>
          </w:tcPr>
          <w:p w14:paraId="07F1AA44">
            <w:pPr>
              <w:spacing w:line="360" w:lineRule="auto"/>
              <w:rPr>
                <w:rFonts w:ascii="宋体" w:hAnsi="宋体" w:cs="宋体"/>
                <w:sz w:val="24"/>
                <w:szCs w:val="24"/>
              </w:rPr>
            </w:pPr>
            <w:r>
              <w:rPr>
                <w:rFonts w:hint="eastAsia" w:ascii="宋体" w:hAnsi="宋体" w:cs="宋体"/>
                <w:sz w:val="24"/>
                <w:szCs w:val="24"/>
              </w:rPr>
              <w:t>本项目需提供纸质投标文件，未按以上要求提交投标文件导致的不良后果由投标单位自行承担。开标完成后各投标人应根据招标人需要提供纸质版投标文件用于存档。</w:t>
            </w:r>
          </w:p>
          <w:p w14:paraId="7D90FB8C">
            <w:pPr>
              <w:spacing w:line="360" w:lineRule="auto"/>
              <w:rPr>
                <w:rFonts w:hint="eastAsia" w:ascii="宋体" w:hAnsi="宋体" w:eastAsia="宋体" w:cs="宋体"/>
                <w:sz w:val="24"/>
                <w:szCs w:val="24"/>
                <w:lang w:eastAsia="zh-CN"/>
              </w:rPr>
            </w:pPr>
            <w:r>
              <w:rPr>
                <w:rFonts w:hint="eastAsia" w:ascii="宋体" w:hAnsi="宋体" w:cs="宋体"/>
                <w:sz w:val="24"/>
                <w:szCs w:val="24"/>
              </w:rPr>
              <w:t>1.符合第七章投标文件格式要求（部分材料要求加盖投标人红章的，从其规定）。</w:t>
            </w:r>
          </w:p>
          <w:p w14:paraId="025E247A">
            <w:pPr>
              <w:spacing w:line="360" w:lineRule="auto"/>
              <w:rPr>
                <w:rFonts w:hint="eastAsia" w:ascii="宋体" w:hAnsi="宋体" w:eastAsia="宋体" w:cs="宋体"/>
                <w:sz w:val="24"/>
                <w:szCs w:val="24"/>
                <w:lang w:eastAsia="zh-CN"/>
              </w:rPr>
            </w:pPr>
            <w:r>
              <w:rPr>
                <w:rFonts w:hint="eastAsia" w:ascii="宋体" w:hAnsi="宋体" w:cs="宋体"/>
                <w:sz w:val="24"/>
                <w:szCs w:val="24"/>
              </w:rPr>
              <w:t>2.投标文件格式中需要委托代理人签字的，在投标文件中须同时提交授权委托书。投标文件授权委托书格式、签字、盖章及内容均应符合本文件要求。</w:t>
            </w:r>
          </w:p>
          <w:p w14:paraId="0DC65E04">
            <w:pPr>
              <w:spacing w:line="360" w:lineRule="auto"/>
              <w:rPr>
                <w:rFonts w:ascii="宋体" w:hAnsi="宋体" w:cs="宋体"/>
                <w:sz w:val="24"/>
                <w:szCs w:val="24"/>
              </w:rPr>
            </w:pPr>
            <w:r>
              <w:rPr>
                <w:rFonts w:hint="eastAsia" w:ascii="宋体" w:hAnsi="宋体" w:cs="宋体"/>
                <w:sz w:val="24"/>
                <w:szCs w:val="24"/>
              </w:rPr>
              <w:t>3.投标文件外封包须密封并加盖投标人公章。</w:t>
            </w:r>
          </w:p>
          <w:p w14:paraId="79D5C6D8">
            <w:pPr>
              <w:spacing w:line="360" w:lineRule="auto"/>
              <w:rPr>
                <w:rFonts w:ascii="宋体" w:hAnsi="宋体" w:cs="宋体"/>
                <w:sz w:val="24"/>
                <w:szCs w:val="24"/>
              </w:rPr>
            </w:pPr>
          </w:p>
        </w:tc>
      </w:tr>
      <w:tr w14:paraId="0979CEDA">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7" w:hRule="atLeast"/>
          <w:jc w:val="center"/>
        </w:trPr>
        <w:tc>
          <w:tcPr>
            <w:tcW w:w="425" w:type="dxa"/>
            <w:vMerge w:val="continue"/>
            <w:tcBorders>
              <w:left w:val="single" w:color="auto" w:sz="2" w:space="0"/>
              <w:right w:val="single" w:color="auto" w:sz="2" w:space="0"/>
            </w:tcBorders>
            <w:vAlign w:val="center"/>
          </w:tcPr>
          <w:p w14:paraId="62B5C1CC">
            <w:pPr>
              <w:widowControl/>
              <w:spacing w:line="360" w:lineRule="auto"/>
              <w:jc w:val="left"/>
              <w:rPr>
                <w:rFonts w:ascii="宋体" w:hAnsi="宋体"/>
                <w:color w:val="000000"/>
                <w:kern w:val="0"/>
                <w:sz w:val="24"/>
                <w:szCs w:val="24"/>
              </w:rPr>
            </w:pPr>
          </w:p>
        </w:tc>
        <w:tc>
          <w:tcPr>
            <w:tcW w:w="688" w:type="dxa"/>
            <w:vMerge w:val="continue"/>
            <w:tcBorders>
              <w:left w:val="single" w:color="auto" w:sz="2" w:space="0"/>
              <w:right w:val="single" w:color="auto" w:sz="2" w:space="0"/>
            </w:tcBorders>
            <w:vAlign w:val="center"/>
          </w:tcPr>
          <w:p w14:paraId="45D4B46D">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bottom w:val="single" w:color="auto" w:sz="2" w:space="0"/>
              <w:right w:val="single" w:color="auto" w:sz="2" w:space="0"/>
            </w:tcBorders>
            <w:vAlign w:val="center"/>
          </w:tcPr>
          <w:p w14:paraId="601D1F02">
            <w:pPr>
              <w:autoSpaceDE w:val="0"/>
              <w:autoSpaceDN w:val="0"/>
              <w:snapToGrid w:val="0"/>
              <w:spacing w:line="360" w:lineRule="auto"/>
              <w:jc w:val="center"/>
              <w:rPr>
                <w:rFonts w:ascii="宋体" w:hAnsi="宋体"/>
                <w:color w:val="000000"/>
                <w:kern w:val="0"/>
                <w:sz w:val="24"/>
                <w:szCs w:val="24"/>
              </w:rPr>
            </w:pPr>
            <w:r>
              <w:rPr>
                <w:rFonts w:hint="eastAsia" w:ascii="宋体" w:hAnsi="宋体"/>
                <w:color w:val="000000"/>
                <w:kern w:val="0"/>
                <w:sz w:val="24"/>
                <w:szCs w:val="24"/>
              </w:rPr>
              <w:t>投标文件格式</w:t>
            </w:r>
          </w:p>
        </w:tc>
        <w:tc>
          <w:tcPr>
            <w:tcW w:w="4183" w:type="dxa"/>
            <w:tcBorders>
              <w:top w:val="single" w:color="auto" w:sz="2" w:space="0"/>
              <w:left w:val="single" w:color="auto" w:sz="2" w:space="0"/>
              <w:bottom w:val="single" w:color="auto" w:sz="2" w:space="0"/>
              <w:right w:val="single" w:color="auto" w:sz="2" w:space="0"/>
            </w:tcBorders>
            <w:vAlign w:val="center"/>
          </w:tcPr>
          <w:p w14:paraId="7C1BF15C">
            <w:pPr>
              <w:autoSpaceDE w:val="0"/>
              <w:autoSpaceDN w:val="0"/>
              <w:snapToGrid w:val="0"/>
              <w:spacing w:line="360" w:lineRule="auto"/>
              <w:rPr>
                <w:rFonts w:ascii="宋体" w:hAnsi="宋体"/>
                <w:color w:val="000000"/>
                <w:kern w:val="0"/>
                <w:sz w:val="24"/>
                <w:szCs w:val="24"/>
              </w:rPr>
            </w:pPr>
            <w:r>
              <w:rPr>
                <w:rFonts w:hint="eastAsia" w:ascii="宋体" w:hAnsi="宋体"/>
                <w:color w:val="000000"/>
                <w:kern w:val="0"/>
                <w:sz w:val="24"/>
                <w:szCs w:val="24"/>
              </w:rPr>
              <w:t>符合第七章的投标文件格式</w:t>
            </w:r>
          </w:p>
        </w:tc>
      </w:tr>
      <w:tr w14:paraId="5C19A04C">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8" w:hRule="atLeast"/>
          <w:jc w:val="center"/>
        </w:trPr>
        <w:tc>
          <w:tcPr>
            <w:tcW w:w="425" w:type="dxa"/>
            <w:vMerge w:val="continue"/>
            <w:tcBorders>
              <w:left w:val="single" w:color="auto" w:sz="2" w:space="0"/>
              <w:right w:val="single" w:color="auto" w:sz="2" w:space="0"/>
            </w:tcBorders>
            <w:vAlign w:val="center"/>
          </w:tcPr>
          <w:p w14:paraId="5D52D761">
            <w:pPr>
              <w:widowControl/>
              <w:spacing w:line="360" w:lineRule="auto"/>
              <w:jc w:val="left"/>
              <w:rPr>
                <w:rFonts w:ascii="宋体" w:hAnsi="宋体"/>
                <w:color w:val="000000"/>
                <w:kern w:val="0"/>
                <w:sz w:val="24"/>
                <w:szCs w:val="24"/>
              </w:rPr>
            </w:pPr>
          </w:p>
        </w:tc>
        <w:tc>
          <w:tcPr>
            <w:tcW w:w="688" w:type="dxa"/>
            <w:vMerge w:val="continue"/>
            <w:tcBorders>
              <w:left w:val="single" w:color="auto" w:sz="2" w:space="0"/>
              <w:right w:val="single" w:color="auto" w:sz="2" w:space="0"/>
            </w:tcBorders>
            <w:vAlign w:val="center"/>
          </w:tcPr>
          <w:p w14:paraId="7C3406B4">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bottom w:val="single" w:color="auto" w:sz="2" w:space="0"/>
              <w:right w:val="single" w:color="auto" w:sz="2" w:space="0"/>
            </w:tcBorders>
            <w:vAlign w:val="center"/>
          </w:tcPr>
          <w:p w14:paraId="0AF2FEC8">
            <w:pPr>
              <w:spacing w:line="360" w:lineRule="auto"/>
              <w:jc w:val="center"/>
              <w:rPr>
                <w:rFonts w:ascii="宋体" w:hAnsi="宋体" w:cs="宋体"/>
                <w:sz w:val="24"/>
                <w:szCs w:val="24"/>
              </w:rPr>
            </w:pPr>
            <w:r>
              <w:rPr>
                <w:rFonts w:hint="eastAsia" w:ascii="宋体" w:hAnsi="宋体" w:cs="宋体"/>
                <w:sz w:val="24"/>
                <w:szCs w:val="24"/>
              </w:rPr>
              <w:t>服务期、支付方式</w:t>
            </w:r>
          </w:p>
        </w:tc>
        <w:tc>
          <w:tcPr>
            <w:tcW w:w="4183" w:type="dxa"/>
            <w:tcBorders>
              <w:top w:val="single" w:color="auto" w:sz="2" w:space="0"/>
              <w:left w:val="single" w:color="auto" w:sz="2" w:space="0"/>
              <w:bottom w:val="single" w:color="auto" w:sz="2" w:space="0"/>
              <w:right w:val="single" w:color="auto" w:sz="2" w:space="0"/>
            </w:tcBorders>
            <w:vAlign w:val="center"/>
          </w:tcPr>
          <w:p w14:paraId="5CD9506C">
            <w:pPr>
              <w:spacing w:line="360" w:lineRule="auto"/>
              <w:rPr>
                <w:rFonts w:ascii="宋体" w:hAnsi="宋体" w:cs="宋体"/>
                <w:sz w:val="24"/>
                <w:szCs w:val="24"/>
              </w:rPr>
            </w:pPr>
            <w:r>
              <w:rPr>
                <w:rFonts w:hint="eastAsia" w:ascii="宋体" w:hAnsi="宋体" w:cs="宋体"/>
                <w:sz w:val="24"/>
                <w:szCs w:val="24"/>
              </w:rPr>
              <w:t>1、中标方承担屋顶分布式光伏电站25年运营期所有运维服务，25年运营期内不得转让。</w:t>
            </w:r>
          </w:p>
          <w:p w14:paraId="17C7450F">
            <w:pPr>
              <w:spacing w:line="360" w:lineRule="auto"/>
              <w:rPr>
                <w:rFonts w:ascii="宋体" w:hAnsi="宋体" w:cs="宋体"/>
                <w:sz w:val="24"/>
                <w:szCs w:val="24"/>
              </w:rPr>
            </w:pPr>
            <w:r>
              <w:rPr>
                <w:rFonts w:hint="eastAsia" w:ascii="宋体" w:hAnsi="宋体" w:cs="宋体"/>
                <w:sz w:val="24"/>
                <w:szCs w:val="24"/>
              </w:rPr>
              <w:t>2、招标方在电站并网发电后与中标方按投标</w:t>
            </w:r>
            <w:r>
              <w:rPr>
                <w:rFonts w:hint="eastAsia" w:ascii="宋体" w:hAnsi="宋体" w:cs="宋体"/>
                <w:sz w:val="24"/>
                <w:szCs w:val="24"/>
                <w:lang w:val="en-US" w:eastAsia="zh-CN"/>
              </w:rPr>
              <w:t>折扣比例</w:t>
            </w:r>
            <w:r>
              <w:rPr>
                <w:rFonts w:hint="eastAsia" w:ascii="宋体" w:hAnsi="宋体" w:cs="宋体"/>
                <w:sz w:val="24"/>
                <w:szCs w:val="24"/>
              </w:rPr>
              <w:t>电价据实结算。</w:t>
            </w:r>
          </w:p>
        </w:tc>
      </w:tr>
      <w:tr w14:paraId="7B5879FF">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 w:hRule="atLeast"/>
          <w:jc w:val="center"/>
        </w:trPr>
        <w:tc>
          <w:tcPr>
            <w:tcW w:w="425" w:type="dxa"/>
            <w:vMerge w:val="continue"/>
            <w:tcBorders>
              <w:left w:val="single" w:color="auto" w:sz="2" w:space="0"/>
              <w:right w:val="single" w:color="auto" w:sz="2" w:space="0"/>
            </w:tcBorders>
            <w:vAlign w:val="center"/>
          </w:tcPr>
          <w:p w14:paraId="6098C0E2">
            <w:pPr>
              <w:widowControl/>
              <w:spacing w:line="360" w:lineRule="auto"/>
              <w:jc w:val="left"/>
              <w:rPr>
                <w:rFonts w:ascii="宋体" w:hAnsi="宋体"/>
                <w:color w:val="000000"/>
                <w:kern w:val="0"/>
                <w:sz w:val="24"/>
                <w:szCs w:val="24"/>
              </w:rPr>
            </w:pPr>
          </w:p>
        </w:tc>
        <w:tc>
          <w:tcPr>
            <w:tcW w:w="688" w:type="dxa"/>
            <w:vMerge w:val="continue"/>
            <w:tcBorders>
              <w:left w:val="single" w:color="auto" w:sz="2" w:space="0"/>
              <w:right w:val="single" w:color="auto" w:sz="2" w:space="0"/>
            </w:tcBorders>
            <w:vAlign w:val="center"/>
          </w:tcPr>
          <w:p w14:paraId="3939E67B">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bottom w:val="single" w:color="auto" w:sz="2" w:space="0"/>
              <w:right w:val="single" w:color="auto" w:sz="2" w:space="0"/>
            </w:tcBorders>
            <w:vAlign w:val="center"/>
          </w:tcPr>
          <w:p w14:paraId="009E0F8D">
            <w:pPr>
              <w:spacing w:line="360" w:lineRule="auto"/>
              <w:jc w:val="center"/>
              <w:rPr>
                <w:rFonts w:ascii="宋体" w:hAnsi="宋体" w:cs="宋体"/>
                <w:sz w:val="24"/>
                <w:szCs w:val="24"/>
              </w:rPr>
            </w:pPr>
            <w:r>
              <w:rPr>
                <w:rFonts w:hint="eastAsia" w:ascii="宋体" w:hAnsi="宋体" w:cs="宋体"/>
                <w:sz w:val="24"/>
                <w:szCs w:val="24"/>
              </w:rPr>
              <w:t>投标保证金</w:t>
            </w:r>
          </w:p>
        </w:tc>
        <w:tc>
          <w:tcPr>
            <w:tcW w:w="4183" w:type="dxa"/>
            <w:tcBorders>
              <w:top w:val="single" w:color="auto" w:sz="2" w:space="0"/>
              <w:left w:val="single" w:color="auto" w:sz="2" w:space="0"/>
              <w:bottom w:val="single" w:color="auto" w:sz="2" w:space="0"/>
              <w:right w:val="single" w:color="auto" w:sz="2" w:space="0"/>
            </w:tcBorders>
            <w:vAlign w:val="center"/>
          </w:tcPr>
          <w:p w14:paraId="0CFE6998">
            <w:pPr>
              <w:spacing w:line="360" w:lineRule="auto"/>
              <w:rPr>
                <w:rFonts w:ascii="宋体" w:hAnsi="宋体" w:cs="宋体"/>
                <w:sz w:val="24"/>
                <w:szCs w:val="24"/>
              </w:rPr>
            </w:pPr>
            <w:r>
              <w:rPr>
                <w:rFonts w:hint="eastAsia" w:ascii="宋体" w:hAnsi="宋体" w:cs="宋体"/>
                <w:sz w:val="24"/>
                <w:szCs w:val="24"/>
              </w:rPr>
              <w:t>人民币10000元</w:t>
            </w:r>
          </w:p>
        </w:tc>
      </w:tr>
      <w:tr w14:paraId="7FA3DA32">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2" w:hRule="atLeast"/>
          <w:jc w:val="center"/>
        </w:trPr>
        <w:tc>
          <w:tcPr>
            <w:tcW w:w="425" w:type="dxa"/>
            <w:vMerge w:val="continue"/>
            <w:tcBorders>
              <w:left w:val="single" w:color="auto" w:sz="2" w:space="0"/>
              <w:right w:val="single" w:color="auto" w:sz="2" w:space="0"/>
            </w:tcBorders>
            <w:vAlign w:val="center"/>
          </w:tcPr>
          <w:p w14:paraId="4976B794">
            <w:pPr>
              <w:widowControl/>
              <w:spacing w:line="360" w:lineRule="auto"/>
              <w:jc w:val="left"/>
              <w:rPr>
                <w:rFonts w:ascii="宋体" w:hAnsi="宋体"/>
                <w:color w:val="000000"/>
                <w:kern w:val="0"/>
                <w:sz w:val="24"/>
                <w:szCs w:val="24"/>
              </w:rPr>
            </w:pPr>
          </w:p>
        </w:tc>
        <w:tc>
          <w:tcPr>
            <w:tcW w:w="688" w:type="dxa"/>
            <w:vMerge w:val="continue"/>
            <w:tcBorders>
              <w:left w:val="single" w:color="auto" w:sz="2" w:space="0"/>
              <w:right w:val="single" w:color="auto" w:sz="2" w:space="0"/>
            </w:tcBorders>
            <w:vAlign w:val="center"/>
          </w:tcPr>
          <w:p w14:paraId="6186E51B">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bottom w:val="single" w:color="auto" w:sz="2" w:space="0"/>
              <w:right w:val="single" w:color="auto" w:sz="2" w:space="0"/>
            </w:tcBorders>
            <w:vAlign w:val="center"/>
          </w:tcPr>
          <w:p w14:paraId="5B9E8E0C">
            <w:pPr>
              <w:spacing w:line="360" w:lineRule="auto"/>
              <w:rPr>
                <w:rFonts w:ascii="宋体" w:hAnsi="宋体" w:cs="宋体"/>
                <w:sz w:val="24"/>
                <w:szCs w:val="24"/>
              </w:rPr>
            </w:pPr>
            <w:r>
              <w:rPr>
                <w:rFonts w:hint="eastAsia" w:ascii="宋体" w:hAnsi="宋体" w:cs="宋体"/>
                <w:sz w:val="24"/>
                <w:szCs w:val="24"/>
              </w:rPr>
              <w:t>服务需求</w:t>
            </w:r>
          </w:p>
        </w:tc>
        <w:tc>
          <w:tcPr>
            <w:tcW w:w="4183" w:type="dxa"/>
            <w:tcBorders>
              <w:top w:val="single" w:color="auto" w:sz="2" w:space="0"/>
              <w:left w:val="single" w:color="auto" w:sz="2" w:space="0"/>
              <w:bottom w:val="single" w:color="auto" w:sz="2" w:space="0"/>
              <w:right w:val="single" w:color="auto" w:sz="2" w:space="0"/>
            </w:tcBorders>
            <w:vAlign w:val="center"/>
          </w:tcPr>
          <w:p w14:paraId="1FA619AD">
            <w:pPr>
              <w:spacing w:line="360" w:lineRule="auto"/>
              <w:rPr>
                <w:rFonts w:ascii="宋体" w:hAnsi="宋体" w:cs="宋体"/>
                <w:sz w:val="24"/>
                <w:szCs w:val="24"/>
              </w:rPr>
            </w:pPr>
            <w:r>
              <w:rPr>
                <w:rFonts w:hint="eastAsia" w:ascii="宋体" w:hAnsi="宋体" w:cs="宋体"/>
                <w:sz w:val="24"/>
                <w:szCs w:val="24"/>
              </w:rPr>
              <w:t>（1）在院区的A楼、B楼、C楼、D楼及加速器楼屋顶采用合同能源管理模式投资、建设屋顶分布式光伏电站。</w:t>
            </w:r>
          </w:p>
          <w:p w14:paraId="058BC4EC">
            <w:pPr>
              <w:spacing w:line="360" w:lineRule="auto"/>
              <w:rPr>
                <w:rFonts w:hint="eastAsia" w:ascii="宋体" w:hAnsi="宋体" w:eastAsia="宋体" w:cs="宋体"/>
                <w:sz w:val="24"/>
                <w:szCs w:val="24"/>
                <w:lang w:eastAsia="zh-CN"/>
              </w:rPr>
            </w:pPr>
            <w:r>
              <w:rPr>
                <w:rFonts w:hint="eastAsia" w:ascii="宋体" w:hAnsi="宋体" w:cs="宋体"/>
                <w:sz w:val="24"/>
                <w:szCs w:val="24"/>
              </w:rPr>
              <w:t>（2）屋顶分布式光伏电站发电</w:t>
            </w:r>
            <w:r>
              <w:rPr>
                <w:rFonts w:hint="eastAsia" w:ascii="宋体" w:hAnsi="宋体" w:cs="宋体"/>
                <w:sz w:val="24"/>
                <w:szCs w:val="24"/>
                <w:lang w:val="en-US" w:eastAsia="zh-CN"/>
              </w:rPr>
              <w:t>后，</w:t>
            </w:r>
            <w:r>
              <w:rPr>
                <w:rFonts w:hint="eastAsia" w:ascii="宋体" w:hAnsi="宋体" w:cs="宋体"/>
                <w:sz w:val="24"/>
                <w:szCs w:val="24"/>
              </w:rPr>
              <w:t>投标方需按投标时的最低</w:t>
            </w:r>
            <w:r>
              <w:rPr>
                <w:rFonts w:hint="eastAsia" w:ascii="宋体" w:hAnsi="宋体" w:cs="宋体"/>
                <w:sz w:val="24"/>
                <w:szCs w:val="24"/>
                <w:lang w:val="en-US" w:eastAsia="zh-CN"/>
              </w:rPr>
              <w:t>折扣比例将光伏所发电能</w:t>
            </w:r>
            <w:r>
              <w:rPr>
                <w:rFonts w:hint="eastAsia" w:ascii="宋体" w:hAnsi="宋体" w:cs="宋体"/>
                <w:sz w:val="24"/>
                <w:szCs w:val="24"/>
              </w:rPr>
              <w:t>优先供给安徽省第二人民医院使用</w:t>
            </w:r>
          </w:p>
        </w:tc>
      </w:tr>
      <w:tr w14:paraId="131161E2">
        <w:tblPrEx>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3" w:hRule="atLeast"/>
          <w:jc w:val="center"/>
        </w:trPr>
        <w:tc>
          <w:tcPr>
            <w:tcW w:w="425" w:type="dxa"/>
            <w:vMerge w:val="continue"/>
            <w:tcBorders>
              <w:left w:val="single" w:color="auto" w:sz="2" w:space="0"/>
              <w:right w:val="single" w:color="auto" w:sz="2" w:space="0"/>
            </w:tcBorders>
            <w:vAlign w:val="center"/>
          </w:tcPr>
          <w:p w14:paraId="71EF8C7B">
            <w:pPr>
              <w:widowControl/>
              <w:spacing w:line="360" w:lineRule="auto"/>
              <w:jc w:val="left"/>
              <w:rPr>
                <w:rFonts w:ascii="宋体" w:hAnsi="宋体"/>
                <w:color w:val="000000"/>
                <w:kern w:val="0"/>
                <w:sz w:val="24"/>
                <w:szCs w:val="24"/>
              </w:rPr>
            </w:pPr>
          </w:p>
        </w:tc>
        <w:tc>
          <w:tcPr>
            <w:tcW w:w="688" w:type="dxa"/>
            <w:vMerge w:val="continue"/>
            <w:tcBorders>
              <w:left w:val="single" w:color="auto" w:sz="2" w:space="0"/>
              <w:right w:val="single" w:color="auto" w:sz="2" w:space="0"/>
            </w:tcBorders>
            <w:vAlign w:val="center"/>
          </w:tcPr>
          <w:p w14:paraId="60AA5961">
            <w:pPr>
              <w:widowControl/>
              <w:spacing w:line="360" w:lineRule="auto"/>
              <w:jc w:val="left"/>
              <w:rPr>
                <w:rFonts w:ascii="宋体" w:hAnsi="宋体"/>
                <w:color w:val="000000"/>
                <w:kern w:val="0"/>
                <w:sz w:val="24"/>
                <w:szCs w:val="24"/>
              </w:rPr>
            </w:pPr>
          </w:p>
        </w:tc>
        <w:tc>
          <w:tcPr>
            <w:tcW w:w="3921" w:type="dxa"/>
            <w:tcBorders>
              <w:top w:val="single" w:color="auto" w:sz="2" w:space="0"/>
              <w:left w:val="single" w:color="auto" w:sz="2" w:space="0"/>
              <w:bottom w:val="single" w:color="auto" w:sz="2" w:space="0"/>
              <w:right w:val="single" w:color="auto" w:sz="2" w:space="0"/>
            </w:tcBorders>
            <w:vAlign w:val="center"/>
          </w:tcPr>
          <w:p w14:paraId="285C13EA">
            <w:pPr>
              <w:spacing w:line="360" w:lineRule="auto"/>
              <w:jc w:val="center"/>
              <w:rPr>
                <w:rFonts w:ascii="宋体" w:hAnsi="宋体"/>
                <w:color w:val="000000"/>
                <w:sz w:val="24"/>
                <w:szCs w:val="24"/>
              </w:rPr>
            </w:pPr>
            <w:r>
              <w:rPr>
                <w:rFonts w:hint="eastAsia" w:ascii="宋体" w:hAnsi="宋体"/>
                <w:color w:val="000000"/>
                <w:kern w:val="0"/>
                <w:sz w:val="24"/>
                <w:szCs w:val="24"/>
              </w:rPr>
              <w:t>其他</w:t>
            </w:r>
          </w:p>
        </w:tc>
        <w:tc>
          <w:tcPr>
            <w:tcW w:w="4183" w:type="dxa"/>
            <w:tcBorders>
              <w:top w:val="single" w:color="auto" w:sz="2" w:space="0"/>
              <w:left w:val="single" w:color="auto" w:sz="2" w:space="0"/>
              <w:bottom w:val="single" w:color="auto" w:sz="2" w:space="0"/>
              <w:right w:val="single" w:color="auto" w:sz="2" w:space="0"/>
            </w:tcBorders>
            <w:vAlign w:val="center"/>
          </w:tcPr>
          <w:p w14:paraId="1B7674B6">
            <w:pPr>
              <w:spacing w:line="360" w:lineRule="auto"/>
              <w:rPr>
                <w:rFonts w:ascii="宋体" w:hAnsi="宋体"/>
                <w:color w:val="000000"/>
                <w:sz w:val="24"/>
                <w:szCs w:val="24"/>
              </w:rPr>
            </w:pPr>
            <w:r>
              <w:rPr>
                <w:rFonts w:hint="eastAsia" w:ascii="宋体" w:hAnsi="宋体"/>
                <w:color w:val="000000"/>
                <w:kern w:val="0"/>
                <w:sz w:val="24"/>
                <w:szCs w:val="24"/>
              </w:rPr>
              <w:t>招标文件规定的其他实质性要求</w:t>
            </w:r>
          </w:p>
        </w:tc>
      </w:tr>
    </w:tbl>
    <w:p w14:paraId="603C2CB1">
      <w:pPr>
        <w:tabs>
          <w:tab w:val="left" w:pos="360"/>
          <w:tab w:val="left" w:pos="540"/>
          <w:tab w:val="left" w:pos="3600"/>
          <w:tab w:val="left" w:pos="3780"/>
          <w:tab w:val="left" w:pos="8460"/>
          <w:tab w:val="left" w:pos="9180"/>
        </w:tabs>
        <w:adjustRightInd w:val="0"/>
        <w:snapToGrid w:val="0"/>
        <w:spacing w:line="360" w:lineRule="auto"/>
        <w:ind w:right="-21" w:rightChars="-10"/>
        <w:jc w:val="center"/>
        <w:rPr>
          <w:rFonts w:ascii="宋体" w:hAnsi="宋体"/>
          <w:b/>
          <w:color w:val="000000"/>
          <w:sz w:val="24"/>
        </w:rPr>
      </w:pPr>
    </w:p>
    <w:p w14:paraId="04FBAF4F">
      <w:pPr>
        <w:tabs>
          <w:tab w:val="left" w:pos="360"/>
          <w:tab w:val="left" w:pos="540"/>
          <w:tab w:val="left" w:pos="3600"/>
          <w:tab w:val="left" w:pos="3780"/>
          <w:tab w:val="left" w:pos="8460"/>
          <w:tab w:val="left" w:pos="9180"/>
        </w:tabs>
        <w:adjustRightInd w:val="0"/>
        <w:snapToGrid w:val="0"/>
        <w:spacing w:line="360" w:lineRule="auto"/>
        <w:ind w:right="-21" w:rightChars="-10"/>
        <w:jc w:val="center"/>
        <w:rPr>
          <w:rFonts w:ascii="宋体" w:hAnsi="宋体"/>
          <w:b/>
          <w:color w:val="000000"/>
          <w:sz w:val="24"/>
        </w:rPr>
      </w:pPr>
      <w:r>
        <w:rPr>
          <w:rFonts w:hint="eastAsia" w:ascii="宋体" w:hAnsi="宋体"/>
          <w:b/>
          <w:color w:val="000000"/>
          <w:sz w:val="24"/>
        </w:rPr>
        <w:t>评标办法前附表（二）</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98"/>
        <w:gridCol w:w="931"/>
        <w:gridCol w:w="4674"/>
        <w:gridCol w:w="1044"/>
      </w:tblGrid>
      <w:tr w14:paraId="2FAF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33" w:type="dxa"/>
            <w:vAlign w:val="center"/>
          </w:tcPr>
          <w:p w14:paraId="15FFF6E4">
            <w:pPr>
              <w:jc w:val="center"/>
              <w:rPr>
                <w:rFonts w:ascii="宋体" w:hAnsi="宋体" w:cs="宋体"/>
                <w:sz w:val="24"/>
                <w:szCs w:val="24"/>
              </w:rPr>
            </w:pPr>
            <w:r>
              <w:rPr>
                <w:rFonts w:hint="eastAsia" w:ascii="宋体" w:hAnsi="宋体" w:cs="宋体"/>
                <w:sz w:val="24"/>
                <w:szCs w:val="24"/>
              </w:rPr>
              <w:t>序号</w:t>
            </w:r>
          </w:p>
        </w:tc>
        <w:tc>
          <w:tcPr>
            <w:tcW w:w="1698" w:type="dxa"/>
            <w:vAlign w:val="center"/>
          </w:tcPr>
          <w:p w14:paraId="1AD826F3">
            <w:pPr>
              <w:jc w:val="center"/>
              <w:rPr>
                <w:rFonts w:ascii="宋体" w:hAnsi="宋体" w:cs="宋体"/>
                <w:sz w:val="24"/>
                <w:szCs w:val="24"/>
              </w:rPr>
            </w:pPr>
            <w:r>
              <w:rPr>
                <w:rFonts w:hint="eastAsia" w:ascii="宋体" w:hAnsi="宋体" w:cs="宋体"/>
                <w:sz w:val="24"/>
                <w:szCs w:val="24"/>
              </w:rPr>
              <w:t>项   目</w:t>
            </w:r>
          </w:p>
        </w:tc>
        <w:tc>
          <w:tcPr>
            <w:tcW w:w="931" w:type="dxa"/>
            <w:vAlign w:val="center"/>
          </w:tcPr>
          <w:p w14:paraId="2C2D3178">
            <w:pPr>
              <w:jc w:val="center"/>
              <w:rPr>
                <w:rFonts w:ascii="宋体" w:hAnsi="宋体" w:cs="宋体"/>
                <w:sz w:val="24"/>
                <w:szCs w:val="24"/>
              </w:rPr>
            </w:pPr>
            <w:r>
              <w:rPr>
                <w:rFonts w:hint="eastAsia" w:ascii="宋体" w:hAnsi="宋体" w:cs="宋体"/>
                <w:sz w:val="24"/>
                <w:szCs w:val="24"/>
              </w:rPr>
              <w:t>标准分</w:t>
            </w:r>
          </w:p>
        </w:tc>
        <w:tc>
          <w:tcPr>
            <w:tcW w:w="4674" w:type="dxa"/>
            <w:vAlign w:val="center"/>
          </w:tcPr>
          <w:p w14:paraId="56ADCD04">
            <w:pPr>
              <w:jc w:val="center"/>
              <w:rPr>
                <w:rFonts w:ascii="宋体" w:hAnsi="宋体" w:cs="宋体"/>
                <w:sz w:val="24"/>
                <w:szCs w:val="24"/>
              </w:rPr>
            </w:pPr>
            <w:r>
              <w:rPr>
                <w:rFonts w:hint="eastAsia" w:ascii="宋体" w:hAnsi="宋体" w:cs="宋体"/>
                <w:sz w:val="24"/>
                <w:szCs w:val="24"/>
              </w:rPr>
              <w:t>评  分  标  准</w:t>
            </w:r>
          </w:p>
        </w:tc>
        <w:tc>
          <w:tcPr>
            <w:tcW w:w="1044" w:type="dxa"/>
            <w:vAlign w:val="center"/>
          </w:tcPr>
          <w:p w14:paraId="22DBA9E0">
            <w:pPr>
              <w:jc w:val="center"/>
              <w:rPr>
                <w:rFonts w:ascii="宋体" w:hAnsi="宋体" w:cs="宋体"/>
                <w:sz w:val="24"/>
                <w:szCs w:val="24"/>
              </w:rPr>
            </w:pPr>
            <w:r>
              <w:rPr>
                <w:rFonts w:hint="eastAsia" w:ascii="宋体" w:hAnsi="宋体" w:cs="宋体"/>
                <w:sz w:val="24"/>
                <w:szCs w:val="24"/>
              </w:rPr>
              <w:t>备注</w:t>
            </w:r>
          </w:p>
        </w:tc>
      </w:tr>
      <w:tr w14:paraId="1EA2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33" w:type="dxa"/>
            <w:vAlign w:val="center"/>
          </w:tcPr>
          <w:p w14:paraId="6BE7D766">
            <w:pPr>
              <w:jc w:val="center"/>
              <w:rPr>
                <w:rFonts w:ascii="宋体" w:hAnsi="宋体" w:cs="宋体"/>
                <w:sz w:val="24"/>
                <w:szCs w:val="24"/>
              </w:rPr>
            </w:pPr>
            <w:r>
              <w:rPr>
                <w:rFonts w:hint="eastAsia" w:ascii="宋体" w:hAnsi="宋体" w:cs="宋体"/>
                <w:sz w:val="24"/>
                <w:szCs w:val="24"/>
              </w:rPr>
              <w:t>1</w:t>
            </w:r>
          </w:p>
        </w:tc>
        <w:tc>
          <w:tcPr>
            <w:tcW w:w="1698" w:type="dxa"/>
            <w:vAlign w:val="center"/>
          </w:tcPr>
          <w:p w14:paraId="2F171F36">
            <w:pPr>
              <w:jc w:val="center"/>
              <w:rPr>
                <w:rFonts w:ascii="宋体" w:hAnsi="宋体" w:cs="宋体"/>
                <w:sz w:val="24"/>
                <w:szCs w:val="24"/>
              </w:rPr>
            </w:pPr>
            <w:r>
              <w:rPr>
                <w:rFonts w:hint="eastAsia" w:ascii="宋体" w:hAnsi="宋体" w:cs="宋体"/>
                <w:sz w:val="24"/>
                <w:szCs w:val="24"/>
              </w:rPr>
              <w:t>企业资信</w:t>
            </w:r>
          </w:p>
        </w:tc>
        <w:tc>
          <w:tcPr>
            <w:tcW w:w="931" w:type="dxa"/>
            <w:vAlign w:val="center"/>
          </w:tcPr>
          <w:p w14:paraId="2C9E709F">
            <w:pPr>
              <w:jc w:val="center"/>
              <w:rPr>
                <w:rFonts w:ascii="宋体" w:hAnsi="宋体" w:cs="宋体"/>
                <w:sz w:val="24"/>
                <w:szCs w:val="24"/>
              </w:rPr>
            </w:pPr>
          </w:p>
          <w:p w14:paraId="60D703B4">
            <w:pPr>
              <w:jc w:val="center"/>
              <w:rPr>
                <w:rFonts w:ascii="宋体" w:hAnsi="宋体" w:cs="宋体"/>
                <w:sz w:val="24"/>
                <w:szCs w:val="24"/>
              </w:rPr>
            </w:pPr>
            <w:r>
              <w:rPr>
                <w:rFonts w:hint="eastAsia" w:ascii="宋体" w:hAnsi="宋体" w:cs="宋体"/>
                <w:sz w:val="24"/>
                <w:szCs w:val="24"/>
              </w:rPr>
              <w:t>10</w:t>
            </w:r>
          </w:p>
        </w:tc>
        <w:tc>
          <w:tcPr>
            <w:tcW w:w="4674" w:type="dxa"/>
          </w:tcPr>
          <w:p w14:paraId="51F52CCD">
            <w:pPr>
              <w:autoSpaceDE w:val="0"/>
              <w:autoSpaceDN w:val="0"/>
              <w:adjustRightInd w:val="0"/>
              <w:spacing w:line="360" w:lineRule="auto"/>
              <w:jc w:val="left"/>
              <w:rPr>
                <w:rFonts w:ascii="宋体" w:hAnsi="宋体" w:cs="宋体"/>
                <w:sz w:val="24"/>
                <w:szCs w:val="24"/>
                <w:lang w:val="zh-CN"/>
              </w:rPr>
            </w:pPr>
            <w:r>
              <w:rPr>
                <w:rFonts w:hint="eastAsia" w:ascii="宋体" w:hAnsi="宋体" w:cs="宋体"/>
                <w:sz w:val="24"/>
                <w:szCs w:val="24"/>
                <w:lang w:val="zh-CN"/>
              </w:rPr>
              <w:t>投标人营业执照经营范围应至少具备：</w:t>
            </w:r>
            <w:r>
              <w:rPr>
                <w:rFonts w:hint="eastAsia" w:ascii="宋体" w:hAnsi="宋体"/>
                <w:color w:val="000000"/>
                <w:sz w:val="24"/>
                <w:szCs w:val="28"/>
                <w:lang w:val="zh-CN"/>
              </w:rPr>
              <w:t>合同能源管理或太阳能光伏系统、太阳能路灯研发、安装，太阳能发电技术服务发电业务、输电业务、合同能源管理，工程管理服务；</w:t>
            </w:r>
            <w:r>
              <w:rPr>
                <w:rFonts w:hint="eastAsia" w:ascii="宋体" w:hAnsi="宋体" w:cs="宋体"/>
                <w:sz w:val="24"/>
                <w:szCs w:val="24"/>
                <w:lang w:val="zh-CN"/>
              </w:rPr>
              <w:t>在此基础上拥有以下经营范围的将具备加分项：电力承装（修、试）；电力行业发电业务；输电业务；供（配）电业务；太阳能发电技术服务；单位后勤管理服务；园区管理服务；工程管理服务；节能管理服务；光伏组件生产；光伏工程设计；电力承装（修、试）；电力工程；输电、供电、受电电力设施安装、维修、试验；</w:t>
            </w:r>
            <w:r>
              <w:rPr>
                <w:rFonts w:hint="eastAsia" w:ascii="宋体" w:hAnsi="宋体" w:cs="宋体"/>
                <w:sz w:val="24"/>
                <w:szCs w:val="24"/>
              </w:rPr>
              <w:t>光伏组件生产、销售；</w:t>
            </w:r>
            <w:r>
              <w:rPr>
                <w:rFonts w:hint="eastAsia" w:ascii="宋体" w:hAnsi="宋体" w:cs="宋体"/>
                <w:sz w:val="24"/>
                <w:szCs w:val="24"/>
                <w:lang w:val="zh-CN"/>
              </w:rPr>
              <w:t>（营业范围每多一项得1分，本项满分</w:t>
            </w:r>
            <w:r>
              <w:rPr>
                <w:rFonts w:hint="eastAsia" w:ascii="宋体" w:hAnsi="宋体" w:cs="宋体"/>
                <w:sz w:val="24"/>
                <w:szCs w:val="24"/>
                <w:lang w:val="en-US" w:eastAsia="zh-CN"/>
              </w:rPr>
              <w:t>10</w:t>
            </w:r>
            <w:r>
              <w:rPr>
                <w:rFonts w:hint="eastAsia" w:ascii="宋体" w:hAnsi="宋体" w:cs="宋体"/>
                <w:sz w:val="24"/>
                <w:szCs w:val="24"/>
                <w:lang w:val="zh-CN"/>
              </w:rPr>
              <w:t>分）。</w:t>
            </w:r>
          </w:p>
        </w:tc>
        <w:tc>
          <w:tcPr>
            <w:tcW w:w="1044" w:type="dxa"/>
            <w:vAlign w:val="center"/>
          </w:tcPr>
          <w:p w14:paraId="18D6D3A6">
            <w:pPr>
              <w:jc w:val="center"/>
              <w:rPr>
                <w:rFonts w:ascii="宋体" w:hAnsi="宋体" w:cs="宋体"/>
                <w:sz w:val="24"/>
                <w:szCs w:val="24"/>
              </w:rPr>
            </w:pPr>
          </w:p>
        </w:tc>
      </w:tr>
      <w:tr w14:paraId="29CE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33" w:type="dxa"/>
            <w:vAlign w:val="center"/>
          </w:tcPr>
          <w:p w14:paraId="63F68506">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2</w:t>
            </w:r>
          </w:p>
        </w:tc>
        <w:tc>
          <w:tcPr>
            <w:tcW w:w="1698" w:type="dxa"/>
            <w:vAlign w:val="center"/>
          </w:tcPr>
          <w:p w14:paraId="0A262B70">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业绩证明</w:t>
            </w:r>
          </w:p>
        </w:tc>
        <w:tc>
          <w:tcPr>
            <w:tcW w:w="931" w:type="dxa"/>
            <w:vAlign w:val="center"/>
          </w:tcPr>
          <w:p w14:paraId="77F438F2">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20</w:t>
            </w:r>
          </w:p>
        </w:tc>
        <w:tc>
          <w:tcPr>
            <w:tcW w:w="4674" w:type="dxa"/>
          </w:tcPr>
          <w:p w14:paraId="34D14959">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投标人须具有自 2020年 1 月 1 日以来 （以合同签订时间为准） ，至少投资、供货或建设过二个综合能源、新能源类项目相关业绩；除资格要求的业绩之外，每多提供一个综合能源管理项目或合同能源管理项目投资、供货或建设业绩得10分（本项满分20分）。</w:t>
            </w:r>
          </w:p>
        </w:tc>
        <w:tc>
          <w:tcPr>
            <w:tcW w:w="1044" w:type="dxa"/>
            <w:vAlign w:val="center"/>
          </w:tcPr>
          <w:p w14:paraId="3A9CF9B5">
            <w:pPr>
              <w:jc w:val="center"/>
              <w:rPr>
                <w:rFonts w:ascii="宋体" w:hAnsi="宋体" w:cs="宋体"/>
                <w:sz w:val="24"/>
                <w:szCs w:val="24"/>
              </w:rPr>
            </w:pPr>
          </w:p>
        </w:tc>
      </w:tr>
      <w:tr w14:paraId="6917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33" w:type="dxa"/>
            <w:vAlign w:val="center"/>
          </w:tcPr>
          <w:p w14:paraId="420D22DA">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3</w:t>
            </w:r>
          </w:p>
        </w:tc>
        <w:tc>
          <w:tcPr>
            <w:tcW w:w="1698" w:type="dxa"/>
            <w:vAlign w:val="center"/>
          </w:tcPr>
          <w:p w14:paraId="31A3F996">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人员结构和组织能力</w:t>
            </w:r>
          </w:p>
        </w:tc>
        <w:tc>
          <w:tcPr>
            <w:tcW w:w="931" w:type="dxa"/>
            <w:vAlign w:val="center"/>
          </w:tcPr>
          <w:p w14:paraId="1E7C0F03">
            <w:pPr>
              <w:autoSpaceDE w:val="0"/>
              <w:autoSpaceDN w:val="0"/>
              <w:adjustRightInd w:val="0"/>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4674" w:type="dxa"/>
            <w:vAlign w:val="center"/>
          </w:tcPr>
          <w:p w14:paraId="519CE8E7">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（1）投标方提供员工工程师职称证明，一个得</w:t>
            </w:r>
            <w:r>
              <w:rPr>
                <w:rFonts w:hint="eastAsia" w:ascii="宋体" w:hAnsi="宋体" w:cs="宋体"/>
                <w:sz w:val="24"/>
                <w:szCs w:val="24"/>
                <w:lang w:val="en-US" w:eastAsia="zh-CN"/>
              </w:rPr>
              <w:t>1</w:t>
            </w:r>
            <w:r>
              <w:rPr>
                <w:rFonts w:hint="eastAsia" w:ascii="宋体" w:hAnsi="宋体" w:cs="宋体"/>
                <w:sz w:val="24"/>
                <w:szCs w:val="24"/>
                <w:lang w:val="zh-CN"/>
              </w:rPr>
              <w:t>分，最高得</w:t>
            </w:r>
            <w:r>
              <w:rPr>
                <w:rFonts w:hint="eastAsia" w:ascii="宋体" w:hAnsi="宋体" w:cs="宋体"/>
                <w:sz w:val="24"/>
                <w:szCs w:val="24"/>
                <w:lang w:val="en-US" w:eastAsia="zh-CN"/>
              </w:rPr>
              <w:t>2</w:t>
            </w:r>
            <w:r>
              <w:rPr>
                <w:rFonts w:hint="eastAsia" w:ascii="宋体" w:hAnsi="宋体" w:cs="宋体"/>
                <w:sz w:val="24"/>
                <w:szCs w:val="24"/>
                <w:lang w:val="zh-CN"/>
              </w:rPr>
              <w:t>分；提供员工高级工程师职称证明，一个得</w:t>
            </w:r>
            <w:r>
              <w:rPr>
                <w:rFonts w:hint="eastAsia" w:ascii="宋体" w:hAnsi="宋体" w:cs="宋体"/>
                <w:sz w:val="24"/>
                <w:szCs w:val="24"/>
                <w:lang w:val="en-US" w:eastAsia="zh-CN"/>
              </w:rPr>
              <w:t>2</w:t>
            </w:r>
            <w:r>
              <w:rPr>
                <w:rFonts w:hint="eastAsia" w:ascii="宋体" w:hAnsi="宋体" w:cs="宋体"/>
                <w:sz w:val="24"/>
                <w:szCs w:val="24"/>
                <w:lang w:val="zh-CN"/>
              </w:rPr>
              <w:t>分，最高得</w:t>
            </w:r>
            <w:r>
              <w:rPr>
                <w:rFonts w:hint="eastAsia" w:ascii="宋体" w:hAnsi="宋体" w:cs="宋体"/>
                <w:sz w:val="24"/>
                <w:szCs w:val="24"/>
                <w:lang w:val="en-US" w:eastAsia="zh-CN"/>
              </w:rPr>
              <w:t>6</w:t>
            </w:r>
            <w:r>
              <w:rPr>
                <w:rFonts w:hint="eastAsia" w:ascii="宋体" w:hAnsi="宋体" w:cs="宋体"/>
                <w:sz w:val="24"/>
                <w:szCs w:val="24"/>
                <w:lang w:val="zh-CN"/>
              </w:rPr>
              <w:t>分；</w:t>
            </w:r>
          </w:p>
          <w:p w14:paraId="66E7CA3F">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（2）具有一个省级以上（含省级）行政主管部门颁发的“**环保单位”“**文明单位”、证书的一个得1分，最高得</w:t>
            </w:r>
            <w:r>
              <w:rPr>
                <w:rFonts w:hint="eastAsia" w:ascii="宋体" w:hAnsi="宋体" w:cs="宋体"/>
                <w:sz w:val="24"/>
                <w:szCs w:val="24"/>
                <w:lang w:val="en-US" w:eastAsia="zh-CN"/>
              </w:rPr>
              <w:t>2</w:t>
            </w:r>
            <w:r>
              <w:rPr>
                <w:rFonts w:hint="eastAsia" w:ascii="宋体" w:hAnsi="宋体" w:cs="宋体"/>
                <w:sz w:val="24"/>
                <w:szCs w:val="24"/>
                <w:lang w:val="zh-CN"/>
              </w:rPr>
              <w:t>分（需提供颁奖文件，不提供不得分，本项满分</w:t>
            </w:r>
            <w:r>
              <w:rPr>
                <w:rFonts w:hint="eastAsia" w:ascii="宋体" w:hAnsi="宋体" w:cs="宋体"/>
                <w:sz w:val="24"/>
                <w:szCs w:val="24"/>
                <w:lang w:val="en-US" w:eastAsia="zh-CN"/>
              </w:rPr>
              <w:t>10</w:t>
            </w:r>
            <w:r>
              <w:rPr>
                <w:rFonts w:hint="eastAsia" w:ascii="宋体" w:hAnsi="宋体" w:cs="宋体"/>
                <w:sz w:val="24"/>
                <w:szCs w:val="24"/>
                <w:lang w:val="zh-CN"/>
              </w:rPr>
              <w:t>分）。</w:t>
            </w:r>
          </w:p>
        </w:tc>
        <w:tc>
          <w:tcPr>
            <w:tcW w:w="1044" w:type="dxa"/>
            <w:vAlign w:val="center"/>
          </w:tcPr>
          <w:p w14:paraId="58046ACF">
            <w:pPr>
              <w:jc w:val="center"/>
              <w:rPr>
                <w:rFonts w:ascii="宋体" w:hAnsi="宋体" w:cs="宋体"/>
                <w:sz w:val="24"/>
                <w:szCs w:val="24"/>
              </w:rPr>
            </w:pPr>
          </w:p>
        </w:tc>
      </w:tr>
      <w:tr w14:paraId="0A4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33" w:type="dxa"/>
            <w:vAlign w:val="center"/>
          </w:tcPr>
          <w:p w14:paraId="7F4B7106">
            <w:pPr>
              <w:autoSpaceDE w:val="0"/>
              <w:autoSpaceDN w:val="0"/>
              <w:adjustRightInd w:val="0"/>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4</w:t>
            </w:r>
          </w:p>
        </w:tc>
        <w:tc>
          <w:tcPr>
            <w:tcW w:w="1698" w:type="dxa"/>
            <w:vAlign w:val="center"/>
          </w:tcPr>
          <w:p w14:paraId="78BE3D39">
            <w:pPr>
              <w:autoSpaceDE w:val="0"/>
              <w:autoSpaceDN w:val="0"/>
              <w:adjustRightInd w:val="0"/>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企业规模</w:t>
            </w:r>
          </w:p>
        </w:tc>
        <w:tc>
          <w:tcPr>
            <w:tcW w:w="931" w:type="dxa"/>
            <w:vAlign w:val="center"/>
          </w:tcPr>
          <w:p w14:paraId="14509C34">
            <w:pPr>
              <w:autoSpaceDE w:val="0"/>
              <w:autoSpaceDN w:val="0"/>
              <w:adjustRightInd w:val="0"/>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4674" w:type="dxa"/>
            <w:vAlign w:val="center"/>
          </w:tcPr>
          <w:p w14:paraId="457D69D6">
            <w:pPr>
              <w:autoSpaceDE w:val="0"/>
              <w:autoSpaceDN w:val="0"/>
              <w:adjustRightInd w:val="0"/>
              <w:spacing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投标方提供2021或者2022年度财务报表产值。产值5000万1亿（含5000万，不含1亿）得3分</w:t>
            </w:r>
            <w:r>
              <w:rPr>
                <w:rFonts w:hint="eastAsia" w:ascii="宋体" w:hAnsi="宋体" w:cs="宋体"/>
                <w:sz w:val="24"/>
                <w:szCs w:val="24"/>
                <w:lang w:val="zh-CN"/>
              </w:rPr>
              <w:t>；1亿-10亿</w:t>
            </w:r>
            <w:r>
              <w:rPr>
                <w:rFonts w:hint="eastAsia" w:ascii="宋体" w:hAnsi="宋体" w:cs="宋体"/>
                <w:sz w:val="24"/>
                <w:szCs w:val="24"/>
                <w:lang w:val="en-US" w:eastAsia="zh-CN"/>
              </w:rPr>
              <w:t>（不含10亿）得6分</w:t>
            </w:r>
            <w:r>
              <w:rPr>
                <w:rFonts w:hint="eastAsia" w:ascii="宋体" w:hAnsi="宋体" w:cs="宋体"/>
                <w:sz w:val="24"/>
                <w:szCs w:val="24"/>
                <w:lang w:val="zh-CN"/>
              </w:rPr>
              <w:t>；10亿-20亿</w:t>
            </w:r>
            <w:r>
              <w:rPr>
                <w:rFonts w:hint="eastAsia" w:ascii="宋体" w:hAnsi="宋体" w:cs="宋体"/>
                <w:sz w:val="24"/>
                <w:szCs w:val="24"/>
                <w:lang w:val="en-US" w:eastAsia="zh-CN"/>
              </w:rPr>
              <w:t>得8分；20亿以上得10分（</w:t>
            </w:r>
            <w:r>
              <w:rPr>
                <w:rFonts w:hint="eastAsia" w:ascii="宋体" w:hAnsi="宋体" w:cs="宋体"/>
                <w:sz w:val="24"/>
                <w:szCs w:val="24"/>
                <w:lang w:val="zh-CN"/>
              </w:rPr>
              <w:t>本项满分</w:t>
            </w:r>
            <w:r>
              <w:rPr>
                <w:rFonts w:hint="eastAsia" w:ascii="宋体" w:hAnsi="宋体" w:cs="宋体"/>
                <w:sz w:val="24"/>
                <w:szCs w:val="24"/>
                <w:lang w:val="en-US" w:eastAsia="zh-CN"/>
              </w:rPr>
              <w:t>10</w:t>
            </w:r>
            <w:r>
              <w:rPr>
                <w:rFonts w:hint="eastAsia" w:ascii="宋体" w:hAnsi="宋体" w:cs="宋体"/>
                <w:sz w:val="24"/>
                <w:szCs w:val="24"/>
                <w:lang w:val="zh-CN"/>
              </w:rPr>
              <w:t>分）。</w:t>
            </w:r>
          </w:p>
        </w:tc>
        <w:tc>
          <w:tcPr>
            <w:tcW w:w="1044" w:type="dxa"/>
            <w:vAlign w:val="center"/>
          </w:tcPr>
          <w:p w14:paraId="785465F3">
            <w:pPr>
              <w:jc w:val="center"/>
              <w:rPr>
                <w:rFonts w:ascii="宋体" w:hAnsi="宋体" w:cs="宋体"/>
                <w:sz w:val="24"/>
                <w:szCs w:val="24"/>
              </w:rPr>
            </w:pPr>
          </w:p>
        </w:tc>
      </w:tr>
      <w:tr w14:paraId="428B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3" w:type="dxa"/>
            <w:vAlign w:val="center"/>
          </w:tcPr>
          <w:p w14:paraId="2B8B576C">
            <w:pPr>
              <w:jc w:val="center"/>
              <w:rPr>
                <w:rFonts w:ascii="宋体" w:hAnsi="宋体" w:cs="宋体"/>
                <w:sz w:val="24"/>
                <w:szCs w:val="24"/>
              </w:rPr>
            </w:pPr>
            <w:r>
              <w:rPr>
                <w:rFonts w:hint="eastAsia" w:ascii="宋体" w:hAnsi="宋体" w:cs="宋体"/>
                <w:sz w:val="24"/>
                <w:szCs w:val="24"/>
              </w:rPr>
              <w:t>5</w:t>
            </w:r>
          </w:p>
        </w:tc>
        <w:tc>
          <w:tcPr>
            <w:tcW w:w="1698" w:type="dxa"/>
            <w:vAlign w:val="center"/>
          </w:tcPr>
          <w:p w14:paraId="13E5A2A9">
            <w:pPr>
              <w:jc w:val="center"/>
              <w:rPr>
                <w:rFonts w:ascii="宋体" w:hAnsi="宋体" w:cs="宋体"/>
                <w:sz w:val="24"/>
                <w:szCs w:val="24"/>
              </w:rPr>
            </w:pPr>
            <w:r>
              <w:rPr>
                <w:rFonts w:hint="eastAsia" w:ascii="宋体" w:hAnsi="宋体" w:cs="宋体"/>
                <w:sz w:val="24"/>
                <w:szCs w:val="24"/>
              </w:rPr>
              <w:t>运维制度</w:t>
            </w:r>
          </w:p>
          <w:p w14:paraId="4C73DA44">
            <w:pPr>
              <w:jc w:val="center"/>
              <w:rPr>
                <w:rFonts w:ascii="宋体" w:hAnsi="宋体" w:cs="宋体"/>
                <w:sz w:val="24"/>
                <w:szCs w:val="24"/>
              </w:rPr>
            </w:pPr>
            <w:r>
              <w:rPr>
                <w:rFonts w:hint="eastAsia" w:ascii="宋体" w:hAnsi="宋体" w:cs="宋体"/>
                <w:sz w:val="24"/>
                <w:szCs w:val="24"/>
              </w:rPr>
              <w:t>科学性和合理性</w:t>
            </w:r>
          </w:p>
        </w:tc>
        <w:tc>
          <w:tcPr>
            <w:tcW w:w="931" w:type="dxa"/>
            <w:vAlign w:val="center"/>
          </w:tcPr>
          <w:p w14:paraId="27E467F5">
            <w:pPr>
              <w:jc w:val="center"/>
              <w:rPr>
                <w:rFonts w:ascii="宋体" w:hAnsi="宋体" w:cs="宋体"/>
                <w:sz w:val="24"/>
                <w:szCs w:val="24"/>
              </w:rPr>
            </w:pPr>
            <w:r>
              <w:rPr>
                <w:rFonts w:hint="eastAsia" w:ascii="宋体" w:hAnsi="宋体" w:cs="宋体"/>
                <w:sz w:val="24"/>
                <w:szCs w:val="24"/>
              </w:rPr>
              <w:t>10</w:t>
            </w:r>
          </w:p>
        </w:tc>
        <w:tc>
          <w:tcPr>
            <w:tcW w:w="4674" w:type="dxa"/>
          </w:tcPr>
          <w:p w14:paraId="497C7539">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评标委员会根据投标方提供的运维管理制度等）进行评分，优得8</w:t>
            </w:r>
            <w:r>
              <w:rPr>
                <w:rFonts w:hint="eastAsia" w:ascii="宋体" w:hAnsi="宋体" w:cs="宋体"/>
                <w:sz w:val="24"/>
                <w:szCs w:val="24"/>
                <w:lang w:val="zh-CN" w:eastAsia="zh-CN"/>
              </w:rPr>
              <w:t>—</w:t>
            </w:r>
            <w:r>
              <w:rPr>
                <w:rFonts w:hint="eastAsia" w:ascii="宋体" w:hAnsi="宋体" w:cs="宋体"/>
                <w:sz w:val="24"/>
                <w:szCs w:val="24"/>
                <w:lang w:val="zh-CN"/>
              </w:rPr>
              <w:t>10分；良得5</w:t>
            </w:r>
            <w:r>
              <w:rPr>
                <w:rFonts w:hint="eastAsia" w:ascii="宋体" w:hAnsi="宋体" w:cs="宋体"/>
                <w:sz w:val="24"/>
                <w:szCs w:val="24"/>
                <w:lang w:val="zh-CN" w:eastAsia="zh-CN"/>
              </w:rPr>
              <w:t>—</w:t>
            </w:r>
            <w:r>
              <w:rPr>
                <w:rFonts w:hint="eastAsia" w:ascii="宋体" w:hAnsi="宋体" w:cs="宋体"/>
                <w:sz w:val="24"/>
                <w:szCs w:val="24"/>
                <w:lang w:val="zh-CN"/>
              </w:rPr>
              <w:t>7分；一般得1-4，不提供得0分</w:t>
            </w:r>
            <w:r>
              <w:rPr>
                <w:rFonts w:hint="eastAsia" w:ascii="宋体" w:hAnsi="宋体" w:cs="宋体"/>
                <w:sz w:val="24"/>
                <w:szCs w:val="24"/>
                <w:lang w:val="zh-CN" w:eastAsia="zh-CN"/>
              </w:rPr>
              <w:t>（</w:t>
            </w:r>
            <w:r>
              <w:rPr>
                <w:rFonts w:hint="eastAsia" w:ascii="宋体" w:hAnsi="宋体" w:cs="宋体"/>
                <w:sz w:val="24"/>
                <w:szCs w:val="24"/>
                <w:lang w:val="zh-CN"/>
              </w:rPr>
              <w:t>本项满分</w:t>
            </w:r>
            <w:r>
              <w:rPr>
                <w:rFonts w:hint="eastAsia" w:ascii="宋体" w:hAnsi="宋体" w:cs="宋体"/>
                <w:sz w:val="24"/>
                <w:szCs w:val="24"/>
                <w:lang w:val="en-US" w:eastAsia="zh-CN"/>
              </w:rPr>
              <w:t>10</w:t>
            </w:r>
            <w:r>
              <w:rPr>
                <w:rFonts w:hint="eastAsia" w:ascii="宋体" w:hAnsi="宋体" w:cs="宋体"/>
                <w:sz w:val="24"/>
                <w:szCs w:val="24"/>
                <w:lang w:val="zh-CN"/>
              </w:rPr>
              <w:t>分）。</w:t>
            </w:r>
          </w:p>
        </w:tc>
        <w:tc>
          <w:tcPr>
            <w:tcW w:w="1044" w:type="dxa"/>
            <w:vAlign w:val="center"/>
          </w:tcPr>
          <w:p w14:paraId="118919E6">
            <w:pPr>
              <w:spacing w:line="360" w:lineRule="exact"/>
              <w:jc w:val="center"/>
              <w:rPr>
                <w:rFonts w:ascii="宋体" w:hAnsi="宋体" w:cs="宋体"/>
                <w:sz w:val="24"/>
                <w:szCs w:val="24"/>
              </w:rPr>
            </w:pPr>
          </w:p>
        </w:tc>
      </w:tr>
      <w:tr w14:paraId="5B8E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3" w:type="dxa"/>
            <w:vAlign w:val="center"/>
          </w:tcPr>
          <w:p w14:paraId="61FF5ABA">
            <w:pPr>
              <w:jc w:val="center"/>
              <w:rPr>
                <w:rFonts w:ascii="宋体" w:hAnsi="宋体" w:cs="宋体"/>
                <w:sz w:val="24"/>
                <w:szCs w:val="24"/>
              </w:rPr>
            </w:pPr>
            <w:r>
              <w:rPr>
                <w:rFonts w:hint="eastAsia" w:ascii="宋体" w:hAnsi="宋体" w:cs="宋体"/>
                <w:sz w:val="24"/>
                <w:szCs w:val="24"/>
              </w:rPr>
              <w:t>6</w:t>
            </w:r>
          </w:p>
        </w:tc>
        <w:tc>
          <w:tcPr>
            <w:tcW w:w="1698" w:type="dxa"/>
            <w:vAlign w:val="center"/>
          </w:tcPr>
          <w:p w14:paraId="0CAD164E">
            <w:pPr>
              <w:jc w:val="center"/>
              <w:rPr>
                <w:rFonts w:ascii="宋体" w:hAnsi="宋体" w:cs="宋体"/>
                <w:sz w:val="24"/>
                <w:szCs w:val="24"/>
              </w:rPr>
            </w:pPr>
            <w:r>
              <w:rPr>
                <w:rFonts w:hint="eastAsia" w:ascii="宋体" w:hAnsi="宋体" w:cs="宋体"/>
                <w:sz w:val="24"/>
                <w:szCs w:val="24"/>
              </w:rPr>
              <w:t>项目附加服务</w:t>
            </w:r>
          </w:p>
        </w:tc>
        <w:tc>
          <w:tcPr>
            <w:tcW w:w="931" w:type="dxa"/>
            <w:vAlign w:val="center"/>
          </w:tcPr>
          <w:p w14:paraId="7B8469FB">
            <w:pPr>
              <w:jc w:val="center"/>
              <w:rPr>
                <w:rFonts w:ascii="宋体" w:hAnsi="宋体" w:cs="宋体"/>
                <w:sz w:val="24"/>
                <w:szCs w:val="24"/>
              </w:rPr>
            </w:pPr>
            <w:r>
              <w:rPr>
                <w:rFonts w:hint="eastAsia" w:ascii="宋体" w:hAnsi="宋体" w:cs="宋体"/>
                <w:sz w:val="24"/>
                <w:szCs w:val="24"/>
              </w:rPr>
              <w:t>10</w:t>
            </w:r>
          </w:p>
        </w:tc>
        <w:tc>
          <w:tcPr>
            <w:tcW w:w="4674" w:type="dxa"/>
          </w:tcPr>
          <w:p w14:paraId="5F015F5C">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能进一步为招标人提供降低用电成本的业务，如直购电业务、设备节能改造业务等，得10分；不提供得0分</w:t>
            </w:r>
            <w:r>
              <w:rPr>
                <w:rFonts w:hint="eastAsia" w:ascii="宋体" w:hAnsi="宋体" w:cs="宋体"/>
                <w:sz w:val="24"/>
                <w:szCs w:val="24"/>
                <w:lang w:val="zh-CN" w:eastAsia="zh-CN"/>
              </w:rPr>
              <w:t>（</w:t>
            </w:r>
            <w:r>
              <w:rPr>
                <w:rFonts w:hint="eastAsia" w:ascii="宋体" w:hAnsi="宋体" w:cs="宋体"/>
                <w:sz w:val="24"/>
                <w:szCs w:val="24"/>
                <w:lang w:val="zh-CN"/>
              </w:rPr>
              <w:t>本项满分</w:t>
            </w:r>
            <w:r>
              <w:rPr>
                <w:rFonts w:hint="eastAsia" w:ascii="宋体" w:hAnsi="宋体" w:cs="宋体"/>
                <w:sz w:val="24"/>
                <w:szCs w:val="24"/>
                <w:lang w:val="en-US" w:eastAsia="zh-CN"/>
              </w:rPr>
              <w:t>10</w:t>
            </w:r>
            <w:r>
              <w:rPr>
                <w:rFonts w:hint="eastAsia" w:ascii="宋体" w:hAnsi="宋体" w:cs="宋体"/>
                <w:sz w:val="24"/>
                <w:szCs w:val="24"/>
                <w:lang w:val="zh-CN"/>
              </w:rPr>
              <w:t>分）。</w:t>
            </w:r>
          </w:p>
        </w:tc>
        <w:tc>
          <w:tcPr>
            <w:tcW w:w="1044" w:type="dxa"/>
            <w:vAlign w:val="center"/>
          </w:tcPr>
          <w:p w14:paraId="5645CBD4">
            <w:pPr>
              <w:spacing w:line="360" w:lineRule="exact"/>
              <w:jc w:val="center"/>
              <w:rPr>
                <w:rFonts w:ascii="宋体" w:hAnsi="宋体" w:cs="宋体"/>
                <w:sz w:val="24"/>
                <w:szCs w:val="24"/>
              </w:rPr>
            </w:pPr>
          </w:p>
        </w:tc>
      </w:tr>
      <w:tr w14:paraId="3E7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3" w:type="dxa"/>
            <w:vAlign w:val="center"/>
          </w:tcPr>
          <w:p w14:paraId="01F2673D">
            <w:pPr>
              <w:jc w:val="left"/>
              <w:rPr>
                <w:rFonts w:hint="eastAsia" w:ascii="宋体" w:hAnsi="宋体" w:cs="宋体"/>
                <w:sz w:val="24"/>
                <w:szCs w:val="24"/>
              </w:rPr>
            </w:pPr>
            <w:r>
              <w:rPr>
                <w:rFonts w:hint="eastAsia" w:ascii="宋体" w:hAnsi="宋体" w:cs="宋体"/>
                <w:sz w:val="24"/>
                <w:szCs w:val="24"/>
              </w:rPr>
              <w:t>7</w:t>
            </w:r>
          </w:p>
        </w:tc>
        <w:tc>
          <w:tcPr>
            <w:tcW w:w="1698" w:type="dxa"/>
            <w:vAlign w:val="center"/>
          </w:tcPr>
          <w:p w14:paraId="434EB242">
            <w:pPr>
              <w:jc w:val="left"/>
              <w:rPr>
                <w:rFonts w:hint="eastAsia" w:ascii="宋体" w:hAnsi="宋体" w:cs="宋体"/>
                <w:sz w:val="24"/>
                <w:szCs w:val="24"/>
              </w:rPr>
            </w:pPr>
            <w:r>
              <w:rPr>
                <w:rFonts w:hint="eastAsia" w:ascii="宋体" w:hAnsi="宋体" w:cs="宋体"/>
                <w:sz w:val="24"/>
                <w:szCs w:val="24"/>
              </w:rPr>
              <w:t>光伏发电报价</w:t>
            </w:r>
          </w:p>
        </w:tc>
        <w:tc>
          <w:tcPr>
            <w:tcW w:w="931" w:type="dxa"/>
            <w:vAlign w:val="center"/>
          </w:tcPr>
          <w:p w14:paraId="480350A8">
            <w:pPr>
              <w:jc w:val="center"/>
              <w:rPr>
                <w:rFonts w:hint="eastAsia" w:ascii="宋体" w:hAnsi="宋体" w:cs="宋体"/>
                <w:sz w:val="24"/>
                <w:szCs w:val="24"/>
              </w:rPr>
            </w:pPr>
            <w:r>
              <w:rPr>
                <w:rFonts w:hint="eastAsia" w:ascii="宋体" w:hAnsi="宋体" w:cs="宋体"/>
                <w:sz w:val="24"/>
                <w:szCs w:val="24"/>
              </w:rPr>
              <w:t>30</w:t>
            </w:r>
          </w:p>
        </w:tc>
        <w:tc>
          <w:tcPr>
            <w:tcW w:w="4674" w:type="dxa"/>
          </w:tcPr>
          <w:p w14:paraId="556C3B85">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zh-CN"/>
              </w:rPr>
              <w:t>以</w:t>
            </w:r>
            <w:r>
              <w:rPr>
                <w:rFonts w:hint="eastAsia" w:ascii="宋体" w:hAnsi="宋体" w:cs="宋体"/>
                <w:sz w:val="24"/>
                <w:szCs w:val="24"/>
                <w:lang w:val="en-US" w:eastAsia="zh-CN"/>
              </w:rPr>
              <w:t>光伏优惠电价打折比例</w:t>
            </w:r>
            <w:r>
              <w:rPr>
                <w:rFonts w:hint="eastAsia" w:ascii="宋体" w:hAnsi="宋体" w:cs="宋体"/>
                <w:sz w:val="24"/>
                <w:szCs w:val="24"/>
                <w:lang w:val="zh-CN"/>
              </w:rPr>
              <w:t>为</w:t>
            </w:r>
            <w:r>
              <w:rPr>
                <w:rFonts w:hint="eastAsia" w:ascii="宋体" w:hAnsi="宋体" w:cs="宋体"/>
                <w:sz w:val="24"/>
                <w:szCs w:val="24"/>
                <w:lang w:val="en-US" w:eastAsia="zh-CN"/>
              </w:rPr>
              <w:t>评分标准</w:t>
            </w:r>
            <w:r>
              <w:rPr>
                <w:rFonts w:hint="eastAsia" w:ascii="宋体" w:hAnsi="宋体" w:cs="宋体"/>
                <w:sz w:val="24"/>
                <w:szCs w:val="24"/>
                <w:lang w:val="zh-CN"/>
              </w:rPr>
              <w:t>，</w:t>
            </w:r>
          </w:p>
          <w:p w14:paraId="6A41B4F9">
            <w:pPr>
              <w:autoSpaceDE w:val="0"/>
              <w:autoSpaceDN w:val="0"/>
              <w:adjustRightInd w:val="0"/>
              <w:spacing w:line="360" w:lineRule="auto"/>
              <w:jc w:val="left"/>
              <w:rPr>
                <w:rFonts w:hint="eastAsia" w:ascii="宋体" w:hAnsi="宋体" w:cs="宋体"/>
                <w:sz w:val="24"/>
                <w:szCs w:val="24"/>
                <w:lang w:val="zh-CN"/>
              </w:rPr>
            </w:pPr>
            <w:r>
              <w:rPr>
                <w:rFonts w:hint="eastAsia" w:ascii="宋体" w:hAnsi="宋体" w:cs="宋体"/>
                <w:sz w:val="24"/>
                <w:szCs w:val="24"/>
                <w:lang w:val="en-US" w:eastAsia="zh-CN"/>
              </w:rPr>
              <w:t>光伏电费=（尖时电量*尖电价+峰时电量*峰电价+平时电量*平电价+谷时电量*谷电价）*折扣比例。折扣比例70%，得20分，每降0.5个点得1分，满分30分</w:t>
            </w:r>
          </w:p>
          <w:p w14:paraId="1DD0A60E">
            <w:pPr>
              <w:autoSpaceDE w:val="0"/>
              <w:autoSpaceDN w:val="0"/>
              <w:adjustRightInd w:val="0"/>
              <w:spacing w:line="360" w:lineRule="auto"/>
              <w:jc w:val="left"/>
              <w:rPr>
                <w:rFonts w:hint="eastAsia" w:ascii="宋体" w:hAnsi="宋体" w:cs="宋体"/>
                <w:sz w:val="24"/>
                <w:szCs w:val="24"/>
                <w:lang w:val="zh-CN"/>
              </w:rPr>
            </w:pPr>
          </w:p>
        </w:tc>
        <w:tc>
          <w:tcPr>
            <w:tcW w:w="1044" w:type="dxa"/>
            <w:vAlign w:val="center"/>
          </w:tcPr>
          <w:p w14:paraId="6BE69D45">
            <w:pPr>
              <w:spacing w:line="360" w:lineRule="exact"/>
              <w:jc w:val="center"/>
              <w:rPr>
                <w:rFonts w:ascii="宋体" w:hAnsi="宋体" w:cs="宋体"/>
                <w:sz w:val="24"/>
                <w:szCs w:val="24"/>
              </w:rPr>
            </w:pPr>
          </w:p>
        </w:tc>
      </w:tr>
      <w:tr w14:paraId="0E01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231" w:type="dxa"/>
            <w:gridSpan w:val="2"/>
            <w:vAlign w:val="center"/>
          </w:tcPr>
          <w:p w14:paraId="309838B5">
            <w:pPr>
              <w:jc w:val="center"/>
              <w:rPr>
                <w:rFonts w:ascii="宋体" w:hAnsi="宋体" w:cs="宋体"/>
                <w:sz w:val="24"/>
                <w:szCs w:val="24"/>
              </w:rPr>
            </w:pPr>
            <w:r>
              <w:rPr>
                <w:rFonts w:hint="eastAsia" w:ascii="宋体" w:hAnsi="宋体" w:cs="宋体"/>
                <w:sz w:val="24"/>
                <w:szCs w:val="24"/>
              </w:rPr>
              <w:t>合计</w:t>
            </w:r>
          </w:p>
        </w:tc>
        <w:tc>
          <w:tcPr>
            <w:tcW w:w="931" w:type="dxa"/>
            <w:vAlign w:val="center"/>
          </w:tcPr>
          <w:p w14:paraId="5AEB22C4">
            <w:pPr>
              <w:jc w:val="center"/>
              <w:rPr>
                <w:rFonts w:ascii="宋体" w:hAnsi="宋体" w:cs="宋体"/>
                <w:sz w:val="24"/>
                <w:szCs w:val="24"/>
              </w:rPr>
            </w:pPr>
            <w:r>
              <w:rPr>
                <w:rFonts w:hint="eastAsia" w:ascii="宋体" w:hAnsi="宋体" w:cs="宋体"/>
                <w:sz w:val="24"/>
                <w:szCs w:val="24"/>
              </w:rPr>
              <w:t>100分</w:t>
            </w:r>
          </w:p>
        </w:tc>
        <w:tc>
          <w:tcPr>
            <w:tcW w:w="4674" w:type="dxa"/>
            <w:vAlign w:val="center"/>
          </w:tcPr>
          <w:p w14:paraId="32C27264">
            <w:pPr>
              <w:jc w:val="center"/>
              <w:rPr>
                <w:rFonts w:ascii="宋体" w:hAnsi="宋体" w:cs="宋体"/>
                <w:sz w:val="24"/>
                <w:szCs w:val="24"/>
              </w:rPr>
            </w:pPr>
          </w:p>
        </w:tc>
        <w:tc>
          <w:tcPr>
            <w:tcW w:w="1044" w:type="dxa"/>
            <w:vAlign w:val="center"/>
          </w:tcPr>
          <w:p w14:paraId="3D2F6ADE">
            <w:pPr>
              <w:jc w:val="center"/>
              <w:rPr>
                <w:rFonts w:ascii="宋体" w:hAnsi="宋体" w:cs="宋体"/>
                <w:sz w:val="24"/>
                <w:szCs w:val="24"/>
              </w:rPr>
            </w:pPr>
          </w:p>
        </w:tc>
      </w:tr>
    </w:tbl>
    <w:p w14:paraId="2003A375"/>
    <w:p w14:paraId="326D8DF6">
      <w:pPr>
        <w:tabs>
          <w:tab w:val="left" w:pos="360"/>
          <w:tab w:val="left" w:pos="540"/>
          <w:tab w:val="left" w:pos="3600"/>
          <w:tab w:val="left" w:pos="3780"/>
          <w:tab w:val="left" w:pos="8460"/>
          <w:tab w:val="left" w:pos="9180"/>
        </w:tabs>
        <w:adjustRightInd w:val="0"/>
        <w:snapToGrid w:val="0"/>
        <w:spacing w:line="360" w:lineRule="auto"/>
        <w:ind w:right="-21" w:rightChars="-10"/>
        <w:rPr>
          <w:rFonts w:ascii="宋体" w:hAnsi="宋体"/>
          <w:bCs/>
          <w:color w:val="000000"/>
          <w:sz w:val="24"/>
        </w:rPr>
      </w:pPr>
      <w:r>
        <w:rPr>
          <w:rFonts w:hint="eastAsia" w:ascii="宋体" w:hAnsi="宋体"/>
          <w:bCs/>
          <w:color w:val="000000"/>
          <w:sz w:val="24"/>
        </w:rPr>
        <w:t xml:space="preserve">    </w:t>
      </w:r>
    </w:p>
    <w:p w14:paraId="73C2A61A">
      <w:pPr>
        <w:tabs>
          <w:tab w:val="left" w:pos="360"/>
          <w:tab w:val="left" w:pos="540"/>
          <w:tab w:val="left" w:pos="3600"/>
          <w:tab w:val="left" w:pos="3780"/>
          <w:tab w:val="left" w:pos="8460"/>
          <w:tab w:val="left" w:pos="9180"/>
        </w:tabs>
        <w:adjustRightInd w:val="0"/>
        <w:snapToGrid w:val="0"/>
        <w:spacing w:line="360" w:lineRule="auto"/>
        <w:ind w:right="-21" w:rightChars="-10"/>
        <w:rPr>
          <w:rFonts w:ascii="宋体" w:hAnsi="宋体"/>
          <w:bCs/>
          <w:color w:val="000000"/>
          <w:sz w:val="24"/>
        </w:rPr>
      </w:pPr>
      <w:r>
        <w:rPr>
          <w:rFonts w:hint="eastAsia" w:ascii="宋体" w:hAnsi="宋体"/>
          <w:b/>
          <w:color w:val="000000"/>
          <w:sz w:val="24"/>
        </w:rPr>
        <w:t>一、评标办法</w:t>
      </w:r>
    </w:p>
    <w:p w14:paraId="0177FD9B">
      <w:pPr>
        <w:tabs>
          <w:tab w:val="left" w:pos="360"/>
          <w:tab w:val="left" w:pos="540"/>
          <w:tab w:val="left" w:pos="3600"/>
          <w:tab w:val="left" w:pos="3780"/>
          <w:tab w:val="left" w:pos="8460"/>
          <w:tab w:val="left" w:pos="9180"/>
        </w:tabs>
        <w:adjustRightInd w:val="0"/>
        <w:snapToGrid w:val="0"/>
        <w:spacing w:line="360" w:lineRule="auto"/>
        <w:ind w:right="-21" w:rightChars="-10"/>
        <w:rPr>
          <w:rFonts w:hint="eastAsia" w:ascii="宋体" w:hAnsi="宋体"/>
          <w:bCs/>
          <w:color w:val="000000"/>
          <w:sz w:val="24"/>
        </w:rPr>
      </w:pPr>
      <w:r>
        <w:rPr>
          <w:rFonts w:hint="eastAsia" w:ascii="宋体" w:hAnsi="宋体"/>
          <w:b/>
          <w:color w:val="000000"/>
          <w:sz w:val="24"/>
        </w:rPr>
        <w:t xml:space="preserve">    1.评标方法：</w:t>
      </w:r>
      <w:r>
        <w:rPr>
          <w:rFonts w:hint="eastAsia" w:ascii="宋体" w:hAnsi="宋体"/>
          <w:bCs/>
          <w:color w:val="000000"/>
          <w:sz w:val="24"/>
        </w:rPr>
        <w:t>综合评分法。</w:t>
      </w:r>
    </w:p>
    <w:p w14:paraId="7D6A4F92">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
          <w:color w:val="000000"/>
          <w:sz w:val="24"/>
        </w:rPr>
        <w:t>2.评标原则：</w:t>
      </w:r>
      <w:r>
        <w:rPr>
          <w:rFonts w:hint="eastAsia" w:ascii="宋体" w:hAnsi="宋体"/>
          <w:bCs/>
          <w:color w:val="000000"/>
          <w:sz w:val="24"/>
        </w:rPr>
        <w:t>评委会按照“客观公正，实事求是”的原则，评价参加本次招标的投标人所提供的电价优惠方案、质量、服务及对招标文件的符合性及响应性。</w:t>
      </w:r>
    </w:p>
    <w:p w14:paraId="1AE86A48">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
          <w:color w:val="000000"/>
          <w:sz w:val="24"/>
        </w:rPr>
        <w:t>3.评标程序：</w:t>
      </w:r>
      <w:r>
        <w:rPr>
          <w:rFonts w:hint="eastAsia" w:ascii="宋体" w:hAnsi="宋体"/>
          <w:bCs/>
          <w:color w:val="000000"/>
          <w:sz w:val="24"/>
        </w:rPr>
        <w:t>评标委员会按照初步评审、技术评分的程序进行评标，通过初步评审的投标人，方能进入技术评分和投标报价评分环节。</w:t>
      </w:r>
    </w:p>
    <w:p w14:paraId="4CB1B827">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3.1 初步评审：初步评审包括资格评审和符合性评审；</w:t>
      </w:r>
    </w:p>
    <w:p w14:paraId="21E0BA51">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3.1.1 资格评审标准：详见初步评审表；</w:t>
      </w:r>
    </w:p>
    <w:p w14:paraId="08979753">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3.1.2 符合性评审标准：详见初步评审表；</w:t>
      </w:r>
    </w:p>
    <w:p w14:paraId="37DDF878">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3.2 技术评分</w:t>
      </w:r>
    </w:p>
    <w:p w14:paraId="2E863A7E">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3.2.1 技术评分标准：详见评标办法前附表（二）；</w:t>
      </w:r>
    </w:p>
    <w:p w14:paraId="4BDB85E4">
      <w:pPr>
        <w:tabs>
          <w:tab w:val="left" w:pos="360"/>
          <w:tab w:val="left" w:pos="540"/>
          <w:tab w:val="left" w:pos="3600"/>
          <w:tab w:val="left" w:pos="3780"/>
          <w:tab w:val="left" w:pos="8460"/>
          <w:tab w:val="left" w:pos="9180"/>
        </w:tabs>
        <w:adjustRightInd w:val="0"/>
        <w:snapToGrid w:val="0"/>
        <w:spacing w:line="360" w:lineRule="auto"/>
        <w:ind w:right="-21" w:rightChars="-10"/>
        <w:rPr>
          <w:rFonts w:ascii="宋体" w:hAnsi="宋体"/>
          <w:b/>
          <w:color w:val="000000"/>
          <w:sz w:val="24"/>
        </w:rPr>
      </w:pPr>
      <w:r>
        <w:rPr>
          <w:rFonts w:hint="eastAsia" w:ascii="宋体" w:hAnsi="宋体"/>
          <w:b/>
          <w:color w:val="000000"/>
          <w:sz w:val="24"/>
        </w:rPr>
        <w:t xml:space="preserve">    4.投标人综合得分：</w:t>
      </w:r>
      <w:r>
        <w:rPr>
          <w:rFonts w:hint="eastAsia" w:ascii="宋体" w:hAnsi="宋体"/>
          <w:bCs/>
          <w:color w:val="000000"/>
          <w:sz w:val="24"/>
        </w:rPr>
        <w:t>按下列公式确定。</w:t>
      </w:r>
    </w:p>
    <w:p w14:paraId="4B283FCD">
      <w:pPr>
        <w:tabs>
          <w:tab w:val="left" w:pos="360"/>
          <w:tab w:val="left" w:pos="540"/>
          <w:tab w:val="left" w:pos="3600"/>
          <w:tab w:val="left" w:pos="3780"/>
          <w:tab w:val="left" w:pos="8460"/>
          <w:tab w:val="left" w:pos="9180"/>
        </w:tabs>
        <w:adjustRightInd w:val="0"/>
        <w:snapToGrid w:val="0"/>
        <w:spacing w:line="360" w:lineRule="auto"/>
        <w:ind w:right="-21" w:rightChars="-10"/>
        <w:rPr>
          <w:rFonts w:ascii="宋体" w:hAnsi="宋体"/>
          <w:b/>
          <w:color w:val="000000"/>
          <w:sz w:val="24"/>
        </w:rPr>
      </w:pPr>
      <w:r>
        <w:rPr>
          <w:rFonts w:hint="eastAsia" w:ascii="宋体" w:hAnsi="宋体"/>
          <w:b/>
          <w:color w:val="000000"/>
          <w:sz w:val="24"/>
        </w:rPr>
        <w:t xml:space="preserve">   </w:t>
      </w:r>
      <w:r>
        <w:rPr>
          <w:rFonts w:hint="eastAsia" w:ascii="宋体" w:hAnsi="宋体"/>
          <w:bCs/>
          <w:color w:val="000000"/>
          <w:sz w:val="24"/>
        </w:rPr>
        <w:t xml:space="preserve"> 投标人综合得分=技术得分。其中技术得分为各评标委员会成员对每家投标人的技术所评分值的算术平均值。评分结果保留到小数点后两位，第三位四舍五入。</w:t>
      </w:r>
    </w:p>
    <w:p w14:paraId="324B5204">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
          <w:color w:val="000000"/>
          <w:sz w:val="24"/>
        </w:rPr>
        <w:t>5.中标候选人推荐：</w:t>
      </w:r>
      <w:r>
        <w:rPr>
          <w:rFonts w:hint="eastAsia" w:ascii="宋体" w:hAnsi="宋体"/>
          <w:bCs/>
          <w:color w:val="000000"/>
          <w:sz w:val="24"/>
        </w:rPr>
        <w:t>评标委员会依据投标人综合得分由高到低的顺序，向招标人推荐1-3名为中标候选人。综合得分相同的由招标人代表通过现场随机抽取的方式确定中标候选人排名顺序。</w:t>
      </w:r>
    </w:p>
    <w:p w14:paraId="397FCA75">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color w:val="000000"/>
          <w:sz w:val="24"/>
        </w:rPr>
      </w:pPr>
      <w:r>
        <w:rPr>
          <w:rFonts w:hint="eastAsia" w:ascii="宋体" w:hAnsi="宋体"/>
          <w:b/>
          <w:color w:val="000000"/>
          <w:sz w:val="24"/>
        </w:rPr>
        <w:t>6.计算错误的修正</w:t>
      </w:r>
    </w:p>
    <w:p w14:paraId="2150BBFD">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6.1若报价金额的大写与小写之间有出入，则以大写金额为准。若投标人投标文件中报价与开标一览表之间有出入，以开标一览表为准。</w:t>
      </w:r>
    </w:p>
    <w:p w14:paraId="34F87FC0">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
          <w:color w:val="000000"/>
          <w:sz w:val="24"/>
        </w:rPr>
      </w:pPr>
      <w:r>
        <w:rPr>
          <w:rFonts w:hint="eastAsia" w:ascii="宋体" w:hAnsi="宋体"/>
          <w:b/>
          <w:color w:val="000000"/>
          <w:sz w:val="24"/>
        </w:rPr>
        <w:t>6.3 若投标人拒绝上述修正，其投标将被否决</w:t>
      </w:r>
    </w:p>
    <w:p w14:paraId="4E9580F9">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6.4按照上述规定进行修正后的投标报价经投标人的法定代表人或其委托代理人签字确认后即为该投标人的最终投标报价，该报价作为投标报价评分的依据。</w:t>
      </w:r>
    </w:p>
    <w:p w14:paraId="63A4873C">
      <w:pPr>
        <w:numPr>
          <w:ilvl w:val="0"/>
          <w:numId w:val="4"/>
        </w:num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
          <w:color w:val="000000"/>
          <w:sz w:val="24"/>
        </w:rPr>
      </w:pPr>
      <w:r>
        <w:rPr>
          <w:rFonts w:hint="eastAsia" w:ascii="宋体" w:hAnsi="宋体"/>
          <w:b/>
          <w:color w:val="000000"/>
          <w:sz w:val="24"/>
        </w:rPr>
        <w:t>评标委员会</w:t>
      </w:r>
    </w:p>
    <w:p w14:paraId="75678C91">
      <w:pPr>
        <w:tabs>
          <w:tab w:val="left" w:pos="360"/>
          <w:tab w:val="left" w:pos="540"/>
          <w:tab w:val="left" w:pos="3600"/>
          <w:tab w:val="left" w:pos="3780"/>
          <w:tab w:val="left" w:pos="8460"/>
          <w:tab w:val="left" w:pos="9180"/>
        </w:tabs>
        <w:adjustRightInd w:val="0"/>
        <w:snapToGrid w:val="0"/>
        <w:spacing w:line="360" w:lineRule="auto"/>
        <w:ind w:right="-21" w:rightChars="-10"/>
        <w:rPr>
          <w:rFonts w:ascii="宋体" w:hAnsi="宋体"/>
          <w:bCs/>
          <w:color w:val="000000"/>
          <w:sz w:val="24"/>
        </w:rPr>
      </w:pPr>
      <w:r>
        <w:rPr>
          <w:rFonts w:hint="eastAsia" w:ascii="宋体" w:hAnsi="宋体"/>
          <w:bCs/>
          <w:color w:val="000000"/>
          <w:sz w:val="24"/>
        </w:rPr>
        <w:t xml:space="preserve">    </w:t>
      </w:r>
      <w:r>
        <w:rPr>
          <w:rFonts w:hint="eastAsia" w:ascii="宋体" w:hAnsi="宋体"/>
          <w:b/>
          <w:color w:val="000000"/>
          <w:sz w:val="24"/>
        </w:rPr>
        <w:t>7.评标委员会组成：</w:t>
      </w:r>
      <w:r>
        <w:rPr>
          <w:rFonts w:hint="eastAsia" w:ascii="宋体" w:hAnsi="宋体"/>
          <w:bCs/>
          <w:color w:val="000000"/>
          <w:sz w:val="24"/>
        </w:rPr>
        <w:t>招标人在开标前负责组建不少于3人组成的评标委员会（以下简称评委会），负责本项目的评标工作。</w:t>
      </w:r>
    </w:p>
    <w:p w14:paraId="372847C2">
      <w:pPr>
        <w:tabs>
          <w:tab w:val="left" w:pos="360"/>
          <w:tab w:val="left" w:pos="540"/>
          <w:tab w:val="left" w:pos="3600"/>
          <w:tab w:val="left" w:pos="3780"/>
          <w:tab w:val="left" w:pos="8460"/>
          <w:tab w:val="left" w:pos="9180"/>
        </w:tabs>
        <w:adjustRightInd w:val="0"/>
        <w:snapToGrid w:val="0"/>
        <w:spacing w:line="360" w:lineRule="auto"/>
        <w:ind w:right="-21" w:rightChars="-10" w:firstLine="480"/>
        <w:rPr>
          <w:rFonts w:ascii="宋体" w:hAnsi="宋体"/>
          <w:b/>
          <w:color w:val="000000"/>
          <w:sz w:val="24"/>
        </w:rPr>
      </w:pPr>
      <w:r>
        <w:rPr>
          <w:rFonts w:hint="eastAsia" w:ascii="宋体" w:hAnsi="宋体"/>
          <w:b/>
          <w:color w:val="000000"/>
          <w:sz w:val="24"/>
        </w:rPr>
        <w:t>8.评委会的评标</w:t>
      </w:r>
    </w:p>
    <w:p w14:paraId="27FC1493">
      <w:pPr>
        <w:tabs>
          <w:tab w:val="left" w:pos="360"/>
          <w:tab w:val="left" w:pos="540"/>
          <w:tab w:val="left" w:pos="3600"/>
          <w:tab w:val="left" w:pos="3780"/>
          <w:tab w:val="left" w:pos="8460"/>
          <w:tab w:val="left" w:pos="9180"/>
        </w:tabs>
        <w:adjustRightInd w:val="0"/>
        <w:snapToGrid w:val="0"/>
        <w:spacing w:line="360" w:lineRule="auto"/>
        <w:ind w:right="-21" w:rightChars="-10" w:firstLine="480"/>
        <w:rPr>
          <w:rFonts w:ascii="宋体" w:hAnsi="宋体"/>
          <w:bCs/>
          <w:color w:val="000000"/>
          <w:sz w:val="24"/>
        </w:rPr>
      </w:pPr>
      <w:r>
        <w:rPr>
          <w:rFonts w:hint="eastAsia" w:ascii="宋体" w:hAnsi="宋体"/>
          <w:color w:val="000000"/>
          <w:sz w:val="24"/>
        </w:rPr>
        <w:t>8.1评标专家应对投标人的投标文件进行独立评审。评标专家对投标人某项指标如有不同意见，按照少数服从多数的原则进行票决，确定该项指标是否通过。符合评审指标通过标准的，为有效投标。</w:t>
      </w:r>
    </w:p>
    <w:p w14:paraId="03AAA5FF">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
          <w:bCs/>
          <w:color w:val="000000"/>
          <w:sz w:val="24"/>
        </w:rPr>
      </w:pPr>
      <w:r>
        <w:rPr>
          <w:rFonts w:hint="eastAsia" w:ascii="宋体" w:hAnsi="宋体"/>
          <w:b/>
          <w:bCs/>
          <w:color w:val="000000"/>
          <w:sz w:val="24"/>
        </w:rPr>
        <w:t>8.2 评标委员会认为投标人的报价明显低于其他通过符合性审查投标人的报价，有可能影响质量或者不能诚信履约的，应当要求其在评标现场合理的时间内提供书面说明，必要时提交相关证明材料；投标人不能证明其报价合理性的，评标委员会应当将其作为无效投标处理。</w:t>
      </w:r>
    </w:p>
    <w:p w14:paraId="21932D48">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8.3 评委会在评标过程中发现的问题，应当及时</w:t>
      </w:r>
      <w:r>
        <w:rPr>
          <w:rFonts w:hint="eastAsia" w:ascii="宋体" w:hAnsi="宋体"/>
          <w:bCs/>
          <w:color w:val="000000"/>
          <w:sz w:val="24"/>
          <w:lang w:eastAsia="zh-CN"/>
        </w:rPr>
        <w:t>做出</w:t>
      </w:r>
      <w:r>
        <w:rPr>
          <w:rFonts w:hint="eastAsia" w:ascii="宋体" w:hAnsi="宋体"/>
          <w:bCs/>
          <w:color w:val="000000"/>
          <w:sz w:val="24"/>
        </w:rPr>
        <w:t>处理或者向招标人提出处理建议，并作书面记录。</w:t>
      </w:r>
    </w:p>
    <w:p w14:paraId="26F74503">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Cs/>
          <w:color w:val="000000"/>
          <w:sz w:val="24"/>
        </w:rPr>
      </w:pPr>
      <w:r>
        <w:rPr>
          <w:rFonts w:hint="eastAsia" w:ascii="宋体" w:hAnsi="宋体"/>
          <w:bCs/>
          <w:color w:val="000000"/>
          <w:sz w:val="24"/>
        </w:rPr>
        <w:t>8.4 评标后，评委会应写出评标报告并签字。评标报告是评委会全体专家的原始评标记录和评标结果编写的报告，评委会全体成员及监督员（如有）均须在评标报告上签字。评标报告应如实记录本次评标的主要过程，全面反映评标过程中的各种不同的意见，以及其他澄清、说明、补正事项。</w:t>
      </w:r>
    </w:p>
    <w:p w14:paraId="08B83732">
      <w:pPr>
        <w:tabs>
          <w:tab w:val="left" w:pos="360"/>
          <w:tab w:val="left" w:pos="540"/>
          <w:tab w:val="left" w:pos="3600"/>
          <w:tab w:val="left" w:pos="3780"/>
          <w:tab w:val="left" w:pos="8460"/>
          <w:tab w:val="left" w:pos="9180"/>
        </w:tabs>
        <w:adjustRightInd w:val="0"/>
        <w:snapToGrid w:val="0"/>
        <w:spacing w:line="360" w:lineRule="auto"/>
        <w:ind w:right="-21" w:rightChars="-10" w:firstLine="481"/>
        <w:rPr>
          <w:rFonts w:ascii="宋体" w:hAnsi="宋体"/>
          <w:b/>
          <w:color w:val="000000"/>
          <w:sz w:val="24"/>
        </w:rPr>
      </w:pPr>
      <w:r>
        <w:rPr>
          <w:rFonts w:hint="eastAsia" w:ascii="宋体" w:hAnsi="宋体"/>
          <w:b/>
          <w:color w:val="000000"/>
          <w:sz w:val="24"/>
        </w:rPr>
        <w:t>三、纪律要求</w:t>
      </w:r>
    </w:p>
    <w:p w14:paraId="190F15A4">
      <w:pPr>
        <w:adjustRightInd w:val="0"/>
        <w:snapToGrid w:val="0"/>
        <w:spacing w:line="360" w:lineRule="auto"/>
        <w:ind w:right="-10"/>
        <w:rPr>
          <w:rFonts w:ascii="宋体" w:hAnsi="宋体"/>
          <w:color w:val="000000"/>
          <w:sz w:val="24"/>
        </w:rPr>
      </w:pPr>
      <w:r>
        <w:rPr>
          <w:rFonts w:hint="eastAsia" w:ascii="宋体" w:hAnsi="宋体"/>
          <w:color w:val="000000"/>
          <w:sz w:val="24"/>
        </w:rPr>
        <w:t xml:space="preserve">    </w:t>
      </w:r>
      <w:r>
        <w:rPr>
          <w:rFonts w:hint="eastAsia" w:ascii="宋体" w:hAnsi="宋体"/>
          <w:b/>
          <w:bCs/>
          <w:color w:val="000000"/>
          <w:sz w:val="24"/>
        </w:rPr>
        <w:t>9.评标纪律：</w:t>
      </w:r>
      <w:r>
        <w:rPr>
          <w:rFonts w:hint="eastAsia" w:ascii="宋体" w:hAnsi="宋体"/>
          <w:color w:val="000000"/>
          <w:sz w:val="24"/>
        </w:rPr>
        <w:t>评委会和评标工作人员应严格遵守国家的法律、法规和规章制度；严格按照本次招标文件进行评标；公正廉洁、不徇私情，不得损害国家利益；保护招、投标人的合法权益。</w:t>
      </w:r>
    </w:p>
    <w:p w14:paraId="4840A0FE">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10.保密要求：</w:t>
      </w:r>
      <w:r>
        <w:rPr>
          <w:rFonts w:hint="eastAsia" w:ascii="宋体" w:hAnsi="宋体"/>
          <w:color w:val="000000"/>
          <w:sz w:val="24"/>
        </w:rPr>
        <w:t>在评标过程中，评委及评标工作人员必须对评标情况严格保密，任何人不得将评标情况透露给与投标人有关的单位和个人。如有违反评标纪律的情况发生，将依据《中华人民共和国招标投标法》及其他有关法律法规的规定，追究有关当事人的责任。</w:t>
      </w:r>
      <w:bookmarkStart w:id="176" w:name="_GoBack"/>
      <w:bookmarkEnd w:id="176"/>
    </w:p>
    <w:p w14:paraId="3BD77048">
      <w:pPr>
        <w:tabs>
          <w:tab w:val="left" w:pos="0"/>
        </w:tabs>
        <w:adjustRightInd w:val="0"/>
        <w:snapToGrid w:val="0"/>
        <w:spacing w:line="360" w:lineRule="auto"/>
        <w:ind w:firstLine="482" w:firstLineChars="200"/>
        <w:jc w:val="left"/>
        <w:rPr>
          <w:rFonts w:ascii="宋体" w:hAnsi="宋体"/>
          <w:bCs/>
          <w:color w:val="000000"/>
          <w:sz w:val="24"/>
        </w:rPr>
      </w:pPr>
      <w:r>
        <w:rPr>
          <w:rFonts w:hint="eastAsia" w:ascii="宋体" w:hAnsi="宋体"/>
          <w:b/>
          <w:color w:val="000000"/>
          <w:sz w:val="24"/>
        </w:rPr>
        <w:t>11.解释权：</w:t>
      </w:r>
      <w:r>
        <w:rPr>
          <w:rFonts w:hint="eastAsia" w:ascii="宋体" w:hAnsi="宋体"/>
          <w:bCs/>
          <w:color w:val="000000"/>
          <w:sz w:val="24"/>
        </w:rPr>
        <w:t>本评标办法的解释权属于招标人。</w:t>
      </w:r>
    </w:p>
    <w:p w14:paraId="7113971D">
      <w:pPr>
        <w:tabs>
          <w:tab w:val="left" w:pos="0"/>
        </w:tabs>
        <w:adjustRightInd w:val="0"/>
        <w:snapToGrid w:val="0"/>
        <w:spacing w:line="360" w:lineRule="auto"/>
        <w:ind w:firstLine="482" w:firstLineChars="200"/>
        <w:jc w:val="left"/>
        <w:rPr>
          <w:rFonts w:ascii="宋体" w:hAnsi="宋体"/>
          <w:b/>
          <w:color w:val="000000"/>
          <w:sz w:val="24"/>
        </w:rPr>
      </w:pPr>
      <w:r>
        <w:rPr>
          <w:rFonts w:hint="eastAsia" w:ascii="宋体" w:hAnsi="宋体"/>
          <w:b/>
          <w:color w:val="000000"/>
          <w:sz w:val="24"/>
        </w:rPr>
        <w:t>四、其他</w:t>
      </w:r>
    </w:p>
    <w:p w14:paraId="3EA628F5">
      <w:pPr>
        <w:tabs>
          <w:tab w:val="left" w:pos="0"/>
        </w:tabs>
        <w:adjustRightInd w:val="0"/>
        <w:snapToGrid w:val="0"/>
        <w:spacing w:line="360" w:lineRule="auto"/>
        <w:ind w:firstLine="482" w:firstLineChars="200"/>
        <w:jc w:val="left"/>
        <w:rPr>
          <w:rFonts w:ascii="宋体" w:hAnsi="宋体"/>
          <w:bCs/>
          <w:color w:val="000000"/>
          <w:sz w:val="24"/>
        </w:rPr>
      </w:pPr>
      <w:r>
        <w:rPr>
          <w:rFonts w:hint="eastAsia" w:ascii="宋体" w:hAnsi="宋体"/>
          <w:b/>
          <w:color w:val="000000"/>
          <w:sz w:val="24"/>
        </w:rPr>
        <w:t>12.废标处理</w:t>
      </w:r>
    </w:p>
    <w:p w14:paraId="4D01282C">
      <w:pPr>
        <w:tabs>
          <w:tab w:val="left" w:pos="0"/>
        </w:tabs>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12.1在招标中，出现下列情形之一的，招标人有权宣布本项目废标：</w:t>
      </w:r>
    </w:p>
    <w:p w14:paraId="703CBB05">
      <w:pPr>
        <w:tabs>
          <w:tab w:val="left" w:pos="0"/>
        </w:tabs>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12.1.1递交投标文件的投标人不足3家或实质性响应的投标人不足3家的；</w:t>
      </w:r>
    </w:p>
    <w:p w14:paraId="4A762AE6">
      <w:pPr>
        <w:tabs>
          <w:tab w:val="left" w:pos="0"/>
        </w:tabs>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12.1.2投标人的报价均超过控制价，招标人不能支付的；</w:t>
      </w:r>
    </w:p>
    <w:p w14:paraId="7DFC78DA">
      <w:pPr>
        <w:tabs>
          <w:tab w:val="left" w:pos="0"/>
        </w:tabs>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12.1.3出现影响招标公正的违法、违规行为的；</w:t>
      </w:r>
    </w:p>
    <w:p w14:paraId="1AE82D2C">
      <w:pPr>
        <w:tabs>
          <w:tab w:val="left" w:pos="0"/>
        </w:tabs>
        <w:adjustRightInd w:val="0"/>
        <w:snapToGrid w:val="0"/>
        <w:spacing w:line="360" w:lineRule="auto"/>
        <w:ind w:firstLine="480" w:firstLineChars="200"/>
        <w:jc w:val="left"/>
      </w:pPr>
      <w:r>
        <w:rPr>
          <w:rFonts w:hint="eastAsia" w:ascii="宋体" w:hAnsi="宋体"/>
          <w:bCs/>
          <w:color w:val="000000"/>
          <w:sz w:val="24"/>
        </w:rPr>
        <w:t>12.1.4因重大变故，招标任务取消的。</w:t>
      </w:r>
      <w:bookmarkStart w:id="30" w:name="_Toc282517731"/>
    </w:p>
    <w:p w14:paraId="5B1CA83D">
      <w:pPr>
        <w:pStyle w:val="6"/>
        <w:spacing w:before="0" w:after="0" w:line="360" w:lineRule="auto"/>
        <w:rPr>
          <w:rFonts w:ascii="宋体" w:hAnsi="宋体" w:eastAsia="宋体"/>
          <w:color w:val="000000"/>
        </w:rPr>
      </w:pPr>
      <w:bookmarkStart w:id="31" w:name="_Toc1479822"/>
      <w:r>
        <w:rPr>
          <w:rFonts w:ascii="宋体" w:hAnsi="宋体" w:eastAsia="宋体"/>
          <w:color w:val="000000"/>
        </w:rPr>
        <w:br w:type="page"/>
      </w:r>
      <w:bookmarkStart w:id="32" w:name="_Toc8253"/>
      <w:r>
        <w:rPr>
          <w:rFonts w:hint="eastAsia" w:ascii="宋体" w:hAnsi="宋体" w:eastAsia="宋体"/>
          <w:color w:val="000000"/>
        </w:rPr>
        <w:t>第五章 投标人须知</w:t>
      </w:r>
      <w:bookmarkEnd w:id="30"/>
      <w:bookmarkEnd w:id="31"/>
      <w:bookmarkEnd w:id="32"/>
    </w:p>
    <w:p w14:paraId="1805D10C">
      <w:pPr>
        <w:pStyle w:val="7"/>
        <w:spacing w:before="0" w:after="0" w:line="360" w:lineRule="auto"/>
        <w:rPr>
          <w:rFonts w:hAnsi="宋体"/>
          <w:color w:val="000000"/>
          <w:sz w:val="28"/>
        </w:rPr>
      </w:pPr>
      <w:bookmarkStart w:id="33" w:name="_Hlt526418143"/>
      <w:bookmarkEnd w:id="33"/>
      <w:bookmarkStart w:id="34" w:name="_Hlt509649722"/>
      <w:bookmarkEnd w:id="34"/>
      <w:bookmarkStart w:id="35" w:name="_Hlt509650955"/>
      <w:bookmarkEnd w:id="35"/>
      <w:bookmarkStart w:id="36" w:name="_Hlt509649998"/>
      <w:bookmarkEnd w:id="36"/>
      <w:bookmarkStart w:id="37" w:name="_Hlt509650126"/>
      <w:bookmarkEnd w:id="37"/>
      <w:bookmarkStart w:id="38" w:name="_Hlt509650686"/>
      <w:bookmarkEnd w:id="38"/>
      <w:bookmarkStart w:id="39" w:name="_Toc1479823"/>
      <w:bookmarkStart w:id="40" w:name="_Toc260081058"/>
      <w:bookmarkStart w:id="41" w:name="_Toc1479960"/>
      <w:bookmarkStart w:id="42" w:name="_Toc8630"/>
      <w:r>
        <w:rPr>
          <w:rFonts w:hint="eastAsia" w:hAnsi="宋体"/>
          <w:color w:val="000000"/>
          <w:sz w:val="28"/>
        </w:rPr>
        <w:t>一、总    则</w:t>
      </w:r>
      <w:bookmarkEnd w:id="39"/>
      <w:bookmarkEnd w:id="40"/>
      <w:bookmarkEnd w:id="41"/>
      <w:bookmarkEnd w:id="42"/>
    </w:p>
    <w:p w14:paraId="60E71DCA">
      <w:pPr>
        <w:spacing w:line="360" w:lineRule="auto"/>
        <w:ind w:firstLine="550"/>
        <w:rPr>
          <w:rFonts w:ascii="宋体" w:hAnsi="宋体"/>
          <w:b/>
          <w:color w:val="000000"/>
          <w:sz w:val="24"/>
        </w:rPr>
      </w:pPr>
      <w:r>
        <w:rPr>
          <w:rFonts w:ascii="宋体" w:hAnsi="宋体"/>
          <w:b/>
          <w:color w:val="000000"/>
          <w:sz w:val="24"/>
        </w:rPr>
        <w:t>1</w:t>
      </w:r>
      <w:r>
        <w:rPr>
          <w:rFonts w:hint="eastAsia" w:ascii="宋体" w:hAnsi="宋体"/>
          <w:b/>
          <w:color w:val="000000"/>
          <w:sz w:val="24"/>
        </w:rPr>
        <w:t>.适用范围</w:t>
      </w:r>
    </w:p>
    <w:p w14:paraId="288933CC">
      <w:pPr>
        <w:spacing w:line="360" w:lineRule="auto"/>
        <w:ind w:firstLine="550"/>
        <w:rPr>
          <w:rFonts w:ascii="宋体" w:hAnsi="宋体"/>
          <w:color w:val="000000"/>
          <w:sz w:val="24"/>
        </w:rPr>
      </w:pPr>
      <w:r>
        <w:rPr>
          <w:rFonts w:ascii="宋体" w:hAnsi="宋体"/>
          <w:color w:val="000000"/>
          <w:sz w:val="24"/>
        </w:rPr>
        <w:t>1.</w:t>
      </w:r>
      <w:r>
        <w:rPr>
          <w:rFonts w:hint="eastAsia" w:ascii="宋体" w:hAnsi="宋体"/>
          <w:color w:val="000000"/>
          <w:sz w:val="24"/>
        </w:rPr>
        <w:t>1本招标文件仅适用于本次招标所述的项目招标活动。</w:t>
      </w:r>
    </w:p>
    <w:p w14:paraId="307E883F">
      <w:pPr>
        <w:spacing w:line="360" w:lineRule="auto"/>
        <w:ind w:firstLine="550"/>
        <w:rPr>
          <w:rFonts w:ascii="宋体" w:hAnsi="宋体"/>
          <w:b/>
          <w:color w:val="000000"/>
          <w:sz w:val="24"/>
        </w:rPr>
      </w:pPr>
      <w:r>
        <w:rPr>
          <w:rFonts w:hint="eastAsia" w:ascii="宋体" w:hAnsi="宋体"/>
          <w:b/>
          <w:color w:val="000000"/>
          <w:sz w:val="24"/>
        </w:rPr>
        <w:t>2.有关定义</w:t>
      </w:r>
    </w:p>
    <w:p w14:paraId="6054846C">
      <w:pPr>
        <w:spacing w:line="360" w:lineRule="auto"/>
        <w:ind w:firstLine="550"/>
        <w:rPr>
          <w:rFonts w:ascii="宋体" w:hAnsi="宋体"/>
          <w:color w:val="000000"/>
          <w:sz w:val="24"/>
        </w:rPr>
      </w:pPr>
      <w:r>
        <w:rPr>
          <w:rFonts w:hint="eastAsia" w:ascii="宋体" w:hAnsi="宋体"/>
          <w:color w:val="000000"/>
          <w:sz w:val="24"/>
        </w:rPr>
        <w:t>2.1监督管理部门：系指招标人安徽省第二人民医院纪检监察室等相关监督部门。</w:t>
      </w:r>
    </w:p>
    <w:p w14:paraId="13C4B0A8">
      <w:pPr>
        <w:spacing w:line="360" w:lineRule="auto"/>
        <w:ind w:firstLine="550"/>
        <w:rPr>
          <w:rFonts w:ascii="宋体" w:hAnsi="宋体"/>
          <w:color w:val="000000"/>
          <w:sz w:val="24"/>
        </w:rPr>
      </w:pPr>
      <w:r>
        <w:rPr>
          <w:rFonts w:hint="eastAsia" w:ascii="宋体" w:hAnsi="宋体"/>
          <w:color w:val="000000"/>
          <w:sz w:val="24"/>
        </w:rPr>
        <w:t>2.2招标人：系指本次项目的产权方。</w:t>
      </w:r>
    </w:p>
    <w:p w14:paraId="38132C83">
      <w:pPr>
        <w:spacing w:line="360" w:lineRule="auto"/>
        <w:ind w:firstLine="550"/>
        <w:rPr>
          <w:rFonts w:ascii="宋体" w:hAnsi="宋体"/>
          <w:color w:val="000000"/>
          <w:sz w:val="24"/>
        </w:rPr>
      </w:pPr>
      <w:r>
        <w:rPr>
          <w:rFonts w:hint="eastAsia" w:ascii="宋体" w:hAnsi="宋体"/>
          <w:color w:val="000000"/>
          <w:sz w:val="24"/>
        </w:rPr>
        <w:t>2.</w:t>
      </w:r>
      <w:r>
        <w:rPr>
          <w:rFonts w:ascii="宋体" w:hAnsi="宋体"/>
          <w:color w:val="000000"/>
          <w:sz w:val="24"/>
        </w:rPr>
        <w:t>3</w:t>
      </w:r>
      <w:r>
        <w:rPr>
          <w:rFonts w:hint="eastAsia" w:ascii="宋体" w:hAnsi="宋体"/>
          <w:color w:val="000000"/>
          <w:sz w:val="24"/>
        </w:rPr>
        <w:t>投标人：系指购买了本招标文件，且已经提交或准备提交本次投标文件的制造商、投标人或投资服务商。</w:t>
      </w:r>
    </w:p>
    <w:p w14:paraId="02A39320">
      <w:pPr>
        <w:spacing w:line="360" w:lineRule="auto"/>
        <w:ind w:firstLine="550"/>
        <w:rPr>
          <w:rFonts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业绩：系指符合本招标文件规定的交易合同或其他证明文件。</w:t>
      </w:r>
    </w:p>
    <w:p w14:paraId="0957FA65">
      <w:pPr>
        <w:spacing w:line="360" w:lineRule="auto"/>
        <w:ind w:firstLine="550"/>
        <w:rPr>
          <w:rFonts w:ascii="宋体" w:hAnsi="宋体"/>
          <w:b/>
          <w:color w:val="000000"/>
          <w:sz w:val="24"/>
        </w:rPr>
      </w:pPr>
      <w:r>
        <w:rPr>
          <w:rFonts w:hint="eastAsia" w:ascii="宋体" w:hAnsi="宋体"/>
          <w:b/>
          <w:color w:val="000000"/>
          <w:sz w:val="24"/>
        </w:rPr>
        <w:t>3.投标费用</w:t>
      </w:r>
    </w:p>
    <w:p w14:paraId="46961CA9">
      <w:pPr>
        <w:spacing w:line="360" w:lineRule="auto"/>
        <w:ind w:firstLine="550"/>
        <w:rPr>
          <w:rFonts w:ascii="宋体" w:hAnsi="宋体"/>
          <w:color w:val="000000"/>
          <w:sz w:val="24"/>
        </w:rPr>
      </w:pPr>
      <w:r>
        <w:rPr>
          <w:rFonts w:hint="eastAsia" w:ascii="宋体" w:hAnsi="宋体"/>
          <w:color w:val="000000"/>
          <w:sz w:val="24"/>
        </w:rPr>
        <w:t>3.1无论投标结果如何，投标人应自行承担其编制与递交投标文件所涉及费用。</w:t>
      </w:r>
    </w:p>
    <w:p w14:paraId="43456FB8">
      <w:pPr>
        <w:numPr>
          <w:ilvl w:val="0"/>
          <w:numId w:val="5"/>
        </w:numPr>
        <w:spacing w:line="360" w:lineRule="auto"/>
        <w:ind w:firstLine="550"/>
        <w:rPr>
          <w:rFonts w:ascii="宋体" w:hAnsi="宋体"/>
          <w:b/>
          <w:bCs/>
          <w:color w:val="000000"/>
          <w:sz w:val="24"/>
        </w:rPr>
      </w:pPr>
      <w:r>
        <w:rPr>
          <w:rFonts w:hint="eastAsia" w:ascii="宋体" w:hAnsi="宋体"/>
          <w:b/>
          <w:bCs/>
          <w:color w:val="000000"/>
          <w:sz w:val="24"/>
        </w:rPr>
        <w:t>合格的投标人</w:t>
      </w:r>
    </w:p>
    <w:p w14:paraId="554F03F5">
      <w:pPr>
        <w:spacing w:line="360" w:lineRule="auto"/>
        <w:rPr>
          <w:rFonts w:ascii="宋体" w:hAnsi="宋体"/>
          <w:color w:val="000000"/>
          <w:sz w:val="24"/>
        </w:rPr>
      </w:pPr>
      <w:r>
        <w:rPr>
          <w:rFonts w:hint="eastAsia" w:ascii="宋体" w:hAnsi="宋体"/>
          <w:color w:val="000000"/>
          <w:sz w:val="24"/>
        </w:rPr>
        <w:t xml:space="preserve">    4.1合格的投标人应符合招标文件载明的投标资格。</w:t>
      </w:r>
    </w:p>
    <w:p w14:paraId="10C70238">
      <w:pPr>
        <w:spacing w:line="360" w:lineRule="auto"/>
        <w:rPr>
          <w:rFonts w:ascii="宋体" w:hAnsi="宋体"/>
          <w:color w:val="000000"/>
          <w:sz w:val="24"/>
        </w:rPr>
      </w:pPr>
      <w:r>
        <w:rPr>
          <w:rFonts w:hint="eastAsia" w:ascii="宋体" w:hAnsi="宋体"/>
          <w:color w:val="000000"/>
          <w:sz w:val="24"/>
        </w:rPr>
        <w:t xml:space="preserve">    4.2投标人之间如果存在下列情形之一的，不得同时参加本项目投标：</w:t>
      </w:r>
    </w:p>
    <w:p w14:paraId="09D4B785">
      <w:pPr>
        <w:spacing w:line="360" w:lineRule="auto"/>
        <w:rPr>
          <w:rFonts w:ascii="宋体" w:hAnsi="宋体"/>
          <w:color w:val="000000"/>
          <w:sz w:val="24"/>
        </w:rPr>
      </w:pPr>
      <w:r>
        <w:rPr>
          <w:rFonts w:hint="eastAsia" w:ascii="宋体" w:hAnsi="宋体"/>
          <w:color w:val="000000"/>
          <w:sz w:val="24"/>
        </w:rPr>
        <w:t xml:space="preserve">    4.2.1法定代表人为同一个人的两个及两个以上法人；</w:t>
      </w:r>
    </w:p>
    <w:p w14:paraId="3346BF76">
      <w:pPr>
        <w:spacing w:line="360" w:lineRule="auto"/>
        <w:rPr>
          <w:rFonts w:ascii="宋体" w:hAnsi="宋体"/>
          <w:color w:val="000000"/>
          <w:sz w:val="24"/>
        </w:rPr>
      </w:pPr>
      <w:r>
        <w:rPr>
          <w:rFonts w:hint="eastAsia" w:ascii="宋体" w:hAnsi="宋体"/>
          <w:color w:val="000000"/>
          <w:sz w:val="24"/>
        </w:rPr>
        <w:t xml:space="preserve">    4.2.2母公司、全资子公司及其控股公司；</w:t>
      </w:r>
    </w:p>
    <w:p w14:paraId="55C7D692">
      <w:pPr>
        <w:spacing w:line="360" w:lineRule="auto"/>
        <w:rPr>
          <w:rFonts w:ascii="宋体" w:hAnsi="宋体"/>
          <w:color w:val="000000"/>
          <w:sz w:val="24"/>
        </w:rPr>
      </w:pPr>
      <w:r>
        <w:rPr>
          <w:rFonts w:hint="eastAsia" w:ascii="宋体" w:hAnsi="宋体"/>
          <w:color w:val="000000"/>
          <w:sz w:val="24"/>
        </w:rPr>
        <w:t xml:space="preserve">    4.2.3参加投标的其他组织之间存在特殊的利害关系的；</w:t>
      </w:r>
    </w:p>
    <w:p w14:paraId="55FE0963">
      <w:pPr>
        <w:spacing w:line="360" w:lineRule="auto"/>
        <w:rPr>
          <w:rFonts w:ascii="宋体" w:hAnsi="宋体"/>
          <w:color w:val="000000"/>
          <w:sz w:val="24"/>
        </w:rPr>
      </w:pPr>
      <w:r>
        <w:rPr>
          <w:rFonts w:hint="eastAsia" w:ascii="宋体" w:hAnsi="宋体"/>
          <w:color w:val="000000"/>
          <w:sz w:val="24"/>
        </w:rPr>
        <w:t xml:space="preserve">    4.2.4法律和行政法规规定的其他情形。</w:t>
      </w:r>
    </w:p>
    <w:p w14:paraId="1EF3B99B">
      <w:pPr>
        <w:spacing w:line="360" w:lineRule="auto"/>
        <w:ind w:left="420" w:leftChars="200" w:firstLine="89" w:firstLineChars="37"/>
        <w:rPr>
          <w:rFonts w:ascii="宋体" w:hAnsi="宋体"/>
          <w:color w:val="000000"/>
          <w:sz w:val="24"/>
        </w:rPr>
      </w:pPr>
      <w:r>
        <w:rPr>
          <w:rFonts w:hint="eastAsia" w:ascii="宋体" w:hAnsi="宋体"/>
          <w:b/>
          <w:color w:val="000000"/>
          <w:sz w:val="24"/>
        </w:rPr>
        <w:t>5.勘察现场</w:t>
      </w:r>
    </w:p>
    <w:p w14:paraId="1B079C0D">
      <w:pPr>
        <w:spacing w:line="360" w:lineRule="auto"/>
        <w:ind w:firstLine="480" w:firstLineChars="200"/>
        <w:rPr>
          <w:rFonts w:ascii="宋体" w:hAnsi="宋体"/>
          <w:color w:val="000000"/>
          <w:sz w:val="24"/>
        </w:rPr>
      </w:pPr>
      <w:r>
        <w:rPr>
          <w:rFonts w:hint="eastAsia" w:ascii="宋体" w:hAnsi="宋体"/>
          <w:color w:val="000000"/>
          <w:sz w:val="24"/>
        </w:rPr>
        <w:t>5.1投标人应自行对服务现场和周围环境进行勘察，以获取编制投标文件和签署合同所需的资料。勘察现场的方式见投标人须知前附表。</w:t>
      </w:r>
    </w:p>
    <w:p w14:paraId="0CB097F4">
      <w:pPr>
        <w:spacing w:line="360" w:lineRule="auto"/>
        <w:ind w:firstLine="480" w:firstLineChars="200"/>
        <w:rPr>
          <w:rFonts w:ascii="宋体" w:hAnsi="宋体"/>
          <w:color w:val="000000"/>
          <w:sz w:val="24"/>
        </w:rPr>
      </w:pPr>
      <w:r>
        <w:rPr>
          <w:rFonts w:hint="eastAsia" w:ascii="宋体" w:hAnsi="宋体"/>
          <w:color w:val="000000"/>
          <w:sz w:val="24"/>
        </w:rPr>
        <w:t>5.2勘察现场所发生的费用由投标人自行承担。招标人向投标人提供的有关服务现场的资料和数据，是招标人现有的能使投标人利用的资料。招标人对投标人由此而做出的推论、理解和结论概不负责。投标人未到现场实地踏勘的，中标后签订合同时和履约过程中，不得以不完全了解现场情况为由，提出任何形式的增加合同价款或索赔的要求。</w:t>
      </w:r>
    </w:p>
    <w:p w14:paraId="14846CCA">
      <w:pPr>
        <w:spacing w:line="360" w:lineRule="auto"/>
        <w:ind w:firstLine="480" w:firstLineChars="200"/>
        <w:rPr>
          <w:rFonts w:ascii="宋体" w:hAnsi="宋体"/>
          <w:color w:val="000000"/>
          <w:sz w:val="24"/>
        </w:rPr>
      </w:pPr>
      <w:r>
        <w:rPr>
          <w:rFonts w:hint="eastAsia" w:ascii="宋体" w:hAnsi="宋体"/>
          <w:color w:val="000000"/>
          <w:sz w:val="24"/>
        </w:rPr>
        <w:t>5.3除非有特殊要求，招标文件不单独提供当地的自然环境、气候条件、公用设施等情况，投标人被视为熟悉上述与履行合同有关的一切情况。</w:t>
      </w:r>
    </w:p>
    <w:p w14:paraId="0C9C3786">
      <w:pPr>
        <w:spacing w:line="360" w:lineRule="auto"/>
        <w:ind w:firstLine="482" w:firstLineChars="200"/>
        <w:rPr>
          <w:rFonts w:ascii="宋体" w:hAnsi="宋体"/>
          <w:bCs/>
          <w:color w:val="000000"/>
          <w:sz w:val="24"/>
        </w:rPr>
      </w:pPr>
      <w:r>
        <w:rPr>
          <w:rFonts w:hint="eastAsia" w:ascii="宋体" w:hAnsi="宋体"/>
          <w:b/>
          <w:color w:val="000000"/>
          <w:sz w:val="24"/>
        </w:rPr>
        <w:t>6.知识产权</w:t>
      </w:r>
    </w:p>
    <w:p w14:paraId="50F3F9B5">
      <w:pPr>
        <w:spacing w:line="360" w:lineRule="auto"/>
        <w:ind w:firstLine="480" w:firstLineChars="200"/>
        <w:rPr>
          <w:rFonts w:ascii="宋体" w:hAnsi="宋体"/>
          <w:bCs/>
          <w:color w:val="000000"/>
          <w:sz w:val="24"/>
        </w:rPr>
      </w:pPr>
      <w:r>
        <w:rPr>
          <w:rFonts w:hint="eastAsia" w:ascii="宋体" w:hAnsi="宋体"/>
          <w:color w:val="000000"/>
          <w:sz w:val="24"/>
        </w:rPr>
        <w:t>6.1</w:t>
      </w:r>
      <w:r>
        <w:rPr>
          <w:rFonts w:hint="eastAsia" w:ascii="宋体" w:hAnsi="宋体"/>
          <w:bCs/>
          <w:color w:val="000000"/>
          <w:sz w:val="24"/>
        </w:rPr>
        <w:t>投标人须保证，招标人在中华人民共和国境内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000000"/>
          <w:sz w:val="24"/>
        </w:rPr>
        <w:t>如因此导致招标人损失的，投标人须承担全部赔偿责任。</w:t>
      </w:r>
    </w:p>
    <w:p w14:paraId="5BE1C574">
      <w:pPr>
        <w:spacing w:line="360" w:lineRule="auto"/>
        <w:ind w:firstLine="480" w:firstLineChars="200"/>
        <w:rPr>
          <w:rFonts w:ascii="宋体" w:hAnsi="宋体"/>
          <w:bCs/>
          <w:color w:val="000000"/>
          <w:sz w:val="24"/>
        </w:rPr>
      </w:pPr>
      <w:r>
        <w:rPr>
          <w:rFonts w:hint="eastAsia" w:ascii="宋体" w:hAnsi="宋体"/>
          <w:bCs/>
          <w:color w:val="000000"/>
          <w:sz w:val="24"/>
        </w:rPr>
        <w:t>6.2投标人如欲在项目实施过程中采用自有知识成果，须在投标文件中声明，并提供相关知识产权证明文件。使用该知识成果后，投标人须提供相应技术文档。</w:t>
      </w:r>
    </w:p>
    <w:p w14:paraId="15E8A80D">
      <w:pPr>
        <w:spacing w:line="360" w:lineRule="auto"/>
        <w:ind w:firstLine="549"/>
        <w:rPr>
          <w:rFonts w:ascii="宋体" w:hAnsi="宋体"/>
          <w:b/>
          <w:color w:val="000000"/>
          <w:sz w:val="24"/>
        </w:rPr>
      </w:pPr>
      <w:r>
        <w:rPr>
          <w:rFonts w:hint="eastAsia" w:ascii="宋体" w:hAnsi="宋体"/>
          <w:b/>
          <w:color w:val="000000"/>
          <w:sz w:val="24"/>
        </w:rPr>
        <w:t>7.纪律与保密</w:t>
      </w:r>
    </w:p>
    <w:p w14:paraId="7CCE97A4">
      <w:pPr>
        <w:spacing w:line="360" w:lineRule="auto"/>
        <w:ind w:firstLine="549"/>
        <w:rPr>
          <w:rFonts w:ascii="宋体" w:hAnsi="宋体"/>
          <w:color w:val="000000"/>
          <w:sz w:val="24"/>
        </w:rPr>
      </w:pPr>
      <w:r>
        <w:rPr>
          <w:rFonts w:hint="eastAsia" w:ascii="宋体" w:hAnsi="宋体"/>
          <w:color w:val="000000"/>
          <w:sz w:val="24"/>
        </w:rPr>
        <w:t>7.1投标人的投标行为应遵守中国的有关法律、法规和规章。</w:t>
      </w:r>
    </w:p>
    <w:p w14:paraId="120D6E08">
      <w:pPr>
        <w:spacing w:line="360" w:lineRule="auto"/>
        <w:ind w:firstLine="549"/>
        <w:rPr>
          <w:rFonts w:ascii="宋体" w:hAnsi="宋体"/>
          <w:color w:val="000000"/>
          <w:sz w:val="24"/>
        </w:rPr>
      </w:pPr>
      <w:r>
        <w:rPr>
          <w:rFonts w:hint="eastAsia" w:ascii="宋体" w:hAnsi="宋体"/>
          <w:color w:val="000000"/>
          <w:sz w:val="24"/>
        </w:rPr>
        <w:t>7.2投标人不得相互串通投标报价，不得妨碍其他投标人的公平竞争，不得损害招标人或其他投标人的合法权益，投标人不得以向招标人、评委会成员行贿或者采取其他不正当手段谋取中标。</w:t>
      </w:r>
    </w:p>
    <w:p w14:paraId="44FCFD2A">
      <w:pPr>
        <w:spacing w:line="360" w:lineRule="auto"/>
        <w:ind w:firstLine="549"/>
        <w:rPr>
          <w:rFonts w:ascii="宋体" w:hAnsi="宋体"/>
          <w:color w:val="000000"/>
          <w:sz w:val="24"/>
        </w:rPr>
      </w:pPr>
      <w:r>
        <w:rPr>
          <w:rFonts w:hint="eastAsia" w:ascii="宋体" w:hAnsi="宋体"/>
          <w:color w:val="000000"/>
          <w:sz w:val="24"/>
        </w:rPr>
        <w:t>7.3在确定中标人之前，投标人不得与招标人就投标价格、投标方案等实质性内容进行谈判，也不得私下接触评委会成员。</w:t>
      </w:r>
    </w:p>
    <w:p w14:paraId="110B8211">
      <w:pPr>
        <w:spacing w:line="360" w:lineRule="auto"/>
        <w:ind w:firstLine="549"/>
        <w:rPr>
          <w:rFonts w:ascii="宋体" w:hAnsi="宋体"/>
          <w:color w:val="000000"/>
          <w:sz w:val="24"/>
        </w:rPr>
      </w:pPr>
      <w:r>
        <w:rPr>
          <w:rFonts w:hint="eastAsia" w:ascii="宋体" w:hAnsi="宋体"/>
          <w:color w:val="000000"/>
          <w:sz w:val="24"/>
        </w:rPr>
        <w:t>7.4在确定中标人之前，投标人试图在投标文件审查、澄清、比较和评价时对评委会、招标人施加任何影响都可能导致其投标无效。</w:t>
      </w:r>
    </w:p>
    <w:p w14:paraId="6C8AF1BC">
      <w:pPr>
        <w:spacing w:line="360" w:lineRule="auto"/>
        <w:ind w:firstLine="549"/>
        <w:rPr>
          <w:rFonts w:ascii="宋体" w:hAnsi="宋体"/>
          <w:b/>
          <w:bCs/>
          <w:color w:val="000000"/>
          <w:sz w:val="24"/>
        </w:rPr>
      </w:pPr>
      <w:r>
        <w:rPr>
          <w:rFonts w:hint="eastAsia" w:ascii="宋体" w:hAnsi="宋体"/>
          <w:color w:val="000000"/>
          <w:sz w:val="24"/>
        </w:rPr>
        <w:t>7.5由招标人向投标人提供的图纸、详细资料、样品、模型、模件和所有其它资料，被视为保密资料，仅被用于它所规定的用途。除非得到招标人的同意，否则不能向任何第三方透露。开标结束后，应招标人要求，投标人应归还所有从招标人处获得的保密资料。</w:t>
      </w:r>
    </w:p>
    <w:p w14:paraId="487481C4">
      <w:pPr>
        <w:spacing w:line="360" w:lineRule="auto"/>
        <w:ind w:firstLine="482" w:firstLineChars="200"/>
        <w:rPr>
          <w:rFonts w:ascii="宋体" w:hAnsi="宋体"/>
          <w:color w:val="000000"/>
          <w:sz w:val="24"/>
        </w:rPr>
      </w:pPr>
      <w:r>
        <w:rPr>
          <w:rFonts w:hint="eastAsia" w:ascii="宋体" w:hAnsi="宋体"/>
          <w:b/>
          <w:color w:val="000000"/>
          <w:sz w:val="24"/>
        </w:rPr>
        <w:t>8.本项目不接受联合体投标</w:t>
      </w:r>
    </w:p>
    <w:p w14:paraId="20013627">
      <w:pPr>
        <w:spacing w:line="360" w:lineRule="auto"/>
        <w:rPr>
          <w:rFonts w:ascii="宋体" w:hAnsi="宋体"/>
          <w:b/>
          <w:bCs/>
          <w:color w:val="000000"/>
          <w:sz w:val="24"/>
        </w:rPr>
      </w:pPr>
      <w:r>
        <w:rPr>
          <w:rFonts w:hint="eastAsia" w:ascii="宋体" w:hAnsi="宋体"/>
          <w:b/>
          <w:bCs/>
          <w:color w:val="000000"/>
          <w:sz w:val="24"/>
        </w:rPr>
        <w:t xml:space="preserve">    9.品牌标准</w:t>
      </w:r>
    </w:p>
    <w:p w14:paraId="050CBAAD">
      <w:pPr>
        <w:spacing w:line="360" w:lineRule="auto"/>
        <w:ind w:firstLine="550"/>
        <w:rPr>
          <w:rFonts w:ascii="宋体" w:hAnsi="宋体"/>
          <w:color w:val="000000"/>
          <w:sz w:val="24"/>
        </w:rPr>
      </w:pPr>
      <w:r>
        <w:rPr>
          <w:rFonts w:hint="eastAsia" w:ascii="宋体" w:hAnsi="宋体"/>
          <w:color w:val="000000"/>
          <w:sz w:val="24"/>
        </w:rPr>
        <w:t>设备应符合相应的标准规范或法规的最新版本或其修正本的要求</w:t>
      </w:r>
      <w:r>
        <w:rPr>
          <w:rFonts w:hint="eastAsia" w:ascii="宋体" w:hAnsi="宋体"/>
          <w:color w:val="000000"/>
          <w:sz w:val="24"/>
          <w:lang w:eastAsia="zh-CN"/>
        </w:rPr>
        <w:t>，</w:t>
      </w:r>
      <w:r>
        <w:rPr>
          <w:rFonts w:hint="eastAsia" w:ascii="宋体" w:hAnsi="宋体"/>
          <w:color w:val="000000"/>
          <w:sz w:val="24"/>
        </w:rPr>
        <w:t>除非另有特别说明，将包括在投标期内有效的任何修正和补充。</w:t>
      </w:r>
    </w:p>
    <w:p w14:paraId="3C60D799">
      <w:pPr>
        <w:spacing w:line="360" w:lineRule="auto"/>
        <w:ind w:firstLine="550"/>
        <w:rPr>
          <w:rFonts w:hint="eastAsia" w:ascii="宋体" w:hAnsi="宋体"/>
          <w:color w:val="000000"/>
          <w:sz w:val="24"/>
        </w:rPr>
      </w:pPr>
      <w:r>
        <w:rPr>
          <w:rFonts w:hint="eastAsia" w:ascii="宋体" w:hAnsi="宋体"/>
          <w:color w:val="000000"/>
          <w:sz w:val="24"/>
        </w:rPr>
        <w:t>除非合同另有规定，均须遵守最新的国家标准（GB）、行业标准（DL）和国际电工委员会</w:t>
      </w:r>
      <w:r>
        <w:rPr>
          <w:rFonts w:hint="eastAsia" w:ascii="宋体" w:hAnsi="宋体"/>
          <w:color w:val="000000"/>
          <w:sz w:val="24"/>
          <w:lang w:eastAsia="zh-CN"/>
        </w:rPr>
        <w:t>（</w:t>
      </w:r>
      <w:r>
        <w:rPr>
          <w:rFonts w:hint="eastAsia" w:ascii="宋体" w:hAnsi="宋体"/>
          <w:color w:val="000000"/>
          <w:sz w:val="24"/>
        </w:rPr>
        <w:t>IEC</w:t>
      </w:r>
      <w:r>
        <w:rPr>
          <w:rFonts w:hint="eastAsia" w:ascii="宋体" w:hAnsi="宋体"/>
          <w:color w:val="000000"/>
          <w:sz w:val="24"/>
          <w:lang w:eastAsia="zh-CN"/>
        </w:rPr>
        <w:t>）</w:t>
      </w:r>
      <w:r>
        <w:rPr>
          <w:rFonts w:hint="eastAsia" w:ascii="宋体" w:hAnsi="宋体"/>
          <w:color w:val="000000"/>
          <w:sz w:val="24"/>
        </w:rPr>
        <w:t>标准以及国际单位制</w:t>
      </w:r>
      <w:r>
        <w:rPr>
          <w:rFonts w:hint="eastAsia" w:ascii="宋体" w:hAnsi="宋体"/>
          <w:color w:val="000000"/>
          <w:sz w:val="24"/>
          <w:lang w:eastAsia="zh-CN"/>
        </w:rPr>
        <w:t>（</w:t>
      </w:r>
      <w:r>
        <w:rPr>
          <w:rFonts w:hint="eastAsia" w:ascii="宋体" w:hAnsi="宋体"/>
          <w:color w:val="000000"/>
          <w:sz w:val="24"/>
        </w:rPr>
        <w:t>SI</w:t>
      </w:r>
      <w:r>
        <w:rPr>
          <w:rFonts w:hint="eastAsia" w:ascii="宋体" w:hAnsi="宋体"/>
          <w:color w:val="000000"/>
          <w:sz w:val="24"/>
          <w:lang w:eastAsia="zh-CN"/>
        </w:rPr>
        <w:t>）</w:t>
      </w:r>
      <w:r>
        <w:rPr>
          <w:rFonts w:hint="eastAsia" w:ascii="宋体" w:hAnsi="宋体"/>
          <w:color w:val="000000"/>
          <w:sz w:val="24"/>
        </w:rPr>
        <w:t>标准。如采用合资或合作产品，还应遵守合作方国家标准，当上述标准不一致时按高标准执行。</w:t>
      </w:r>
    </w:p>
    <w:p w14:paraId="45E967C6">
      <w:pPr>
        <w:spacing w:line="360" w:lineRule="auto"/>
        <w:ind w:firstLine="550"/>
        <w:rPr>
          <w:rFonts w:hint="eastAsia" w:ascii="宋体" w:hAnsi="宋体"/>
          <w:color w:val="000000"/>
          <w:sz w:val="24"/>
          <w:lang w:val="en-US" w:eastAsia="zh-CN"/>
        </w:rPr>
      </w:pPr>
      <w:r>
        <w:rPr>
          <w:rFonts w:hint="eastAsia" w:ascii="宋体" w:hAnsi="宋体"/>
          <w:color w:val="000000"/>
          <w:sz w:val="24"/>
          <w:lang w:val="en-US" w:eastAsia="zh-CN"/>
        </w:rPr>
        <w:t>光伏组件选用标准：为确保光伏电站可靠经济运行，以及设备厂家能快速本地化响应售后，投标方一旦获得建设资格，需确保选用光伏组件为以下三个品牌（通威太阳能，天合光能、晶科能源），从而达到良好的本地化服务。</w:t>
      </w:r>
    </w:p>
    <w:p w14:paraId="0C3D1C96">
      <w:pPr>
        <w:spacing w:line="360" w:lineRule="auto"/>
        <w:ind w:firstLine="550"/>
        <w:rPr>
          <w:rFonts w:ascii="宋体" w:hAnsi="宋体"/>
          <w:b/>
          <w:bCs/>
          <w:color w:val="000000"/>
          <w:sz w:val="24"/>
        </w:rPr>
      </w:pPr>
      <w:r>
        <w:rPr>
          <w:rFonts w:hint="eastAsia" w:ascii="宋体" w:hAnsi="宋体"/>
          <w:b/>
          <w:bCs/>
          <w:color w:val="000000"/>
          <w:sz w:val="24"/>
        </w:rPr>
        <w:t>10.合同标的转让</w:t>
      </w:r>
    </w:p>
    <w:p w14:paraId="532EA103">
      <w:pPr>
        <w:spacing w:line="360" w:lineRule="auto"/>
        <w:ind w:firstLine="523" w:firstLineChars="218"/>
        <w:rPr>
          <w:rFonts w:ascii="宋体" w:hAnsi="宋体"/>
          <w:color w:val="000000"/>
          <w:sz w:val="24"/>
          <w:highlight w:val="none"/>
        </w:rPr>
      </w:pPr>
      <w:r>
        <w:rPr>
          <w:rFonts w:hint="eastAsia" w:ascii="宋体" w:hAnsi="宋体"/>
          <w:color w:val="000000"/>
          <w:sz w:val="24"/>
          <w:lang w:val="en-US" w:eastAsia="zh-CN"/>
        </w:rPr>
        <w:t>10.1合同能源管理项目合作期（20+5年）内，中标人不得向他人转让中标项目</w:t>
      </w:r>
      <w:r>
        <w:rPr>
          <w:rFonts w:hint="eastAsia" w:ascii="宋体" w:hAnsi="宋体"/>
          <w:color w:val="000000"/>
          <w:sz w:val="24"/>
          <w:highlight w:val="none"/>
        </w:rPr>
        <w:t>。</w:t>
      </w:r>
    </w:p>
    <w:p w14:paraId="61F40445">
      <w:pPr>
        <w:spacing w:line="360" w:lineRule="auto"/>
        <w:ind w:firstLine="482" w:firstLineChars="200"/>
        <w:rPr>
          <w:rFonts w:ascii="宋体" w:hAnsi="宋体"/>
          <w:b/>
          <w:bCs/>
          <w:color w:val="000000"/>
          <w:sz w:val="24"/>
        </w:rPr>
      </w:pPr>
      <w:r>
        <w:rPr>
          <w:rFonts w:hint="eastAsia" w:ascii="宋体" w:hAnsi="宋体"/>
          <w:b/>
          <w:bCs/>
          <w:color w:val="000000"/>
          <w:sz w:val="24"/>
        </w:rPr>
        <w:t>11.招标信息的发布</w:t>
      </w:r>
    </w:p>
    <w:p w14:paraId="06DDA984">
      <w:pPr>
        <w:spacing w:line="360" w:lineRule="auto"/>
        <w:ind w:firstLine="523" w:firstLineChars="218"/>
        <w:rPr>
          <w:rFonts w:ascii="宋体" w:hAnsi="宋体"/>
          <w:color w:val="000000"/>
          <w:sz w:val="24"/>
        </w:rPr>
      </w:pPr>
      <w:r>
        <w:rPr>
          <w:rFonts w:hint="eastAsia" w:ascii="宋体" w:hAnsi="宋体"/>
          <w:color w:val="000000"/>
          <w:sz w:val="24"/>
        </w:rPr>
        <w:t>11.1与本项目相关的信息，将按照投标人须知前附表规定的时间和方式发布。</w:t>
      </w:r>
    </w:p>
    <w:p w14:paraId="11FB3F59">
      <w:pPr>
        <w:pStyle w:val="7"/>
        <w:spacing w:before="0" w:after="0" w:line="360" w:lineRule="auto"/>
        <w:rPr>
          <w:rFonts w:hAnsi="宋体"/>
          <w:color w:val="000000"/>
          <w:sz w:val="28"/>
        </w:rPr>
      </w:pPr>
      <w:bookmarkStart w:id="43" w:name="_Toc1479824"/>
      <w:bookmarkStart w:id="44" w:name="_Toc1479961"/>
      <w:bookmarkStart w:id="45" w:name="_Toc23153"/>
      <w:r>
        <w:rPr>
          <w:rFonts w:hint="eastAsia" w:hAnsi="宋体"/>
          <w:color w:val="000000"/>
          <w:sz w:val="28"/>
        </w:rPr>
        <w:t>二、招标文件</w:t>
      </w:r>
      <w:bookmarkEnd w:id="43"/>
      <w:bookmarkEnd w:id="44"/>
      <w:bookmarkEnd w:id="45"/>
      <w:bookmarkStart w:id="46" w:name="_Hlt509649930"/>
      <w:bookmarkEnd w:id="46"/>
      <w:bookmarkStart w:id="47" w:name="_Hlt509650361"/>
      <w:bookmarkEnd w:id="47"/>
      <w:bookmarkStart w:id="48" w:name="_Hlt509649791"/>
      <w:bookmarkEnd w:id="48"/>
    </w:p>
    <w:p w14:paraId="4F09A412">
      <w:pPr>
        <w:spacing w:line="360" w:lineRule="auto"/>
        <w:ind w:firstLine="549"/>
        <w:rPr>
          <w:rFonts w:ascii="宋体" w:hAnsi="宋体"/>
          <w:b/>
          <w:color w:val="000000"/>
          <w:sz w:val="24"/>
        </w:rPr>
      </w:pPr>
      <w:bookmarkStart w:id="49" w:name="_Hlt509650734"/>
      <w:bookmarkEnd w:id="49"/>
      <w:r>
        <w:rPr>
          <w:rFonts w:hint="eastAsia" w:ascii="宋体" w:hAnsi="宋体"/>
          <w:b/>
          <w:color w:val="000000"/>
          <w:sz w:val="24"/>
        </w:rPr>
        <w:t>12.招标文件构成</w:t>
      </w:r>
    </w:p>
    <w:p w14:paraId="10272A63">
      <w:pPr>
        <w:spacing w:line="360" w:lineRule="auto"/>
        <w:ind w:firstLine="549"/>
        <w:rPr>
          <w:rFonts w:ascii="宋体" w:hAnsi="宋体"/>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招标文件包括以下部分：</w:t>
      </w:r>
    </w:p>
    <w:p w14:paraId="4FB02A82">
      <w:pPr>
        <w:spacing w:line="360" w:lineRule="auto"/>
        <w:ind w:firstLine="523" w:firstLineChars="218"/>
        <w:rPr>
          <w:rFonts w:ascii="宋体" w:hAnsi="宋体"/>
          <w:bCs/>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.1第一章：</w:t>
      </w:r>
      <w:r>
        <w:rPr>
          <w:rFonts w:hint="eastAsia" w:ascii="宋体" w:hAnsi="宋体"/>
          <w:bCs/>
          <w:color w:val="000000"/>
          <w:sz w:val="24"/>
        </w:rPr>
        <w:t>招标公告；</w:t>
      </w:r>
    </w:p>
    <w:p w14:paraId="73436765">
      <w:pPr>
        <w:spacing w:line="360" w:lineRule="auto"/>
        <w:ind w:firstLine="523" w:firstLineChars="218"/>
        <w:rPr>
          <w:rFonts w:ascii="宋体" w:hAnsi="宋体"/>
          <w:bCs/>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.2第二章：</w:t>
      </w:r>
      <w:bookmarkStart w:id="50" w:name="_Hlt509650925"/>
      <w:bookmarkEnd w:id="50"/>
      <w:r>
        <w:rPr>
          <w:rFonts w:hint="eastAsia" w:ascii="宋体" w:hAnsi="宋体"/>
          <w:bCs/>
          <w:color w:val="000000"/>
          <w:sz w:val="24"/>
        </w:rPr>
        <w:t>投标人须知前附表；</w:t>
      </w:r>
    </w:p>
    <w:p w14:paraId="22C974FA">
      <w:pPr>
        <w:spacing w:line="360" w:lineRule="auto"/>
        <w:ind w:firstLine="523" w:firstLineChars="218"/>
        <w:rPr>
          <w:rFonts w:ascii="宋体" w:hAnsi="宋体"/>
          <w:bCs/>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.3第三章：</w:t>
      </w:r>
      <w:r>
        <w:rPr>
          <w:rFonts w:hint="eastAsia" w:ascii="宋体" w:hAnsi="宋体"/>
          <w:bCs/>
          <w:color w:val="000000"/>
          <w:sz w:val="24"/>
        </w:rPr>
        <w:t>服务需求；</w:t>
      </w:r>
    </w:p>
    <w:p w14:paraId="4D110E5A">
      <w:pPr>
        <w:spacing w:line="360" w:lineRule="auto"/>
        <w:ind w:firstLine="523" w:firstLineChars="218"/>
        <w:rPr>
          <w:rFonts w:ascii="宋体" w:hAnsi="宋体"/>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.4第四章：</w:t>
      </w:r>
      <w:r>
        <w:rPr>
          <w:rFonts w:hint="eastAsia" w:ascii="宋体" w:hAnsi="宋体"/>
          <w:bCs/>
          <w:color w:val="000000"/>
          <w:sz w:val="24"/>
        </w:rPr>
        <w:t>评标办法；</w:t>
      </w:r>
    </w:p>
    <w:p w14:paraId="05110F68">
      <w:pPr>
        <w:spacing w:line="360" w:lineRule="auto"/>
        <w:ind w:firstLine="523" w:firstLineChars="218"/>
        <w:rPr>
          <w:rFonts w:ascii="宋体" w:hAnsi="宋体"/>
          <w:bCs/>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.5第五章：</w:t>
      </w:r>
      <w:r>
        <w:rPr>
          <w:rFonts w:hint="eastAsia" w:ascii="宋体" w:hAnsi="宋体"/>
          <w:bCs/>
          <w:color w:val="000000"/>
          <w:sz w:val="24"/>
        </w:rPr>
        <w:t>投标人须知；</w:t>
      </w:r>
    </w:p>
    <w:p w14:paraId="7D58A9FA">
      <w:pPr>
        <w:spacing w:line="360" w:lineRule="auto"/>
        <w:ind w:firstLine="523" w:firstLineChars="218"/>
        <w:rPr>
          <w:rFonts w:ascii="宋体" w:hAnsi="宋体"/>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.6第六章：服务合同；</w:t>
      </w:r>
    </w:p>
    <w:p w14:paraId="71001E18">
      <w:pPr>
        <w:spacing w:line="360" w:lineRule="auto"/>
        <w:ind w:firstLine="523" w:firstLineChars="218"/>
        <w:rPr>
          <w:rFonts w:ascii="宋体" w:hAnsi="宋体"/>
          <w:color w:val="000000"/>
          <w:sz w:val="24"/>
        </w:rPr>
      </w:pPr>
      <w:r>
        <w:rPr>
          <w:rFonts w:hint="eastAsia" w:ascii="宋体" w:hAnsi="宋体"/>
          <w:color w:val="000000"/>
          <w:sz w:val="24"/>
        </w:rPr>
        <w:t>12</w:t>
      </w:r>
      <w:r>
        <w:rPr>
          <w:rFonts w:ascii="宋体" w:hAnsi="宋体"/>
          <w:color w:val="000000"/>
          <w:sz w:val="24"/>
        </w:rPr>
        <w:t>.1</w:t>
      </w:r>
      <w:r>
        <w:rPr>
          <w:rFonts w:hint="eastAsia" w:ascii="宋体" w:hAnsi="宋体"/>
          <w:color w:val="000000"/>
          <w:sz w:val="24"/>
        </w:rPr>
        <w:t>.7第七章：投标文件格式；</w:t>
      </w:r>
    </w:p>
    <w:p w14:paraId="0A67AFFB">
      <w:pPr>
        <w:spacing w:line="360" w:lineRule="auto"/>
        <w:ind w:firstLine="549"/>
        <w:rPr>
          <w:rFonts w:ascii="宋体" w:hAnsi="宋体"/>
          <w:color w:val="000000"/>
          <w:sz w:val="24"/>
        </w:rPr>
      </w:pPr>
      <w:r>
        <w:rPr>
          <w:rFonts w:hint="eastAsia" w:ascii="宋体" w:hAnsi="宋体"/>
          <w:color w:val="000000"/>
          <w:sz w:val="24"/>
        </w:rPr>
        <w:t>12</w:t>
      </w:r>
      <w:r>
        <w:rPr>
          <w:rFonts w:ascii="宋体" w:hAnsi="宋体"/>
          <w:color w:val="000000"/>
          <w:sz w:val="24"/>
        </w:rPr>
        <w:t>.</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投标人应认真阅读招标文件中所有的事项、格式、条件、条款和规范等要求。</w:t>
      </w:r>
    </w:p>
    <w:p w14:paraId="7C74C87B">
      <w:pPr>
        <w:spacing w:line="360" w:lineRule="auto"/>
        <w:ind w:firstLine="550"/>
        <w:rPr>
          <w:rFonts w:ascii="宋体" w:hAnsi="宋体"/>
          <w:color w:val="000000"/>
          <w:sz w:val="24"/>
        </w:rPr>
      </w:pPr>
      <w:r>
        <w:rPr>
          <w:rFonts w:hint="eastAsia" w:ascii="宋体" w:hAnsi="宋体"/>
          <w:color w:val="000000"/>
          <w:sz w:val="24"/>
        </w:rPr>
        <w:t>12.3 投标人应当按照招标文件的要求编制投标文件。投标文件应对招标文件提出的要求和条件作出实质性响应。</w:t>
      </w:r>
    </w:p>
    <w:p w14:paraId="552CF839">
      <w:pPr>
        <w:spacing w:line="360" w:lineRule="auto"/>
        <w:ind w:firstLine="550"/>
        <w:rPr>
          <w:rFonts w:ascii="宋体" w:hAnsi="宋体"/>
          <w:color w:val="000000"/>
          <w:sz w:val="24"/>
        </w:rPr>
      </w:pPr>
      <w:r>
        <w:rPr>
          <w:rFonts w:hint="eastAsia" w:ascii="宋体" w:hAnsi="宋体"/>
          <w:color w:val="000000"/>
          <w:sz w:val="24"/>
        </w:rPr>
        <w:t>12.4投标人获取招标文件后，应仔细检查招标文件的所有内容，如有残缺等问题应在投标人须知前附表规定的时间内向招标方提出，否则，由此引起的损失由投标人自行承担。</w:t>
      </w:r>
    </w:p>
    <w:p w14:paraId="2A7C62DC">
      <w:pPr>
        <w:spacing w:line="360" w:lineRule="auto"/>
        <w:ind w:firstLine="550"/>
        <w:rPr>
          <w:rFonts w:ascii="宋体" w:hAnsi="宋体"/>
          <w:b/>
          <w:color w:val="000000"/>
          <w:sz w:val="24"/>
        </w:rPr>
      </w:pPr>
      <w:r>
        <w:rPr>
          <w:rFonts w:hint="eastAsia" w:ascii="宋体" w:hAnsi="宋体"/>
          <w:b/>
          <w:color w:val="000000"/>
          <w:sz w:val="24"/>
        </w:rPr>
        <w:t>13.招标文件的澄清与修改</w:t>
      </w:r>
    </w:p>
    <w:p w14:paraId="5365639E">
      <w:pPr>
        <w:spacing w:line="360" w:lineRule="auto"/>
        <w:ind w:firstLine="550"/>
        <w:rPr>
          <w:rFonts w:ascii="宋体" w:hAnsi="宋体"/>
          <w:color w:val="000000"/>
          <w:sz w:val="24"/>
        </w:rPr>
      </w:pPr>
      <w:r>
        <w:rPr>
          <w:rFonts w:hint="eastAsia" w:ascii="宋体" w:hAnsi="宋体"/>
          <w:color w:val="000000"/>
          <w:sz w:val="24"/>
        </w:rPr>
        <w:t>13</w:t>
      </w:r>
      <w:r>
        <w:rPr>
          <w:rFonts w:ascii="宋体" w:hAnsi="宋体"/>
          <w:color w:val="000000"/>
          <w:sz w:val="24"/>
        </w:rPr>
        <w:t>.</w:t>
      </w:r>
      <w:r>
        <w:rPr>
          <w:rFonts w:hint="eastAsia" w:ascii="宋体" w:hAnsi="宋体"/>
          <w:color w:val="000000"/>
          <w:sz w:val="24"/>
        </w:rPr>
        <w:t>1任何要求澄清招标文件的投标人，均应于投标人须知前附表列明的答疑接受时间前，以书面形式向招标方提出。</w:t>
      </w:r>
    </w:p>
    <w:p w14:paraId="02689709">
      <w:pPr>
        <w:spacing w:line="360" w:lineRule="auto"/>
        <w:ind w:firstLine="550"/>
        <w:rPr>
          <w:rFonts w:ascii="宋体" w:hAnsi="宋体"/>
          <w:color w:val="000000"/>
          <w:sz w:val="24"/>
        </w:rPr>
      </w:pPr>
      <w:r>
        <w:rPr>
          <w:rFonts w:hint="eastAsia" w:ascii="宋体" w:hAnsi="宋体"/>
          <w:color w:val="000000"/>
          <w:sz w:val="24"/>
        </w:rPr>
        <w:t>13.2招标人对招标文件进行的澄清、更正或更改，将按照投标人须知前附表规定方式及时发布，该内容为招标文件的组成部分，对投标人具有约束力。投标人应主动查询。招标人不承担投标人未及时关注相关信息的责任。</w:t>
      </w:r>
    </w:p>
    <w:p w14:paraId="0B42C377">
      <w:pPr>
        <w:spacing w:line="360" w:lineRule="auto"/>
        <w:ind w:firstLine="550"/>
        <w:rPr>
          <w:rFonts w:ascii="宋体" w:hAnsi="宋体"/>
          <w:color w:val="000000"/>
          <w:sz w:val="24"/>
        </w:rPr>
      </w:pPr>
      <w:r>
        <w:rPr>
          <w:rFonts w:hint="eastAsia" w:ascii="宋体" w:hAnsi="宋体"/>
          <w:color w:val="000000"/>
          <w:sz w:val="24"/>
        </w:rPr>
        <w:t>13.3在投标截止时间前，招标人可以视具体情况，延长投标截止时间和开标时间，并在招标文件要求提交投标文件的截止时间前，在官方网站上发布变更公告。在上述情况下，招标人和投标人在投标截止期方面的全部权力、责任和义务，将适用于延长后新的投标截止期。</w:t>
      </w:r>
    </w:p>
    <w:p w14:paraId="2E1EA119">
      <w:pPr>
        <w:spacing w:line="360" w:lineRule="auto"/>
        <w:ind w:firstLine="550"/>
        <w:rPr>
          <w:rFonts w:ascii="宋体" w:hAnsi="宋体"/>
          <w:b/>
          <w:bCs/>
          <w:color w:val="000000"/>
          <w:sz w:val="28"/>
        </w:rPr>
      </w:pPr>
      <w:r>
        <w:rPr>
          <w:rFonts w:hint="eastAsia" w:ascii="宋体" w:hAnsi="宋体"/>
          <w:b/>
          <w:bCs/>
          <w:color w:val="000000"/>
          <w:sz w:val="24"/>
        </w:rPr>
        <w:t>13.4特殊情况下，招标人发布澄清、更正或更改公告后，投标人无异议的，可不改变投标截止时间和开标时间。</w:t>
      </w:r>
    </w:p>
    <w:p w14:paraId="5EA9672B">
      <w:pPr>
        <w:pStyle w:val="7"/>
        <w:spacing w:before="0" w:after="0" w:line="360" w:lineRule="auto"/>
        <w:ind w:firstLine="628"/>
        <w:rPr>
          <w:rFonts w:hAnsi="宋体"/>
          <w:color w:val="000000"/>
          <w:sz w:val="28"/>
        </w:rPr>
      </w:pPr>
      <w:bookmarkStart w:id="51" w:name="_Hlt509650697"/>
      <w:bookmarkEnd w:id="51"/>
      <w:bookmarkStart w:id="52" w:name="_Hlt510342861"/>
      <w:bookmarkEnd w:id="52"/>
      <w:bookmarkStart w:id="53" w:name="_Hlt509649724"/>
      <w:bookmarkEnd w:id="53"/>
      <w:bookmarkStart w:id="54" w:name="_Toc1479962"/>
      <w:bookmarkStart w:id="55" w:name="_Toc260081060"/>
      <w:bookmarkStart w:id="56" w:name="_Toc1479825"/>
      <w:bookmarkStart w:id="57" w:name="_Toc956"/>
      <w:r>
        <w:rPr>
          <w:rFonts w:hint="eastAsia" w:hAnsi="宋体"/>
          <w:color w:val="000000"/>
          <w:sz w:val="28"/>
        </w:rPr>
        <w:t>三、投标文件的编制</w:t>
      </w:r>
      <w:bookmarkEnd w:id="54"/>
      <w:bookmarkEnd w:id="55"/>
      <w:bookmarkEnd w:id="56"/>
      <w:bookmarkEnd w:id="57"/>
    </w:p>
    <w:p w14:paraId="434BA241">
      <w:pPr>
        <w:spacing w:line="360" w:lineRule="auto"/>
        <w:ind w:firstLine="550"/>
        <w:rPr>
          <w:rFonts w:ascii="宋体" w:hAnsi="宋体"/>
          <w:b/>
          <w:color w:val="000000"/>
          <w:sz w:val="24"/>
        </w:rPr>
      </w:pPr>
      <w:r>
        <w:rPr>
          <w:rFonts w:hint="eastAsia" w:ascii="宋体" w:hAnsi="宋体"/>
          <w:b/>
          <w:color w:val="000000"/>
          <w:sz w:val="24"/>
        </w:rPr>
        <w:t>14.投标文件构成与格式</w:t>
      </w:r>
    </w:p>
    <w:p w14:paraId="4DABB8BE">
      <w:pPr>
        <w:spacing w:line="360" w:lineRule="auto"/>
        <w:ind w:firstLine="550"/>
        <w:rPr>
          <w:rFonts w:ascii="宋体" w:hAnsi="宋体"/>
          <w:color w:val="000000"/>
          <w:sz w:val="24"/>
        </w:rPr>
      </w:pPr>
      <w:bookmarkStart w:id="58" w:name="_Hlt509650345"/>
      <w:bookmarkEnd w:id="58"/>
      <w:r>
        <w:rPr>
          <w:rFonts w:hint="eastAsia" w:ascii="宋体" w:hAnsi="宋体"/>
          <w:color w:val="000000"/>
          <w:sz w:val="24"/>
        </w:rPr>
        <w:t>14.1投标文件是对招标文件的实质性响应及承诺文件。</w:t>
      </w:r>
    </w:p>
    <w:p w14:paraId="1797FDF0">
      <w:pPr>
        <w:spacing w:line="360" w:lineRule="auto"/>
        <w:ind w:firstLine="550"/>
        <w:jc w:val="left"/>
        <w:rPr>
          <w:rFonts w:ascii="宋体" w:hAnsi="宋体"/>
          <w:color w:val="000000"/>
          <w:sz w:val="24"/>
        </w:rPr>
      </w:pPr>
      <w:r>
        <w:rPr>
          <w:rFonts w:hint="eastAsia" w:ascii="宋体" w:hAnsi="宋体"/>
          <w:color w:val="000000"/>
          <w:sz w:val="24"/>
        </w:rPr>
        <w:t>14.2</w:t>
      </w:r>
      <w:r>
        <w:rPr>
          <w:rFonts w:hint="eastAsia" w:ascii="宋体" w:hAnsi="宋体"/>
          <w:bCs/>
          <w:color w:val="000000"/>
          <w:sz w:val="24"/>
        </w:rPr>
        <w:t>除非注明“投标人可自行制作格式”，投标文件应使用招标文件提供的格式。</w:t>
      </w:r>
    </w:p>
    <w:p w14:paraId="7D3371C6">
      <w:pPr>
        <w:spacing w:line="360" w:lineRule="auto"/>
        <w:ind w:firstLine="550"/>
        <w:jc w:val="left"/>
        <w:rPr>
          <w:rFonts w:ascii="宋体" w:hAnsi="宋体"/>
          <w:color w:val="000000"/>
          <w:sz w:val="24"/>
        </w:rPr>
      </w:pPr>
      <w:r>
        <w:rPr>
          <w:rFonts w:hint="eastAsia" w:ascii="宋体" w:hAnsi="宋体"/>
          <w:bCs/>
          <w:color w:val="000000"/>
          <w:sz w:val="24"/>
        </w:rPr>
        <w:t>14.3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14:paraId="2271368F">
      <w:pPr>
        <w:spacing w:line="360" w:lineRule="auto"/>
        <w:ind w:firstLine="550"/>
        <w:rPr>
          <w:rFonts w:ascii="宋体" w:hAnsi="宋体"/>
          <w:color w:val="000000"/>
          <w:sz w:val="24"/>
        </w:rPr>
      </w:pPr>
      <w:r>
        <w:rPr>
          <w:rFonts w:hint="eastAsia" w:ascii="宋体" w:hAnsi="宋体"/>
          <w:color w:val="000000"/>
          <w:sz w:val="24"/>
        </w:rPr>
        <w:t>14.4除非招标文件另有规定，投标文件应使用中华人民共和国法定计量单位。</w:t>
      </w:r>
    </w:p>
    <w:p w14:paraId="4CCF57B0">
      <w:pPr>
        <w:spacing w:line="360" w:lineRule="auto"/>
        <w:ind w:firstLine="550"/>
        <w:jc w:val="left"/>
        <w:rPr>
          <w:rFonts w:ascii="宋体" w:hAnsi="宋体"/>
          <w:color w:val="000000"/>
          <w:sz w:val="24"/>
        </w:rPr>
      </w:pPr>
      <w:r>
        <w:rPr>
          <w:rFonts w:hint="eastAsia" w:ascii="宋体" w:hAnsi="宋体"/>
          <w:color w:val="000000"/>
          <w:sz w:val="24"/>
        </w:rPr>
        <w:t>14.5除非招标文件另有规定，投标文件应使用人民币填报所有报价。允许以多种货币报价的，应当按照中国银行在开标日公布的汇率中间价换算成人民币。</w:t>
      </w:r>
    </w:p>
    <w:p w14:paraId="0E884853">
      <w:pPr>
        <w:spacing w:line="360" w:lineRule="auto"/>
        <w:ind w:firstLine="550"/>
        <w:jc w:val="left"/>
        <w:rPr>
          <w:rFonts w:ascii="宋体" w:hAnsi="宋体"/>
          <w:color w:val="000000"/>
          <w:sz w:val="24"/>
        </w:rPr>
      </w:pPr>
      <w:r>
        <w:rPr>
          <w:rFonts w:hint="eastAsia" w:ascii="宋体" w:hAnsi="宋体"/>
          <w:color w:val="000000"/>
          <w:sz w:val="24"/>
        </w:rPr>
        <w:t>14.6投标文件应编制连续页码。投标文件除特殊规格的图纸或方案、图片资料等外，均应按A4规格制作，为节约和环保，建议投标文件双面打印。</w:t>
      </w:r>
    </w:p>
    <w:p w14:paraId="631AA8FD">
      <w:pPr>
        <w:spacing w:line="360" w:lineRule="auto"/>
        <w:ind w:firstLine="550"/>
        <w:rPr>
          <w:rFonts w:ascii="宋体" w:hAnsi="宋体"/>
          <w:color w:val="000000"/>
          <w:sz w:val="24"/>
        </w:rPr>
      </w:pPr>
      <w:r>
        <w:rPr>
          <w:rFonts w:hint="eastAsia" w:ascii="宋体" w:hAnsi="宋体"/>
          <w:color w:val="000000"/>
          <w:sz w:val="24"/>
        </w:rPr>
        <w:t>14.7电报、电话、传真形式的投标概不接受。</w:t>
      </w:r>
    </w:p>
    <w:p w14:paraId="42DF8509">
      <w:pPr>
        <w:spacing w:line="360" w:lineRule="auto"/>
        <w:ind w:firstLine="550"/>
        <w:rPr>
          <w:rFonts w:ascii="宋体" w:hAnsi="宋体"/>
          <w:color w:val="000000"/>
          <w:sz w:val="24"/>
        </w:rPr>
      </w:pPr>
      <w:r>
        <w:rPr>
          <w:rFonts w:hint="eastAsia" w:ascii="宋体" w:hAnsi="宋体"/>
          <w:color w:val="000000"/>
          <w:sz w:val="24"/>
        </w:rPr>
        <w:t>14.8开标后招标人一律不予退还投标人的投标文件。</w:t>
      </w:r>
    </w:p>
    <w:p w14:paraId="0CC2F47F">
      <w:pPr>
        <w:spacing w:line="360" w:lineRule="auto"/>
        <w:ind w:firstLine="550"/>
        <w:rPr>
          <w:rFonts w:ascii="宋体" w:hAnsi="宋体"/>
          <w:color w:val="000000"/>
          <w:sz w:val="24"/>
        </w:rPr>
      </w:pPr>
      <w:r>
        <w:rPr>
          <w:rFonts w:hint="eastAsia" w:ascii="宋体" w:hAnsi="宋体"/>
          <w:b/>
          <w:color w:val="000000"/>
          <w:sz w:val="24"/>
        </w:rPr>
        <w:t>15.报价</w:t>
      </w:r>
    </w:p>
    <w:p w14:paraId="40AF6657">
      <w:pPr>
        <w:spacing w:line="360" w:lineRule="auto"/>
        <w:ind w:firstLine="550"/>
        <w:rPr>
          <w:rFonts w:ascii="宋体" w:hAnsi="宋体"/>
          <w:color w:val="FF0000"/>
          <w:sz w:val="24"/>
        </w:rPr>
      </w:pPr>
      <w:r>
        <w:rPr>
          <w:rFonts w:hint="eastAsia" w:ascii="宋体" w:hAnsi="宋体"/>
          <w:color w:val="000000"/>
          <w:sz w:val="24"/>
        </w:rPr>
        <w:t>15.1投标人的报价是投标方投资建设运营的屋顶光伏电站发电与招标方使用的结算价格。</w:t>
      </w:r>
      <w:r>
        <w:rPr>
          <w:rFonts w:hint="eastAsia" w:ascii="宋体" w:hAnsi="宋体"/>
          <w:color w:val="FF0000"/>
          <w:sz w:val="24"/>
        </w:rPr>
        <w:t xml:space="preserve"> </w:t>
      </w:r>
    </w:p>
    <w:p w14:paraId="777690AA">
      <w:pPr>
        <w:spacing w:line="360" w:lineRule="auto"/>
        <w:ind w:firstLine="549"/>
        <w:rPr>
          <w:rFonts w:ascii="宋体" w:hAnsi="宋体"/>
          <w:b/>
          <w:bCs/>
          <w:color w:val="000000"/>
          <w:sz w:val="24"/>
        </w:rPr>
      </w:pPr>
      <w:r>
        <w:rPr>
          <w:rFonts w:hint="eastAsia" w:ascii="宋体" w:hAnsi="宋体"/>
          <w:b/>
          <w:bCs/>
          <w:color w:val="000000"/>
          <w:sz w:val="24"/>
        </w:rPr>
        <w:t>16.投标内容填写及说明</w:t>
      </w:r>
    </w:p>
    <w:p w14:paraId="213DB54F">
      <w:pPr>
        <w:spacing w:line="360" w:lineRule="auto"/>
        <w:ind w:firstLine="549"/>
        <w:rPr>
          <w:rFonts w:ascii="宋体" w:hAnsi="宋体"/>
          <w:color w:val="000000"/>
          <w:sz w:val="24"/>
          <w:u w:val="single"/>
        </w:rPr>
      </w:pPr>
      <w:r>
        <w:rPr>
          <w:rFonts w:hint="eastAsia" w:ascii="宋体" w:hAnsi="宋体"/>
          <w:color w:val="000000"/>
          <w:sz w:val="24"/>
        </w:rPr>
        <w:t>16.1投标文件须对招标文件载明的投标资格、资信、服务、报价等全部要求和条件做出实质性和完整的响应，如果投标文件填报的内容资料不详，或没有提供招标文件中所要求的全部资料、证明及数据，将导致投标无效。</w:t>
      </w:r>
    </w:p>
    <w:p w14:paraId="4747F466">
      <w:pPr>
        <w:spacing w:line="360" w:lineRule="auto"/>
        <w:ind w:firstLine="549"/>
        <w:rPr>
          <w:rFonts w:ascii="宋体" w:hAnsi="宋体"/>
          <w:color w:val="000000"/>
          <w:sz w:val="24"/>
        </w:rPr>
      </w:pPr>
      <w:r>
        <w:rPr>
          <w:rFonts w:hint="eastAsia" w:ascii="宋体" w:hAnsi="宋体"/>
          <w:color w:val="000000"/>
          <w:sz w:val="24"/>
        </w:rPr>
        <w:t>16.2投标人应在投标文件中提交招标文件要求的有关证明文件，作为其投标文件的一部分。</w:t>
      </w:r>
    </w:p>
    <w:p w14:paraId="618DB489">
      <w:pPr>
        <w:spacing w:line="360" w:lineRule="auto"/>
        <w:ind w:firstLine="523" w:firstLineChars="218"/>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.3</w:t>
      </w:r>
      <w:r>
        <w:rPr>
          <w:rFonts w:hint="eastAsia" w:ascii="宋体" w:hAnsi="宋体"/>
          <w:color w:val="000000"/>
          <w:sz w:val="24"/>
        </w:rPr>
        <w:t>投标文件应字迹清楚、编排有序、内容齐全、不得涂改或增删。如有错漏处须修改，应在修改处加盖投标人公章。</w:t>
      </w:r>
    </w:p>
    <w:p w14:paraId="35D76CFA">
      <w:pPr>
        <w:spacing w:line="360" w:lineRule="auto"/>
        <w:ind w:firstLine="523" w:firstLineChars="218"/>
        <w:rPr>
          <w:rFonts w:ascii="宋体" w:hAnsi="宋体"/>
          <w:color w:val="000000"/>
          <w:sz w:val="24"/>
        </w:rPr>
      </w:pPr>
      <w:r>
        <w:rPr>
          <w:rFonts w:hint="eastAsia" w:ascii="宋体" w:hAnsi="宋体"/>
          <w:color w:val="000000"/>
          <w:sz w:val="24"/>
        </w:rPr>
        <w:t>16.</w:t>
      </w:r>
      <w:r>
        <w:rPr>
          <w:rFonts w:ascii="宋体" w:hAnsi="宋体"/>
          <w:color w:val="000000"/>
          <w:sz w:val="24"/>
        </w:rPr>
        <w:t>4</w:t>
      </w:r>
      <w:r>
        <w:rPr>
          <w:rFonts w:hint="eastAsia" w:ascii="宋体" w:hAnsi="宋体"/>
          <w:color w:val="000000"/>
          <w:sz w:val="24"/>
        </w:rPr>
        <w:t>投标人应对投标文件中所有材料的真实性负责，如发现提供虚假材料，则招标人或招投标监督管理部门应按照法律法规的标准从重处罚。</w:t>
      </w:r>
    </w:p>
    <w:p w14:paraId="2F1F8633">
      <w:pPr>
        <w:spacing w:line="360" w:lineRule="auto"/>
        <w:ind w:firstLine="549"/>
        <w:rPr>
          <w:rFonts w:ascii="宋体" w:hAnsi="宋体"/>
          <w:b/>
          <w:color w:val="000000"/>
          <w:sz w:val="24"/>
        </w:rPr>
      </w:pPr>
      <w:r>
        <w:rPr>
          <w:rFonts w:hint="eastAsia" w:ascii="宋体" w:hAnsi="宋体"/>
          <w:b/>
          <w:color w:val="000000"/>
          <w:sz w:val="24"/>
        </w:rPr>
        <w:t>17.投标保证金</w:t>
      </w:r>
    </w:p>
    <w:p w14:paraId="66495E96">
      <w:pPr>
        <w:spacing w:line="360" w:lineRule="auto"/>
        <w:ind w:firstLine="549"/>
        <w:rPr>
          <w:rFonts w:ascii="宋体" w:hAnsi="宋体"/>
          <w:color w:val="000000"/>
          <w:sz w:val="24"/>
        </w:rPr>
      </w:pPr>
      <w:r>
        <w:rPr>
          <w:rFonts w:hint="eastAsia" w:ascii="宋体" w:hAnsi="宋体"/>
          <w:color w:val="000000"/>
          <w:sz w:val="24"/>
        </w:rPr>
        <w:t>17</w:t>
      </w:r>
      <w:r>
        <w:rPr>
          <w:rFonts w:ascii="宋体" w:hAnsi="宋体"/>
          <w:color w:val="000000"/>
          <w:sz w:val="24"/>
        </w:rPr>
        <w:t>.1</w:t>
      </w:r>
      <w:r>
        <w:rPr>
          <w:rFonts w:hint="eastAsia" w:ascii="宋体" w:hAnsi="宋体"/>
          <w:color w:val="000000"/>
          <w:sz w:val="24"/>
        </w:rPr>
        <w:t>投标前，投标人应根据投标人须知前附表规定的金额提交投标保证金，作为投标的一部分。</w:t>
      </w:r>
    </w:p>
    <w:p w14:paraId="4939791E">
      <w:pPr>
        <w:spacing w:line="360" w:lineRule="auto"/>
        <w:ind w:firstLine="549"/>
        <w:rPr>
          <w:rFonts w:ascii="宋体" w:hAnsi="宋体"/>
          <w:color w:val="000000"/>
          <w:sz w:val="24"/>
        </w:rPr>
      </w:pPr>
      <w:r>
        <w:rPr>
          <w:rFonts w:hint="eastAsia" w:ascii="宋体" w:hAnsi="宋体"/>
          <w:color w:val="000000"/>
          <w:sz w:val="24"/>
        </w:rPr>
        <w:t>17.2 投标人应在投标截止时间前办理投标保证金事宜。</w:t>
      </w:r>
    </w:p>
    <w:p w14:paraId="403D1F9D">
      <w:pPr>
        <w:spacing w:line="360" w:lineRule="auto"/>
        <w:ind w:firstLine="549"/>
        <w:rPr>
          <w:rFonts w:ascii="宋体" w:hAnsi="宋体"/>
          <w:color w:val="000000"/>
          <w:sz w:val="24"/>
        </w:rPr>
      </w:pPr>
      <w:r>
        <w:rPr>
          <w:rFonts w:hint="eastAsia" w:ascii="宋体" w:hAnsi="宋体"/>
          <w:color w:val="000000"/>
          <w:sz w:val="24"/>
        </w:rPr>
        <w:t>17.3招标人不接收以现金形式递交的投标保证金，投标保证金交纳单位名称与投标单位名称、退还单位名称必须一致。</w:t>
      </w:r>
    </w:p>
    <w:p w14:paraId="017F8685">
      <w:pPr>
        <w:pStyle w:val="26"/>
        <w:spacing w:line="360" w:lineRule="auto"/>
        <w:ind w:firstLine="600" w:firstLineChars="250"/>
        <w:jc w:val="left"/>
        <w:rPr>
          <w:rFonts w:hAnsi="宋体"/>
          <w:color w:val="000000"/>
          <w:sz w:val="24"/>
        </w:rPr>
      </w:pPr>
      <w:r>
        <w:rPr>
          <w:rFonts w:hint="eastAsia" w:hAnsi="宋体"/>
          <w:color w:val="000000"/>
          <w:sz w:val="24"/>
        </w:rPr>
        <w:t>17</w:t>
      </w:r>
      <w:r>
        <w:rPr>
          <w:rFonts w:hAnsi="宋体"/>
          <w:color w:val="000000"/>
          <w:sz w:val="24"/>
        </w:rPr>
        <w:t>.</w:t>
      </w:r>
      <w:r>
        <w:rPr>
          <w:rFonts w:hint="eastAsia" w:hAnsi="宋体"/>
          <w:color w:val="000000"/>
          <w:sz w:val="24"/>
        </w:rPr>
        <w:t>4投标人的投标保证金将在前附表规定时间内予以退还。</w:t>
      </w:r>
    </w:p>
    <w:p w14:paraId="30CAB789">
      <w:pPr>
        <w:spacing w:line="360" w:lineRule="auto"/>
        <w:ind w:firstLine="549"/>
        <w:rPr>
          <w:rFonts w:ascii="宋体" w:hAnsi="宋体"/>
          <w:color w:val="000000"/>
          <w:sz w:val="24"/>
        </w:rPr>
      </w:pPr>
      <w:r>
        <w:rPr>
          <w:rFonts w:hint="eastAsia" w:ascii="宋体" w:hAnsi="宋体"/>
          <w:color w:val="000000"/>
          <w:sz w:val="24"/>
        </w:rPr>
        <w:t>17</w:t>
      </w:r>
      <w:r>
        <w:rPr>
          <w:rFonts w:ascii="宋体" w:hAnsi="宋体"/>
          <w:color w:val="000000"/>
          <w:sz w:val="24"/>
        </w:rPr>
        <w:t>.</w:t>
      </w:r>
      <w:r>
        <w:rPr>
          <w:rFonts w:hint="eastAsia" w:ascii="宋体" w:hAnsi="宋体"/>
          <w:color w:val="000000"/>
          <w:sz w:val="24"/>
        </w:rPr>
        <w:t>5下列任何情况发生时，投标保证金将不予退还。</w:t>
      </w:r>
    </w:p>
    <w:p w14:paraId="006AF5E8">
      <w:pPr>
        <w:spacing w:line="360" w:lineRule="auto"/>
        <w:ind w:firstLine="549"/>
        <w:rPr>
          <w:rFonts w:ascii="宋体" w:hAnsi="宋体"/>
          <w:color w:val="000000"/>
          <w:sz w:val="24"/>
        </w:rPr>
      </w:pPr>
      <w:r>
        <w:rPr>
          <w:rFonts w:hint="eastAsia" w:ascii="宋体" w:hAnsi="宋体"/>
          <w:color w:val="000000"/>
          <w:sz w:val="24"/>
        </w:rPr>
        <w:t>17.5.1投标人在投标有效期内撤回其投标。</w:t>
      </w:r>
    </w:p>
    <w:p w14:paraId="06C9736D">
      <w:pPr>
        <w:spacing w:line="360" w:lineRule="auto"/>
        <w:ind w:firstLine="549"/>
        <w:rPr>
          <w:rFonts w:ascii="宋体" w:hAnsi="宋体"/>
          <w:color w:val="000000"/>
          <w:sz w:val="24"/>
        </w:rPr>
      </w:pPr>
      <w:r>
        <w:rPr>
          <w:rFonts w:hint="eastAsia" w:ascii="宋体" w:hAnsi="宋体"/>
          <w:color w:val="000000"/>
          <w:sz w:val="24"/>
        </w:rPr>
        <w:t>17.5.2投标人无正当理由放弃中标资格。</w:t>
      </w:r>
    </w:p>
    <w:p w14:paraId="318A0823">
      <w:pPr>
        <w:spacing w:line="360" w:lineRule="auto"/>
        <w:ind w:firstLine="549"/>
        <w:rPr>
          <w:rFonts w:ascii="宋体" w:hAnsi="宋体"/>
          <w:color w:val="000000"/>
          <w:sz w:val="24"/>
        </w:rPr>
      </w:pPr>
      <w:r>
        <w:rPr>
          <w:rFonts w:hint="eastAsia" w:ascii="宋体" w:hAnsi="宋体"/>
          <w:color w:val="000000"/>
          <w:sz w:val="24"/>
        </w:rPr>
        <w:t>17.5.3中标人在规定期限内未能根据规定签订合同。</w:t>
      </w:r>
    </w:p>
    <w:p w14:paraId="23847D62">
      <w:pPr>
        <w:spacing w:line="360" w:lineRule="auto"/>
        <w:ind w:firstLine="523" w:firstLineChars="218"/>
        <w:rPr>
          <w:rFonts w:ascii="宋体" w:hAnsi="宋体"/>
          <w:color w:val="000000"/>
          <w:sz w:val="24"/>
        </w:rPr>
      </w:pPr>
      <w:r>
        <w:rPr>
          <w:rFonts w:hint="eastAsia" w:ascii="宋体" w:hAnsi="宋体"/>
          <w:color w:val="000000"/>
          <w:sz w:val="24"/>
        </w:rPr>
        <w:t>17.5.4经招投标监督管理部门依法认定的其他违反招投标法律、法规和规章的行为。</w:t>
      </w:r>
    </w:p>
    <w:p w14:paraId="7A8EC6FD">
      <w:pPr>
        <w:spacing w:line="360" w:lineRule="auto"/>
        <w:ind w:firstLine="550"/>
        <w:rPr>
          <w:rFonts w:ascii="宋体" w:hAnsi="宋体"/>
          <w:b/>
          <w:color w:val="000000"/>
          <w:sz w:val="24"/>
        </w:rPr>
      </w:pPr>
      <w:r>
        <w:rPr>
          <w:rFonts w:hint="eastAsia" w:ascii="宋体" w:hAnsi="宋体"/>
          <w:b/>
          <w:color w:val="000000"/>
          <w:sz w:val="24"/>
        </w:rPr>
        <w:t>18.投标有效期</w:t>
      </w:r>
    </w:p>
    <w:p w14:paraId="792DD4B8">
      <w:pPr>
        <w:spacing w:line="360" w:lineRule="auto"/>
        <w:ind w:firstLine="550"/>
        <w:rPr>
          <w:rFonts w:ascii="宋体" w:hAnsi="宋体"/>
          <w:color w:val="000000"/>
          <w:sz w:val="24"/>
        </w:rPr>
      </w:pPr>
      <w:r>
        <w:rPr>
          <w:rFonts w:hint="eastAsia" w:ascii="宋体" w:hAnsi="宋体"/>
          <w:color w:val="000000"/>
          <w:sz w:val="24"/>
        </w:rPr>
        <w:t>18.1为</w:t>
      </w:r>
      <w:r>
        <w:rPr>
          <w:rFonts w:ascii="宋体" w:hAnsi="宋体"/>
          <w:color w:val="000000"/>
          <w:sz w:val="24"/>
        </w:rPr>
        <w:t>保证</w:t>
      </w:r>
      <w:r>
        <w:rPr>
          <w:rFonts w:hint="eastAsia" w:ascii="宋体" w:hAnsi="宋体"/>
          <w:color w:val="000000"/>
          <w:sz w:val="24"/>
        </w:rPr>
        <w:t>招标人</w:t>
      </w:r>
      <w:r>
        <w:rPr>
          <w:rFonts w:ascii="宋体" w:hAnsi="宋体"/>
          <w:color w:val="000000"/>
          <w:sz w:val="24"/>
        </w:rPr>
        <w:t>有足够的时间完成评标和与中标人签订合同</w:t>
      </w:r>
      <w:r>
        <w:rPr>
          <w:rFonts w:hint="eastAsia" w:ascii="宋体" w:hAnsi="宋体"/>
          <w:color w:val="000000"/>
          <w:sz w:val="24"/>
        </w:rPr>
        <w:t>，规定投标有效期。投标有效期期限见投标人须知前附表。</w:t>
      </w:r>
    </w:p>
    <w:p w14:paraId="338A05AB">
      <w:pPr>
        <w:spacing w:line="360" w:lineRule="auto"/>
        <w:ind w:firstLine="550"/>
        <w:rPr>
          <w:rFonts w:ascii="宋体" w:hAnsi="宋体"/>
          <w:color w:val="000000"/>
          <w:sz w:val="24"/>
        </w:rPr>
      </w:pPr>
      <w:r>
        <w:rPr>
          <w:rFonts w:hint="eastAsia" w:ascii="宋体" w:hAnsi="宋体"/>
          <w:color w:val="000000"/>
          <w:sz w:val="24"/>
        </w:rPr>
        <w:t>18.2在投标有效期内，投标人的投标保持有效，投标人不得要求撤销或修改其投标文件。</w:t>
      </w:r>
    </w:p>
    <w:p w14:paraId="6610B5A1">
      <w:pPr>
        <w:spacing w:line="360" w:lineRule="auto"/>
        <w:ind w:firstLine="550"/>
        <w:rPr>
          <w:rFonts w:ascii="宋体" w:hAnsi="宋体"/>
          <w:color w:val="000000"/>
          <w:sz w:val="24"/>
        </w:rPr>
      </w:pPr>
      <w:r>
        <w:rPr>
          <w:rFonts w:hint="eastAsia" w:ascii="宋体" w:hAnsi="宋体"/>
          <w:color w:val="000000"/>
          <w:sz w:val="24"/>
        </w:rPr>
        <w:t>18.3</w:t>
      </w:r>
      <w:r>
        <w:rPr>
          <w:rFonts w:ascii="宋体" w:hAnsi="宋体"/>
          <w:color w:val="000000"/>
          <w:sz w:val="24"/>
        </w:rPr>
        <w:t>投标有效期从投标截止日起计算。</w:t>
      </w:r>
    </w:p>
    <w:p w14:paraId="6AD714F5">
      <w:pPr>
        <w:spacing w:line="360" w:lineRule="auto"/>
        <w:ind w:firstLine="550"/>
        <w:rPr>
          <w:rFonts w:ascii="宋体" w:hAnsi="宋体"/>
          <w:color w:val="000000"/>
          <w:sz w:val="24"/>
        </w:rPr>
      </w:pPr>
      <w:r>
        <w:rPr>
          <w:rFonts w:hint="eastAsia" w:ascii="宋体" w:hAnsi="宋体"/>
          <w:color w:val="000000"/>
          <w:sz w:val="24"/>
        </w:rPr>
        <w:t>18.4在原定投标有效期满之前，如果出现特殊情况，招标人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14:paraId="45C28AEA">
      <w:pPr>
        <w:spacing w:line="360" w:lineRule="auto"/>
        <w:ind w:firstLine="550"/>
        <w:rPr>
          <w:rFonts w:ascii="宋体" w:hAnsi="宋体"/>
          <w:b/>
          <w:color w:val="000000"/>
          <w:sz w:val="24"/>
        </w:rPr>
      </w:pPr>
      <w:r>
        <w:rPr>
          <w:rFonts w:hint="eastAsia" w:ascii="宋体" w:hAnsi="宋体"/>
          <w:b/>
          <w:color w:val="000000"/>
          <w:sz w:val="24"/>
        </w:rPr>
        <w:t>19.投标文件份数和签署</w:t>
      </w:r>
    </w:p>
    <w:p w14:paraId="1257529E">
      <w:pPr>
        <w:spacing w:line="360" w:lineRule="auto"/>
        <w:ind w:firstLine="550"/>
        <w:rPr>
          <w:rFonts w:ascii="宋体" w:hAnsi="宋体"/>
          <w:color w:val="000000"/>
          <w:sz w:val="24"/>
        </w:rPr>
      </w:pPr>
      <w:r>
        <w:rPr>
          <w:rFonts w:hint="eastAsia" w:ascii="宋体" w:hAnsi="宋体"/>
          <w:color w:val="000000"/>
          <w:sz w:val="24"/>
        </w:rPr>
        <w:t>19</w:t>
      </w:r>
      <w:r>
        <w:rPr>
          <w:rFonts w:ascii="宋体" w:hAnsi="宋体"/>
          <w:color w:val="000000"/>
          <w:sz w:val="24"/>
        </w:rPr>
        <w:t>.1</w:t>
      </w:r>
      <w:r>
        <w:rPr>
          <w:rFonts w:hint="eastAsia" w:ascii="宋体" w:hAnsi="宋体"/>
          <w:color w:val="000000"/>
          <w:sz w:val="24"/>
        </w:rPr>
        <w:t xml:space="preserve"> 投标人宜按照投标人须知前附表的要求准备投标文件，并在封面上注明“正本”和“副本”字样。投标文件的正本与副本如有不一致之处，以正本为准。</w:t>
      </w:r>
    </w:p>
    <w:p w14:paraId="5ACBF91F">
      <w:pPr>
        <w:spacing w:line="360" w:lineRule="auto"/>
        <w:ind w:firstLine="550"/>
        <w:rPr>
          <w:rFonts w:ascii="宋体" w:hAnsi="宋体"/>
          <w:b/>
          <w:color w:val="000000"/>
          <w:sz w:val="24"/>
        </w:rPr>
      </w:pPr>
      <w:r>
        <w:rPr>
          <w:rFonts w:hint="eastAsia" w:ascii="宋体" w:hAnsi="宋体"/>
          <w:color w:val="000000"/>
          <w:sz w:val="24"/>
        </w:rPr>
        <w:t>19</w:t>
      </w:r>
      <w:r>
        <w:rPr>
          <w:rFonts w:ascii="宋体" w:hAnsi="宋体"/>
          <w:color w:val="000000"/>
          <w:sz w:val="24"/>
        </w:rPr>
        <w:t>.2</w:t>
      </w:r>
      <w:r>
        <w:rPr>
          <w:rFonts w:hint="eastAsia" w:ascii="宋体" w:hAnsi="宋体"/>
          <w:color w:val="000000"/>
          <w:sz w:val="24"/>
        </w:rPr>
        <w:t xml:space="preserve"> 投标文件的所有的副本可采用正本的复印件，然后在招标文件明确要求需要加盖投标人公章的地方另外加盖公章。</w:t>
      </w:r>
    </w:p>
    <w:p w14:paraId="4EC256E4">
      <w:pPr>
        <w:pStyle w:val="7"/>
        <w:spacing w:before="0" w:after="0" w:line="360" w:lineRule="auto"/>
        <w:ind w:firstLine="628"/>
        <w:rPr>
          <w:rFonts w:hAnsi="宋体"/>
          <w:color w:val="000000"/>
          <w:sz w:val="28"/>
        </w:rPr>
      </w:pPr>
      <w:bookmarkStart w:id="59" w:name="_Hlt509650572"/>
      <w:bookmarkEnd w:id="59"/>
      <w:bookmarkStart w:id="60" w:name="_Toc260081061"/>
      <w:bookmarkStart w:id="61" w:name="_Toc1479963"/>
      <w:bookmarkStart w:id="62" w:name="_Toc1479826"/>
      <w:bookmarkStart w:id="63" w:name="_Toc11410"/>
      <w:r>
        <w:rPr>
          <w:rFonts w:hint="eastAsia" w:hAnsi="宋体"/>
          <w:color w:val="000000"/>
          <w:sz w:val="28"/>
        </w:rPr>
        <w:t>四、投标文件的递交</w:t>
      </w:r>
      <w:bookmarkEnd w:id="60"/>
      <w:bookmarkEnd w:id="61"/>
      <w:bookmarkEnd w:id="62"/>
      <w:bookmarkEnd w:id="63"/>
      <w:bookmarkStart w:id="64" w:name="_Hlt509649414"/>
      <w:bookmarkEnd w:id="64"/>
    </w:p>
    <w:p w14:paraId="76A0E707">
      <w:pPr>
        <w:spacing w:line="360" w:lineRule="auto"/>
        <w:ind w:firstLine="550"/>
        <w:jc w:val="center"/>
        <w:rPr>
          <w:rFonts w:ascii="宋体" w:hAnsi="宋体"/>
          <w:b/>
          <w:bCs/>
          <w:color w:val="000000"/>
          <w:sz w:val="24"/>
        </w:rPr>
      </w:pPr>
      <w:r>
        <w:rPr>
          <w:rFonts w:hint="eastAsia" w:ascii="宋体" w:hAnsi="宋体"/>
          <w:b/>
          <w:bCs/>
          <w:color w:val="000000"/>
          <w:sz w:val="24"/>
        </w:rPr>
        <w:t>（具体要求</w:t>
      </w:r>
      <w:r>
        <w:rPr>
          <w:rFonts w:hint="eastAsia" w:ascii="宋体" w:hAnsi="宋体"/>
          <w:b/>
          <w:bCs/>
          <w:color w:val="000000"/>
          <w:sz w:val="24"/>
          <w:lang w:eastAsia="zh-CN"/>
        </w:rPr>
        <w:t>以</w:t>
      </w:r>
      <w:r>
        <w:rPr>
          <w:rFonts w:hint="eastAsia" w:ascii="宋体" w:hAnsi="宋体"/>
          <w:b/>
          <w:bCs/>
          <w:color w:val="000000"/>
          <w:sz w:val="24"/>
        </w:rPr>
        <w:t>招标公告和投标人须知前附表为准）</w:t>
      </w:r>
    </w:p>
    <w:p w14:paraId="4C8610C2">
      <w:pPr>
        <w:spacing w:line="360" w:lineRule="auto"/>
        <w:ind w:firstLine="550"/>
        <w:rPr>
          <w:rFonts w:ascii="宋体" w:hAnsi="宋体"/>
          <w:color w:val="000000"/>
          <w:sz w:val="24"/>
        </w:rPr>
      </w:pPr>
      <w:r>
        <w:rPr>
          <w:rFonts w:hint="eastAsia" w:ascii="宋体" w:hAnsi="宋体"/>
          <w:b/>
          <w:bCs/>
          <w:color w:val="000000"/>
          <w:sz w:val="24"/>
        </w:rPr>
        <w:t>20.投标文件的密封和标记</w:t>
      </w:r>
    </w:p>
    <w:p w14:paraId="39EFBDED">
      <w:pPr>
        <w:spacing w:line="360" w:lineRule="auto"/>
        <w:ind w:firstLine="550"/>
        <w:rPr>
          <w:rFonts w:ascii="宋体" w:hAnsi="宋体"/>
          <w:color w:val="000000"/>
          <w:sz w:val="24"/>
        </w:rPr>
      </w:pPr>
      <w:r>
        <w:rPr>
          <w:rFonts w:hint="eastAsia" w:ascii="宋体" w:hAnsi="宋体"/>
          <w:color w:val="000000"/>
          <w:sz w:val="24"/>
        </w:rPr>
        <w:t>20.1投标人可以将投标文件正本和所有副本用单独的信封分开密封</w:t>
      </w:r>
      <w:r>
        <w:rPr>
          <w:rFonts w:hint="eastAsia" w:ascii="宋体" w:hAnsi="宋体"/>
          <w:color w:val="000000"/>
          <w:sz w:val="24"/>
          <w:lang w:eastAsia="zh-CN"/>
        </w:rPr>
        <w:t>，</w:t>
      </w:r>
      <w:r>
        <w:rPr>
          <w:rFonts w:hint="eastAsia" w:ascii="宋体" w:hAnsi="宋体"/>
          <w:color w:val="000000"/>
          <w:sz w:val="24"/>
        </w:rPr>
        <w:t>也可以将投标文件正本和副本全部密封在一个信封中，标书上应分别注明“正本</w:t>
      </w:r>
      <w:r>
        <w:rPr>
          <w:rFonts w:hint="eastAsia" w:ascii="宋体" w:hAnsi="宋体"/>
          <w:color w:val="000000"/>
          <w:sz w:val="24"/>
          <w:lang w:eastAsia="zh-CN"/>
        </w:rPr>
        <w:t>”“</w:t>
      </w:r>
      <w:r>
        <w:rPr>
          <w:rFonts w:hint="eastAsia" w:ascii="宋体" w:hAnsi="宋体"/>
          <w:color w:val="000000"/>
          <w:sz w:val="24"/>
        </w:rPr>
        <w:t>副本”；</w:t>
      </w:r>
    </w:p>
    <w:p w14:paraId="59AF126A">
      <w:pPr>
        <w:spacing w:line="360" w:lineRule="auto"/>
        <w:ind w:firstLine="550"/>
        <w:rPr>
          <w:rFonts w:ascii="宋体" w:hAnsi="宋体"/>
          <w:color w:val="000000"/>
          <w:sz w:val="24"/>
        </w:rPr>
      </w:pPr>
      <w:r>
        <w:rPr>
          <w:rFonts w:hint="eastAsia" w:ascii="宋体" w:hAnsi="宋体"/>
          <w:color w:val="000000"/>
          <w:sz w:val="24"/>
        </w:rPr>
        <w:t>20.2如果投标文件没有按上述规定密封或加写标记，招标人将不承担投标文件错放或提前开封的责任。</w:t>
      </w:r>
    </w:p>
    <w:p w14:paraId="1016A7D0">
      <w:pPr>
        <w:spacing w:line="360" w:lineRule="auto"/>
        <w:ind w:firstLine="550"/>
        <w:rPr>
          <w:rFonts w:ascii="宋体" w:hAnsi="宋体"/>
          <w:b/>
          <w:bCs/>
          <w:color w:val="000000"/>
          <w:sz w:val="24"/>
        </w:rPr>
      </w:pPr>
      <w:r>
        <w:rPr>
          <w:rFonts w:hint="eastAsia" w:ascii="宋体" w:hAnsi="宋体"/>
          <w:b/>
          <w:bCs/>
          <w:color w:val="000000"/>
          <w:sz w:val="24"/>
        </w:rPr>
        <w:t>21.投标文件的递交</w:t>
      </w:r>
    </w:p>
    <w:p w14:paraId="38A22EF3">
      <w:pPr>
        <w:spacing w:line="360" w:lineRule="auto"/>
        <w:ind w:firstLine="550"/>
        <w:rPr>
          <w:rFonts w:ascii="宋体" w:hAnsi="宋体"/>
          <w:color w:val="000000"/>
          <w:sz w:val="24"/>
        </w:rPr>
      </w:pPr>
      <w:r>
        <w:rPr>
          <w:rFonts w:hint="eastAsia" w:ascii="宋体" w:hAnsi="宋体"/>
          <w:color w:val="000000"/>
          <w:sz w:val="24"/>
        </w:rPr>
        <w:t>21.1投标人应当在招标文件要求提交投标文件的截止时间前，将投标文件密封送达投标人须知前附表指定开标地点。</w:t>
      </w:r>
    </w:p>
    <w:p w14:paraId="5AA71280">
      <w:pPr>
        <w:spacing w:line="360" w:lineRule="auto"/>
        <w:ind w:firstLine="550"/>
        <w:rPr>
          <w:rFonts w:ascii="宋体" w:hAnsi="宋体"/>
          <w:color w:val="000000"/>
          <w:sz w:val="24"/>
        </w:rPr>
      </w:pPr>
      <w:r>
        <w:rPr>
          <w:rFonts w:hint="eastAsia" w:ascii="宋体" w:hAnsi="宋体"/>
          <w:color w:val="000000"/>
          <w:sz w:val="24"/>
        </w:rPr>
        <w:t>21.2在招标文件要求提交投标文件的截止时间之后送达的投标文件或者在开标前未支付招标文件费用的投标人，招标方将拒绝接收其投标文件。</w:t>
      </w:r>
    </w:p>
    <w:p w14:paraId="1780D904">
      <w:pPr>
        <w:spacing w:line="360" w:lineRule="auto"/>
        <w:ind w:firstLine="550"/>
        <w:rPr>
          <w:rFonts w:ascii="宋体" w:hAnsi="宋体"/>
          <w:b/>
          <w:bCs/>
          <w:color w:val="000000"/>
          <w:sz w:val="24"/>
        </w:rPr>
      </w:pPr>
      <w:r>
        <w:rPr>
          <w:rFonts w:hint="eastAsia" w:ascii="宋体" w:hAnsi="宋体"/>
          <w:b/>
          <w:bCs/>
          <w:color w:val="000000"/>
          <w:sz w:val="24"/>
        </w:rPr>
        <w:t>22.投标文件的修改和撤回</w:t>
      </w:r>
    </w:p>
    <w:p w14:paraId="43ECEAE5">
      <w:pPr>
        <w:spacing w:line="360" w:lineRule="auto"/>
        <w:ind w:firstLine="550"/>
        <w:rPr>
          <w:rFonts w:ascii="宋体" w:hAnsi="宋体"/>
          <w:color w:val="000000"/>
          <w:sz w:val="24"/>
        </w:rPr>
      </w:pPr>
      <w:r>
        <w:rPr>
          <w:rFonts w:hint="eastAsia" w:ascii="宋体" w:hAnsi="宋体"/>
          <w:color w:val="000000"/>
          <w:sz w:val="24"/>
        </w:rPr>
        <w:t>22</w:t>
      </w:r>
      <w:r>
        <w:rPr>
          <w:rFonts w:ascii="宋体" w:hAnsi="宋体"/>
          <w:color w:val="000000"/>
          <w:sz w:val="24"/>
        </w:rPr>
        <w:t>.</w:t>
      </w:r>
      <w:r>
        <w:rPr>
          <w:rFonts w:hint="eastAsia" w:ascii="宋体" w:hAnsi="宋体"/>
          <w:color w:val="000000"/>
          <w:sz w:val="24"/>
        </w:rPr>
        <w:t>1 投标人在递交投标文件后，可以修改或撤回其投标，但这种修改和撤回，必须在规定的投标截止日期前，并以书面形式通知招标人。在投标截止时间后，投标人不得再要求修改或撤回其投标文件。</w:t>
      </w:r>
    </w:p>
    <w:p w14:paraId="5F021A4C">
      <w:pPr>
        <w:spacing w:line="360" w:lineRule="auto"/>
        <w:ind w:firstLine="550"/>
        <w:rPr>
          <w:rFonts w:ascii="宋体" w:hAnsi="宋体"/>
          <w:color w:val="000000"/>
          <w:sz w:val="24"/>
        </w:rPr>
      </w:pPr>
      <w:bookmarkStart w:id="65" w:name="_Toc260081062"/>
      <w:r>
        <w:rPr>
          <w:rFonts w:hint="eastAsia" w:ascii="宋体" w:hAnsi="宋体"/>
          <w:color w:val="000000"/>
          <w:sz w:val="24"/>
        </w:rPr>
        <w:t>22.2 投标人的修改书或撤回通知书，应按规定进行编制、密封、标记和递交，且在内层信封上标明“修改”或“撤回”字样。</w:t>
      </w:r>
      <w:bookmarkStart w:id="66" w:name="_Hlt509649294"/>
      <w:bookmarkEnd w:id="66"/>
    </w:p>
    <w:p w14:paraId="2F0D2137">
      <w:pPr>
        <w:pStyle w:val="2"/>
        <w:ind w:left="0" w:leftChars="0" w:firstLine="480"/>
        <w:rPr>
          <w:rFonts w:ascii="宋体" w:hAnsi="宋体" w:eastAsia="宋体"/>
          <w:color w:val="000000"/>
          <w:sz w:val="24"/>
        </w:rPr>
      </w:pPr>
      <w:r>
        <w:rPr>
          <w:rFonts w:hint="eastAsia" w:ascii="宋体" w:hAnsi="宋体" w:eastAsia="宋体"/>
          <w:color w:val="000000"/>
          <w:sz w:val="24"/>
        </w:rPr>
        <w:t>注：如此项与投标人须知前附表不一致，以前附表为准</w:t>
      </w:r>
    </w:p>
    <w:p w14:paraId="085189FF">
      <w:pPr>
        <w:pStyle w:val="7"/>
        <w:spacing w:before="0" w:after="0" w:line="360" w:lineRule="auto"/>
        <w:ind w:firstLine="628"/>
        <w:rPr>
          <w:rFonts w:hAnsi="宋体"/>
          <w:color w:val="000000"/>
          <w:sz w:val="28"/>
        </w:rPr>
      </w:pPr>
      <w:bookmarkStart w:id="67" w:name="_Toc1479827"/>
      <w:bookmarkStart w:id="68" w:name="_Toc9822"/>
      <w:bookmarkStart w:id="69" w:name="_Toc1479964"/>
      <w:r>
        <w:rPr>
          <w:rFonts w:hint="eastAsia" w:hAnsi="宋体"/>
          <w:color w:val="000000"/>
          <w:sz w:val="28"/>
        </w:rPr>
        <w:t>五、开标与评标</w:t>
      </w:r>
      <w:bookmarkEnd w:id="65"/>
      <w:bookmarkEnd w:id="67"/>
      <w:bookmarkEnd w:id="68"/>
      <w:bookmarkEnd w:id="69"/>
    </w:p>
    <w:p w14:paraId="50169CB4">
      <w:pPr>
        <w:spacing w:line="360" w:lineRule="auto"/>
        <w:ind w:firstLine="550"/>
        <w:rPr>
          <w:rFonts w:ascii="宋体" w:hAnsi="宋体"/>
          <w:b/>
          <w:color w:val="000000"/>
          <w:sz w:val="24"/>
        </w:rPr>
      </w:pPr>
      <w:r>
        <w:rPr>
          <w:rFonts w:hint="eastAsia" w:ascii="宋体" w:hAnsi="宋体"/>
          <w:b/>
          <w:color w:val="000000"/>
          <w:sz w:val="24"/>
        </w:rPr>
        <w:t>23.开标</w:t>
      </w:r>
    </w:p>
    <w:p w14:paraId="3BE89EF8">
      <w:pPr>
        <w:spacing w:line="360" w:lineRule="auto"/>
        <w:ind w:firstLine="550"/>
        <w:rPr>
          <w:rFonts w:ascii="宋体" w:hAnsi="宋体"/>
          <w:color w:val="000000"/>
          <w:sz w:val="24"/>
        </w:rPr>
      </w:pPr>
      <w:r>
        <w:rPr>
          <w:rFonts w:hint="eastAsia" w:ascii="宋体" w:hAnsi="宋体"/>
          <w:color w:val="000000"/>
          <w:sz w:val="24"/>
        </w:rPr>
        <w:t>23.1招标人将在投标</w:t>
      </w:r>
      <w:bookmarkStart w:id="70" w:name="_Hlt509649432"/>
      <w:bookmarkEnd w:id="70"/>
      <w:r>
        <w:rPr>
          <w:rFonts w:hint="eastAsia" w:ascii="宋体" w:hAnsi="宋体"/>
          <w:color w:val="000000"/>
          <w:sz w:val="24"/>
        </w:rPr>
        <w:t>人须知前附表规定的时间和地点组织开评标程序。投标人授权代表应按招标文件规定参加并签到。</w:t>
      </w:r>
    </w:p>
    <w:p w14:paraId="50D562FB">
      <w:pPr>
        <w:spacing w:line="360" w:lineRule="auto"/>
        <w:ind w:firstLine="550"/>
        <w:rPr>
          <w:rFonts w:ascii="宋体" w:hAnsi="宋体"/>
          <w:color w:val="000000"/>
          <w:sz w:val="24"/>
        </w:rPr>
      </w:pPr>
      <w:r>
        <w:rPr>
          <w:rFonts w:hint="eastAsia" w:ascii="宋体" w:hAnsi="宋体"/>
          <w:color w:val="000000"/>
          <w:sz w:val="24"/>
        </w:rPr>
        <w:t>23.</w:t>
      </w:r>
      <w:r>
        <w:rPr>
          <w:rFonts w:hint="eastAsia" w:ascii="宋体" w:hAnsi="宋体"/>
          <w:bCs/>
          <w:color w:val="000000"/>
          <w:sz w:val="24"/>
        </w:rPr>
        <w:t>2开标前，招标人将会同投标人代表等进行投标文件密封完整性查验，并宣布查验结果。</w:t>
      </w:r>
    </w:p>
    <w:p w14:paraId="1A87EA49">
      <w:pPr>
        <w:spacing w:line="360" w:lineRule="auto"/>
        <w:ind w:firstLine="549"/>
        <w:rPr>
          <w:rFonts w:ascii="宋体" w:hAnsi="宋体"/>
          <w:bCs/>
          <w:color w:val="000000"/>
          <w:sz w:val="24"/>
        </w:rPr>
      </w:pPr>
      <w:r>
        <w:rPr>
          <w:rFonts w:hint="eastAsia" w:ascii="宋体" w:hAnsi="宋体"/>
          <w:bCs/>
          <w:color w:val="000000"/>
          <w:sz w:val="24"/>
        </w:rPr>
        <w:t>23.3招标人进行唱标、记录等工作。</w:t>
      </w:r>
    </w:p>
    <w:p w14:paraId="1B8257C2">
      <w:pPr>
        <w:spacing w:line="360" w:lineRule="auto"/>
        <w:ind w:firstLine="549"/>
        <w:rPr>
          <w:rFonts w:ascii="宋体" w:hAnsi="宋体"/>
          <w:bCs/>
          <w:color w:val="000000"/>
          <w:sz w:val="24"/>
        </w:rPr>
      </w:pPr>
      <w:r>
        <w:rPr>
          <w:rFonts w:hint="eastAsia" w:ascii="宋体" w:hAnsi="宋体"/>
          <w:bCs/>
          <w:color w:val="000000"/>
          <w:sz w:val="24"/>
        </w:rPr>
        <w:t>23.4招标人在唱标时，将当众宣读入围投标人名称、投标价格以及认为合适</w:t>
      </w:r>
      <w:r>
        <w:rPr>
          <w:rFonts w:hint="eastAsia" w:ascii="宋体" w:hAnsi="宋体"/>
          <w:bCs/>
          <w:color w:val="000000"/>
          <w:sz w:val="24"/>
          <w:lang w:eastAsia="zh-CN"/>
        </w:rPr>
        <w:t>的其他</w:t>
      </w:r>
      <w:r>
        <w:rPr>
          <w:rFonts w:hint="eastAsia" w:ascii="宋体" w:hAnsi="宋体"/>
          <w:bCs/>
          <w:color w:val="000000"/>
          <w:sz w:val="24"/>
        </w:rPr>
        <w:t>详细内容。只有在唱出的优惠，评标时才予以考虑。</w:t>
      </w:r>
    </w:p>
    <w:p w14:paraId="6F0FF27F">
      <w:pPr>
        <w:spacing w:line="360" w:lineRule="auto"/>
        <w:ind w:firstLine="549"/>
        <w:rPr>
          <w:rFonts w:ascii="宋体" w:hAnsi="宋体"/>
          <w:bCs/>
          <w:color w:val="000000"/>
          <w:sz w:val="24"/>
        </w:rPr>
      </w:pPr>
      <w:r>
        <w:rPr>
          <w:rFonts w:hint="eastAsia" w:ascii="宋体" w:hAnsi="宋体"/>
          <w:bCs/>
          <w:color w:val="000000"/>
          <w:sz w:val="24"/>
        </w:rPr>
        <w:t>23.5在评审结束前，未得到招标人允许，投标人授权代表不得离开开标现场。</w:t>
      </w:r>
    </w:p>
    <w:p w14:paraId="37A3ACAA">
      <w:pPr>
        <w:spacing w:line="360" w:lineRule="auto"/>
        <w:ind w:firstLine="549"/>
        <w:rPr>
          <w:rFonts w:ascii="宋体" w:hAnsi="宋体"/>
          <w:b/>
          <w:color w:val="000000"/>
          <w:sz w:val="24"/>
        </w:rPr>
      </w:pPr>
      <w:r>
        <w:rPr>
          <w:rFonts w:hint="eastAsia" w:ascii="宋体" w:hAnsi="宋体"/>
          <w:b/>
          <w:color w:val="000000"/>
          <w:sz w:val="24"/>
        </w:rPr>
        <w:t>24.投标文件的澄清、说明或补正</w:t>
      </w:r>
    </w:p>
    <w:p w14:paraId="25035573">
      <w:pPr>
        <w:spacing w:line="360" w:lineRule="auto"/>
        <w:ind w:firstLine="549"/>
        <w:rPr>
          <w:rFonts w:ascii="宋体" w:hAnsi="宋体"/>
          <w:bCs/>
          <w:color w:val="000000"/>
          <w:sz w:val="24"/>
        </w:rPr>
      </w:pPr>
      <w:r>
        <w:rPr>
          <w:rFonts w:hint="eastAsia" w:ascii="宋体" w:hAnsi="宋体"/>
          <w:bCs/>
          <w:color w:val="000000"/>
          <w:sz w:val="24"/>
        </w:rPr>
        <w:t>24</w:t>
      </w:r>
      <w:r>
        <w:rPr>
          <w:rFonts w:ascii="宋体" w:hAnsi="宋体"/>
          <w:bCs/>
          <w:color w:val="000000"/>
          <w:sz w:val="24"/>
        </w:rPr>
        <w:t>.</w:t>
      </w:r>
      <w:r>
        <w:rPr>
          <w:rFonts w:hint="eastAsia" w:ascii="宋体" w:hAnsi="宋体"/>
          <w:bCs/>
          <w:color w:val="0000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14CAC172">
      <w:pPr>
        <w:spacing w:line="360" w:lineRule="auto"/>
        <w:ind w:firstLine="549"/>
        <w:rPr>
          <w:rFonts w:ascii="宋体" w:hAnsi="宋体"/>
          <w:color w:val="000000"/>
          <w:sz w:val="24"/>
        </w:rPr>
      </w:pPr>
      <w:r>
        <w:rPr>
          <w:rFonts w:hint="eastAsia" w:ascii="宋体" w:hAnsi="宋体"/>
          <w:color w:val="000000"/>
          <w:sz w:val="24"/>
        </w:rPr>
        <w:t>24.2投标文件中大写金额和小写金额不一致的，以大写金额为准；总价金额与按单价汇总金额不一致的，以单价金额计算结果为准；单价金额小数点有明显错位的，应以总价为准，并修改单价。</w:t>
      </w:r>
    </w:p>
    <w:p w14:paraId="7B68C77A">
      <w:pPr>
        <w:spacing w:line="360" w:lineRule="auto"/>
        <w:ind w:firstLine="549"/>
        <w:rPr>
          <w:rFonts w:ascii="宋体" w:hAnsi="宋体"/>
          <w:bCs/>
          <w:color w:val="000000"/>
          <w:sz w:val="24"/>
        </w:rPr>
      </w:pPr>
      <w:r>
        <w:rPr>
          <w:rFonts w:hint="eastAsia" w:ascii="宋体" w:hAnsi="宋体"/>
          <w:color w:val="000000"/>
          <w:sz w:val="24"/>
        </w:rPr>
        <w:t>24.3</w:t>
      </w:r>
      <w:r>
        <w:rPr>
          <w:rFonts w:hint="eastAsia" w:ascii="宋体" w:hAnsi="宋体"/>
          <w:bCs/>
          <w:color w:val="000000"/>
          <w:sz w:val="24"/>
        </w:rPr>
        <w:t>开标一览表内容与投标文件中明细表内容不一致的，以算术修正后的价格为准。调整或修正后的价格与投标报价相比，以价格低的为准。</w:t>
      </w:r>
    </w:p>
    <w:p w14:paraId="3A9F6D97">
      <w:pPr>
        <w:spacing w:line="360" w:lineRule="auto"/>
        <w:ind w:firstLine="549"/>
        <w:rPr>
          <w:rFonts w:ascii="宋体" w:hAnsi="宋体"/>
          <w:b/>
          <w:color w:val="000000"/>
          <w:sz w:val="24"/>
        </w:rPr>
      </w:pPr>
      <w:r>
        <w:rPr>
          <w:rFonts w:hint="eastAsia" w:ascii="宋体" w:hAnsi="宋体"/>
          <w:b/>
          <w:color w:val="000000"/>
          <w:sz w:val="24"/>
        </w:rPr>
        <w:t>25.评标（本项目评标以第四章评标办法规定内容为准）</w:t>
      </w:r>
    </w:p>
    <w:p w14:paraId="18A6BE8F">
      <w:pPr>
        <w:snapToGrid w:val="0"/>
        <w:spacing w:line="360" w:lineRule="auto"/>
        <w:ind w:firstLine="549"/>
        <w:rPr>
          <w:rFonts w:ascii="宋体" w:hAnsi="宋体"/>
          <w:bCs/>
          <w:color w:val="000000"/>
          <w:sz w:val="24"/>
        </w:rPr>
      </w:pPr>
      <w:r>
        <w:rPr>
          <w:rFonts w:hint="eastAsia" w:ascii="宋体" w:hAnsi="宋体"/>
          <w:bCs/>
          <w:color w:val="000000"/>
          <w:sz w:val="24"/>
        </w:rPr>
        <w:t>25</w:t>
      </w:r>
      <w:r>
        <w:rPr>
          <w:rFonts w:ascii="宋体" w:hAnsi="宋体"/>
          <w:bCs/>
          <w:color w:val="000000"/>
          <w:sz w:val="24"/>
        </w:rPr>
        <w:t>.1</w:t>
      </w:r>
      <w:r>
        <w:rPr>
          <w:rFonts w:hint="eastAsia" w:ascii="宋体" w:hAnsi="宋体"/>
          <w:bCs/>
          <w:color w:val="000000"/>
          <w:sz w:val="24"/>
        </w:rPr>
        <w:t xml:space="preserve"> 开标后，评委会将首先审查投标文件是否完整，有无计算上的错误，是否足额提交投标保证金，文件签署是否合格，投标书是否编排有序且符合招标文件要求等。投标文件有下列情况之一者将被视为无效标：</w:t>
      </w:r>
    </w:p>
    <w:p w14:paraId="3BB35868">
      <w:pPr>
        <w:snapToGrid w:val="0"/>
        <w:spacing w:line="360" w:lineRule="auto"/>
        <w:ind w:firstLine="549"/>
        <w:rPr>
          <w:rFonts w:ascii="宋体" w:hAnsi="宋体"/>
          <w:bCs/>
          <w:color w:val="000000"/>
          <w:sz w:val="24"/>
        </w:rPr>
      </w:pPr>
      <w:r>
        <w:rPr>
          <w:rFonts w:hint="eastAsia" w:ascii="宋体" w:hAnsi="宋体"/>
          <w:bCs/>
          <w:color w:val="000000"/>
          <w:sz w:val="24"/>
        </w:rPr>
        <w:t>（1）没有出具法定代表人证明或法人授权委托书；</w:t>
      </w:r>
    </w:p>
    <w:p w14:paraId="6F56965C">
      <w:pPr>
        <w:snapToGrid w:val="0"/>
        <w:spacing w:line="360" w:lineRule="auto"/>
        <w:ind w:firstLine="549"/>
        <w:rPr>
          <w:rFonts w:ascii="宋体" w:hAnsi="宋体"/>
          <w:bCs/>
          <w:color w:val="000000"/>
          <w:sz w:val="24"/>
        </w:rPr>
      </w:pPr>
      <w:r>
        <w:rPr>
          <w:rFonts w:hint="eastAsia" w:ascii="宋体" w:hAnsi="宋体"/>
          <w:bCs/>
          <w:color w:val="000000"/>
          <w:sz w:val="24"/>
        </w:rPr>
        <w:t>（2）未经法定代表人或其授权代表签署或未加盖投标人公章；</w:t>
      </w:r>
    </w:p>
    <w:p w14:paraId="06327859">
      <w:pPr>
        <w:snapToGrid w:val="0"/>
        <w:spacing w:line="360" w:lineRule="auto"/>
        <w:ind w:firstLine="549"/>
        <w:rPr>
          <w:rFonts w:ascii="宋体" w:hAnsi="宋体"/>
          <w:bCs/>
          <w:color w:val="000000"/>
          <w:sz w:val="24"/>
        </w:rPr>
      </w:pPr>
      <w:r>
        <w:rPr>
          <w:rFonts w:hint="eastAsia" w:ascii="宋体" w:hAnsi="宋体"/>
          <w:bCs/>
          <w:color w:val="000000"/>
          <w:sz w:val="24"/>
        </w:rPr>
        <w:t>（3）未按规定的格式填写，编排混乱、无序，内容不全或字迹模糊，辨认不清；</w:t>
      </w:r>
    </w:p>
    <w:p w14:paraId="0735BBF1">
      <w:pPr>
        <w:snapToGrid w:val="0"/>
        <w:spacing w:line="360" w:lineRule="auto"/>
        <w:ind w:firstLine="549"/>
        <w:rPr>
          <w:rFonts w:ascii="宋体" w:hAnsi="宋体"/>
          <w:bCs/>
          <w:color w:val="000000"/>
          <w:sz w:val="24"/>
        </w:rPr>
      </w:pPr>
      <w:r>
        <w:rPr>
          <w:rFonts w:hint="eastAsia" w:ascii="宋体" w:hAnsi="宋体"/>
          <w:bCs/>
          <w:color w:val="000000"/>
          <w:sz w:val="24"/>
        </w:rPr>
        <w:t>（4）存在欺诈行为；</w:t>
      </w:r>
    </w:p>
    <w:p w14:paraId="0037FD31">
      <w:pPr>
        <w:snapToGrid w:val="0"/>
        <w:spacing w:line="360" w:lineRule="auto"/>
        <w:ind w:firstLine="549"/>
        <w:rPr>
          <w:rFonts w:ascii="宋体" w:hAnsi="宋体"/>
          <w:bCs/>
          <w:color w:val="000000"/>
          <w:sz w:val="24"/>
        </w:rPr>
      </w:pPr>
      <w:r>
        <w:rPr>
          <w:rFonts w:hint="eastAsia" w:ascii="宋体" w:hAnsi="宋体"/>
          <w:bCs/>
          <w:color w:val="000000"/>
          <w:sz w:val="24"/>
        </w:rPr>
        <w:t>（5）同一项目投标超过一个以上最终报价的；</w:t>
      </w:r>
    </w:p>
    <w:p w14:paraId="22F41112">
      <w:pPr>
        <w:snapToGrid w:val="0"/>
        <w:spacing w:line="360" w:lineRule="auto"/>
        <w:ind w:firstLine="549"/>
        <w:rPr>
          <w:rFonts w:ascii="宋体" w:hAnsi="宋体"/>
          <w:bCs/>
          <w:color w:val="000000"/>
          <w:sz w:val="24"/>
        </w:rPr>
      </w:pPr>
      <w:r>
        <w:rPr>
          <w:rFonts w:hint="eastAsia" w:ascii="宋体" w:hAnsi="宋体"/>
          <w:bCs/>
          <w:color w:val="000000"/>
          <w:sz w:val="24"/>
        </w:rPr>
        <w:t>（6）其他被评委会认定无效的情况。</w:t>
      </w:r>
    </w:p>
    <w:p w14:paraId="1A96E86F">
      <w:pPr>
        <w:snapToGrid w:val="0"/>
        <w:spacing w:line="360" w:lineRule="auto"/>
        <w:ind w:firstLine="549"/>
        <w:rPr>
          <w:rFonts w:ascii="宋体" w:hAnsi="宋体"/>
          <w:b/>
          <w:color w:val="000000"/>
          <w:sz w:val="24"/>
        </w:rPr>
      </w:pPr>
      <w:r>
        <w:rPr>
          <w:rFonts w:hint="eastAsia" w:ascii="宋体" w:hAnsi="宋体"/>
          <w:color w:val="000000"/>
          <w:sz w:val="24"/>
        </w:rPr>
        <w:t>25</w:t>
      </w:r>
      <w:r>
        <w:rPr>
          <w:rFonts w:ascii="宋体" w:hAnsi="宋体"/>
          <w:color w:val="000000"/>
          <w:sz w:val="24"/>
        </w:rPr>
        <w:t>.2</w:t>
      </w:r>
      <w:r>
        <w:rPr>
          <w:rFonts w:hint="eastAsia" w:ascii="宋体" w:hAnsi="宋体"/>
          <w:color w:val="000000"/>
          <w:sz w:val="24"/>
        </w:rPr>
        <w:t xml:space="preserve"> 在详细评标之前，评委会将首先审查每份投标书是否实质响应了招标文件的要求。实质上响应的投标是与招标文件的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评标委员会决定投标文件的响应性只根据投标文件本身的内容，而不寻求外部的证据。</w:t>
      </w:r>
    </w:p>
    <w:p w14:paraId="518F388A">
      <w:pPr>
        <w:snapToGrid w:val="0"/>
        <w:spacing w:line="360" w:lineRule="auto"/>
        <w:ind w:firstLine="549"/>
        <w:rPr>
          <w:rFonts w:ascii="宋体" w:hAnsi="宋体"/>
          <w:bCs/>
          <w:color w:val="000000"/>
          <w:sz w:val="24"/>
        </w:rPr>
      </w:pPr>
      <w:r>
        <w:rPr>
          <w:rFonts w:hint="eastAsia" w:ascii="宋体" w:hAnsi="宋体"/>
          <w:bCs/>
          <w:color w:val="000000"/>
          <w:sz w:val="24"/>
        </w:rPr>
        <w:t>25</w:t>
      </w:r>
      <w:r>
        <w:rPr>
          <w:rFonts w:ascii="宋体" w:hAnsi="宋体"/>
          <w:bCs/>
          <w:color w:val="000000"/>
          <w:sz w:val="24"/>
        </w:rPr>
        <w:t>.3</w:t>
      </w:r>
      <w:r>
        <w:rPr>
          <w:rFonts w:hint="eastAsia" w:ascii="宋体" w:hAnsi="宋体"/>
          <w:bCs/>
          <w:color w:val="000000"/>
          <w:sz w:val="24"/>
        </w:rPr>
        <w:t xml:space="preserve"> 如果投标文件实质上没有响应招标文件的要求，评委会将予以拒绝，投标人不得通过修改或撤销不合要求的偏离或保留而使其投标成为响应性的投标。</w:t>
      </w:r>
    </w:p>
    <w:p w14:paraId="01C80A9A">
      <w:pPr>
        <w:snapToGrid w:val="0"/>
        <w:spacing w:line="360" w:lineRule="auto"/>
        <w:ind w:firstLine="549"/>
        <w:rPr>
          <w:rFonts w:ascii="宋体" w:hAnsi="宋体"/>
          <w:bCs/>
          <w:color w:val="000000"/>
          <w:sz w:val="24"/>
        </w:rPr>
      </w:pPr>
      <w:r>
        <w:rPr>
          <w:rFonts w:hint="eastAsia" w:ascii="宋体" w:hAnsi="宋体"/>
          <w:bCs/>
          <w:color w:val="000000"/>
          <w:sz w:val="24"/>
        </w:rPr>
        <w:t>25</w:t>
      </w:r>
      <w:r>
        <w:rPr>
          <w:rFonts w:ascii="宋体" w:hAnsi="宋体"/>
          <w:bCs/>
          <w:color w:val="000000"/>
          <w:sz w:val="24"/>
        </w:rPr>
        <w:t>.</w:t>
      </w:r>
      <w:r>
        <w:rPr>
          <w:rFonts w:hint="eastAsia" w:ascii="宋体" w:hAnsi="宋体"/>
          <w:bCs/>
          <w:color w:val="000000"/>
          <w:sz w:val="24"/>
        </w:rPr>
        <w:t>4</w:t>
      </w:r>
      <w:r>
        <w:rPr>
          <w:rFonts w:ascii="宋体" w:hAnsi="宋体"/>
          <w:bCs/>
          <w:color w:val="000000"/>
          <w:sz w:val="24"/>
        </w:rPr>
        <w:t xml:space="preserve"> </w:t>
      </w:r>
      <w:r>
        <w:rPr>
          <w:rFonts w:hint="eastAsia" w:ascii="宋体" w:hAnsi="宋体"/>
          <w:bCs/>
          <w:color w:val="000000"/>
          <w:sz w:val="24"/>
        </w:rPr>
        <w:t>评委会将允许修改投标中不构成重大偏离的微小的、非正规、不一致或不规则地方，但这些修改不能影响任何投标人的名次相应排列。</w:t>
      </w:r>
    </w:p>
    <w:p w14:paraId="382B91AB">
      <w:pPr>
        <w:snapToGrid w:val="0"/>
        <w:spacing w:line="360" w:lineRule="auto"/>
        <w:ind w:firstLine="549"/>
        <w:rPr>
          <w:rFonts w:ascii="宋体" w:hAnsi="宋体"/>
          <w:bCs/>
          <w:color w:val="000000"/>
          <w:sz w:val="24"/>
        </w:rPr>
      </w:pPr>
      <w:r>
        <w:rPr>
          <w:rFonts w:hint="eastAsia" w:ascii="宋体" w:hAnsi="宋体"/>
          <w:bCs/>
          <w:color w:val="000000"/>
          <w:sz w:val="24"/>
        </w:rPr>
        <w:t>25.5招标文件提供的工艺、材料、设备、参考的商标或样本目录号码等仅作为说明并没有限制性，投标人在投标中可以选用替代标准，但这些替代标准要优于或相当于技术规格中要求的标准，以满足招标人的需要。</w:t>
      </w:r>
    </w:p>
    <w:p w14:paraId="3B7EC11D">
      <w:pPr>
        <w:snapToGrid w:val="0"/>
        <w:spacing w:line="360" w:lineRule="auto"/>
        <w:ind w:firstLine="549"/>
        <w:rPr>
          <w:rFonts w:ascii="宋体" w:hAnsi="宋体"/>
          <w:bCs/>
          <w:color w:val="000000"/>
          <w:sz w:val="24"/>
        </w:rPr>
      </w:pPr>
      <w:r>
        <w:rPr>
          <w:rFonts w:hint="eastAsia" w:ascii="宋体" w:hAnsi="宋体"/>
          <w:bCs/>
          <w:color w:val="000000"/>
          <w:sz w:val="24"/>
        </w:rPr>
        <w:t>25.6 评委会判断投标文件的响应性仅基于投标文件本身而不靠外部证据。</w:t>
      </w:r>
    </w:p>
    <w:p w14:paraId="443F6241">
      <w:pPr>
        <w:snapToGrid w:val="0"/>
        <w:spacing w:line="360" w:lineRule="auto"/>
        <w:ind w:firstLine="549"/>
        <w:rPr>
          <w:rFonts w:ascii="宋体" w:hAnsi="宋体"/>
          <w:color w:val="000000"/>
          <w:sz w:val="24"/>
          <w:szCs w:val="24"/>
        </w:rPr>
      </w:pPr>
      <w:r>
        <w:rPr>
          <w:rFonts w:hint="eastAsia" w:ascii="宋体" w:hAnsi="宋体"/>
          <w:color w:val="000000"/>
          <w:sz w:val="24"/>
          <w:szCs w:val="24"/>
        </w:rPr>
        <w:t>25.7 评委会将按照规定</w:t>
      </w:r>
      <w:r>
        <w:rPr>
          <w:rFonts w:hint="eastAsia" w:ascii="宋体" w:hAnsi="宋体"/>
          <w:color w:val="000000"/>
          <w:sz w:val="24"/>
          <w:szCs w:val="24"/>
          <w:lang w:eastAsia="zh-CN"/>
        </w:rPr>
        <w:t>，</w:t>
      </w:r>
      <w:r>
        <w:rPr>
          <w:rFonts w:hint="eastAsia" w:ascii="宋体" w:hAnsi="宋体"/>
          <w:color w:val="000000"/>
          <w:sz w:val="24"/>
          <w:szCs w:val="24"/>
        </w:rPr>
        <w:t>仅对确定为实质上响应招标文件要求的投标进行评价和比较。</w:t>
      </w:r>
    </w:p>
    <w:p w14:paraId="7692B3E1">
      <w:pPr>
        <w:pStyle w:val="7"/>
        <w:spacing w:before="0" w:after="0" w:line="360" w:lineRule="auto"/>
        <w:ind w:firstLine="628"/>
        <w:rPr>
          <w:rFonts w:hAnsi="宋体"/>
          <w:color w:val="000000"/>
          <w:sz w:val="28"/>
        </w:rPr>
      </w:pPr>
      <w:bookmarkStart w:id="71" w:name="_Toc29886"/>
      <w:bookmarkStart w:id="72" w:name="_Toc1479828"/>
      <w:bookmarkStart w:id="73" w:name="_Toc1479965"/>
      <w:bookmarkStart w:id="74" w:name="_Toc516969091"/>
      <w:bookmarkStart w:id="75" w:name="_Toc260081063"/>
      <w:r>
        <w:rPr>
          <w:rFonts w:hint="eastAsia" w:hAnsi="宋体"/>
          <w:color w:val="000000"/>
          <w:sz w:val="28"/>
        </w:rPr>
        <w:t>六、定标与签订合同</w:t>
      </w:r>
      <w:bookmarkEnd w:id="71"/>
      <w:bookmarkEnd w:id="72"/>
      <w:bookmarkEnd w:id="73"/>
      <w:bookmarkEnd w:id="74"/>
      <w:bookmarkEnd w:id="75"/>
    </w:p>
    <w:p w14:paraId="6D3AFDD3">
      <w:pPr>
        <w:spacing w:line="360" w:lineRule="auto"/>
        <w:ind w:firstLine="549"/>
        <w:rPr>
          <w:rFonts w:ascii="宋体" w:hAnsi="宋体"/>
          <w:b/>
          <w:color w:val="000000"/>
          <w:sz w:val="24"/>
        </w:rPr>
      </w:pPr>
      <w:r>
        <w:rPr>
          <w:rFonts w:hint="eastAsia" w:ascii="宋体" w:hAnsi="宋体"/>
          <w:b/>
          <w:color w:val="000000"/>
          <w:sz w:val="24"/>
        </w:rPr>
        <w:t>26.定标</w:t>
      </w:r>
    </w:p>
    <w:p w14:paraId="7FACBFEA">
      <w:pPr>
        <w:spacing w:line="360" w:lineRule="auto"/>
        <w:ind w:firstLine="549"/>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1评委会将按照综合评估法推选出1-2名中标候选人。</w:t>
      </w:r>
    </w:p>
    <w:p w14:paraId="637FC29C">
      <w:pPr>
        <w:spacing w:line="360" w:lineRule="auto"/>
        <w:ind w:firstLine="549"/>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2如果确定第一中标候选人无法履行合同，招标人有权</w:t>
      </w:r>
      <w:r>
        <w:rPr>
          <w:rFonts w:hint="eastAsia" w:ascii="宋体" w:hAnsi="宋体"/>
          <w:color w:val="000000"/>
          <w:sz w:val="24"/>
          <w:lang w:eastAsia="zh-CN"/>
        </w:rPr>
        <w:t>安排</w:t>
      </w:r>
      <w:r>
        <w:rPr>
          <w:rFonts w:hint="eastAsia" w:ascii="宋体" w:hAnsi="宋体"/>
          <w:color w:val="000000"/>
          <w:sz w:val="24"/>
        </w:rPr>
        <w:t>名顺序对其他中标候选人进行递补或重新招标。</w:t>
      </w:r>
    </w:p>
    <w:p w14:paraId="3AFBD08C">
      <w:pPr>
        <w:spacing w:line="360" w:lineRule="auto"/>
        <w:ind w:firstLine="549"/>
        <w:rPr>
          <w:rFonts w:ascii="宋体" w:hAnsi="宋体"/>
          <w:color w:val="000000"/>
          <w:sz w:val="24"/>
        </w:rPr>
      </w:pPr>
      <w:r>
        <w:rPr>
          <w:rFonts w:hint="eastAsia" w:ascii="宋体" w:hAnsi="宋体"/>
          <w:color w:val="000000"/>
          <w:sz w:val="24"/>
        </w:rPr>
        <w:t>26.3 原则上把合同授予实质上响应招标文件要求的排名最前的中标候选人。</w:t>
      </w:r>
    </w:p>
    <w:p w14:paraId="27A00417">
      <w:pPr>
        <w:spacing w:line="360" w:lineRule="auto"/>
        <w:ind w:firstLine="549"/>
        <w:rPr>
          <w:rFonts w:ascii="宋体" w:hAnsi="宋体"/>
          <w:color w:val="000000"/>
          <w:sz w:val="24"/>
        </w:rPr>
      </w:pPr>
      <w:r>
        <w:rPr>
          <w:rFonts w:hint="eastAsia" w:ascii="宋体" w:hAnsi="宋体"/>
          <w:color w:val="000000"/>
          <w:sz w:val="24"/>
        </w:rPr>
        <w:t>26.4 最低报价并不是被授予合同的保证。</w:t>
      </w:r>
    </w:p>
    <w:p w14:paraId="7945F963">
      <w:pPr>
        <w:spacing w:line="360" w:lineRule="auto"/>
        <w:ind w:firstLine="549"/>
        <w:rPr>
          <w:rFonts w:ascii="宋体" w:hAnsi="宋体"/>
          <w:color w:val="000000"/>
          <w:sz w:val="24"/>
        </w:rPr>
      </w:pPr>
      <w:r>
        <w:rPr>
          <w:rFonts w:hint="eastAsia" w:ascii="宋体" w:hAnsi="宋体"/>
          <w:color w:val="000000"/>
          <w:sz w:val="24"/>
        </w:rPr>
        <w:t>26.5 凡发现中标候选人有下列行为之一的，其中标无效，并移交招投标监督管理部门依法处理：</w:t>
      </w:r>
    </w:p>
    <w:p w14:paraId="52E6F588">
      <w:pPr>
        <w:spacing w:line="360" w:lineRule="auto"/>
        <w:ind w:left="549"/>
        <w:rPr>
          <w:rFonts w:ascii="宋体" w:hAnsi="宋体"/>
          <w:color w:val="000000"/>
          <w:sz w:val="24"/>
        </w:rPr>
      </w:pPr>
      <w:r>
        <w:rPr>
          <w:rFonts w:hint="eastAsia" w:ascii="宋体" w:hAnsi="宋体"/>
          <w:color w:val="000000"/>
          <w:sz w:val="24"/>
        </w:rPr>
        <w:t>26.5.1提供虚假材料谋取中标的；</w:t>
      </w:r>
    </w:p>
    <w:p w14:paraId="6E30125D">
      <w:pPr>
        <w:spacing w:line="360" w:lineRule="auto"/>
        <w:ind w:left="549"/>
        <w:rPr>
          <w:rFonts w:ascii="宋体" w:hAnsi="宋体"/>
          <w:color w:val="000000"/>
          <w:sz w:val="24"/>
        </w:rPr>
      </w:pPr>
      <w:r>
        <w:rPr>
          <w:rFonts w:hint="eastAsia" w:ascii="宋体" w:hAnsi="宋体"/>
          <w:color w:val="000000"/>
          <w:sz w:val="24"/>
        </w:rPr>
        <w:t>26.5.2与招标人、其他投标人或者招标方工作人员恶意串通的；</w:t>
      </w:r>
    </w:p>
    <w:p w14:paraId="48587DDE">
      <w:pPr>
        <w:spacing w:line="360" w:lineRule="auto"/>
        <w:ind w:firstLine="600" w:firstLineChars="250"/>
        <w:rPr>
          <w:rFonts w:ascii="宋体" w:hAnsi="宋体"/>
          <w:color w:val="000000"/>
          <w:sz w:val="24"/>
        </w:rPr>
      </w:pPr>
      <w:r>
        <w:rPr>
          <w:rFonts w:hint="eastAsia" w:ascii="宋体" w:hAnsi="宋体"/>
          <w:color w:val="000000"/>
          <w:sz w:val="24"/>
        </w:rPr>
        <w:t>26.5.3向招标人、评审专家、招标方工作人员行贿或者提供其他不正当利益的；</w:t>
      </w:r>
    </w:p>
    <w:p w14:paraId="5CC0A2C4">
      <w:pPr>
        <w:spacing w:line="360" w:lineRule="auto"/>
        <w:ind w:firstLine="549"/>
        <w:rPr>
          <w:rFonts w:ascii="宋体" w:hAnsi="宋体"/>
          <w:color w:val="000000"/>
          <w:sz w:val="24"/>
        </w:rPr>
      </w:pPr>
      <w:r>
        <w:rPr>
          <w:rFonts w:hint="eastAsia" w:ascii="宋体" w:hAnsi="宋体"/>
          <w:color w:val="000000"/>
          <w:sz w:val="24"/>
        </w:rPr>
        <w:t>26.5.4有法律、法规规定的其他损害招标人利益和社会公共利益情形的；</w:t>
      </w:r>
    </w:p>
    <w:p w14:paraId="1A94806A">
      <w:pPr>
        <w:spacing w:line="360" w:lineRule="auto"/>
        <w:ind w:firstLine="549"/>
        <w:rPr>
          <w:rFonts w:ascii="宋体" w:hAnsi="宋体"/>
          <w:color w:val="000000"/>
          <w:sz w:val="24"/>
        </w:rPr>
      </w:pPr>
      <w:r>
        <w:rPr>
          <w:rFonts w:hint="eastAsia" w:ascii="宋体" w:hAnsi="宋体"/>
          <w:color w:val="000000"/>
          <w:sz w:val="24"/>
        </w:rPr>
        <w:t>26.5.5其他违反招投标法律、法规和规章强制性规定的行为。</w:t>
      </w:r>
    </w:p>
    <w:p w14:paraId="18624487">
      <w:pPr>
        <w:spacing w:line="360" w:lineRule="auto"/>
        <w:ind w:firstLine="549"/>
        <w:rPr>
          <w:rFonts w:ascii="宋体" w:hAnsi="宋体"/>
          <w:color w:val="000000"/>
          <w:sz w:val="24"/>
        </w:rPr>
      </w:pPr>
      <w:r>
        <w:rPr>
          <w:rFonts w:hint="eastAsia" w:ascii="宋体" w:hAnsi="宋体"/>
          <w:color w:val="000000"/>
          <w:sz w:val="24"/>
        </w:rPr>
        <w:t>26.6招标人根据评标委员会推荐的中标候选人情况在招标公告发布媒体及时发布中标结果公告。</w:t>
      </w:r>
    </w:p>
    <w:p w14:paraId="57C2AEA3">
      <w:pPr>
        <w:spacing w:line="360" w:lineRule="auto"/>
        <w:ind w:firstLine="549"/>
        <w:rPr>
          <w:rFonts w:ascii="宋体" w:hAnsi="宋体"/>
          <w:b/>
          <w:color w:val="000000"/>
          <w:sz w:val="24"/>
        </w:rPr>
      </w:pPr>
      <w:r>
        <w:rPr>
          <w:rFonts w:hint="eastAsia" w:ascii="宋体" w:hAnsi="宋体"/>
          <w:b/>
          <w:color w:val="000000"/>
          <w:sz w:val="24"/>
        </w:rPr>
        <w:t>27.中标通知书</w:t>
      </w:r>
    </w:p>
    <w:p w14:paraId="5B5D1AD4">
      <w:pPr>
        <w:spacing w:line="360" w:lineRule="auto"/>
        <w:ind w:firstLine="549"/>
        <w:rPr>
          <w:rFonts w:ascii="宋体" w:hAnsi="宋体"/>
          <w:color w:val="000000"/>
          <w:sz w:val="24"/>
        </w:rPr>
      </w:pPr>
      <w:r>
        <w:rPr>
          <w:rFonts w:hint="eastAsia" w:ascii="宋体" w:hAnsi="宋体"/>
          <w:color w:val="000000"/>
          <w:sz w:val="24"/>
        </w:rPr>
        <w:t>27</w:t>
      </w:r>
      <w:r>
        <w:rPr>
          <w:rFonts w:ascii="宋体" w:hAnsi="宋体"/>
          <w:color w:val="000000"/>
          <w:sz w:val="24"/>
        </w:rPr>
        <w:t>.1</w:t>
      </w:r>
      <w:r>
        <w:rPr>
          <w:rFonts w:hint="eastAsia" w:ascii="宋体" w:hAnsi="宋体"/>
          <w:color w:val="000000"/>
          <w:sz w:val="24"/>
        </w:rPr>
        <w:t>招标人将以中标通知书形式通知中标人，其投标已被接受。</w:t>
      </w:r>
    </w:p>
    <w:p w14:paraId="00FD2ADD">
      <w:pPr>
        <w:spacing w:line="360" w:lineRule="auto"/>
        <w:ind w:firstLine="549"/>
        <w:rPr>
          <w:rFonts w:ascii="宋体" w:hAnsi="宋体"/>
          <w:color w:val="000000"/>
          <w:sz w:val="24"/>
        </w:rPr>
      </w:pPr>
      <w:r>
        <w:rPr>
          <w:rFonts w:hint="eastAsia" w:ascii="宋体" w:hAnsi="宋体"/>
          <w:color w:val="000000"/>
          <w:sz w:val="24"/>
        </w:rPr>
        <w:t>27</w:t>
      </w:r>
      <w:r>
        <w:rPr>
          <w:rFonts w:ascii="宋体" w:hAnsi="宋体"/>
          <w:color w:val="000000"/>
          <w:sz w:val="24"/>
        </w:rPr>
        <w:t>.</w:t>
      </w:r>
      <w:r>
        <w:rPr>
          <w:rFonts w:hint="eastAsia" w:ascii="宋体" w:hAnsi="宋体"/>
          <w:color w:val="000000"/>
          <w:sz w:val="24"/>
        </w:rPr>
        <w:t>2招标人对未中标的投标人不做未中标原因的解释。</w:t>
      </w:r>
    </w:p>
    <w:p w14:paraId="4CC381F5">
      <w:pPr>
        <w:spacing w:line="360" w:lineRule="auto"/>
        <w:ind w:firstLine="549"/>
        <w:rPr>
          <w:rFonts w:ascii="宋体" w:hAnsi="宋体"/>
          <w:b/>
          <w:color w:val="000000"/>
          <w:sz w:val="24"/>
        </w:rPr>
      </w:pPr>
      <w:r>
        <w:rPr>
          <w:rFonts w:hint="eastAsia" w:ascii="宋体" w:hAnsi="宋体"/>
          <w:b/>
          <w:color w:val="000000"/>
          <w:sz w:val="24"/>
        </w:rPr>
        <w:t>2</w:t>
      </w:r>
      <w:r>
        <w:rPr>
          <w:rFonts w:ascii="宋体" w:hAnsi="宋体"/>
          <w:b/>
          <w:color w:val="000000"/>
          <w:sz w:val="24"/>
        </w:rPr>
        <w:t>8</w:t>
      </w:r>
      <w:r>
        <w:rPr>
          <w:rFonts w:hint="eastAsia" w:ascii="宋体" w:hAnsi="宋体"/>
          <w:b/>
          <w:color w:val="000000"/>
          <w:sz w:val="24"/>
        </w:rPr>
        <w:t>.履约保证金</w:t>
      </w:r>
    </w:p>
    <w:p w14:paraId="50CB886E">
      <w:pPr>
        <w:spacing w:line="360" w:lineRule="auto"/>
        <w:ind w:firstLine="549"/>
        <w:rPr>
          <w:rFonts w:ascii="宋体" w:hAnsi="宋体"/>
          <w:color w:val="000000"/>
          <w:sz w:val="24"/>
        </w:rPr>
      </w:pPr>
      <w:r>
        <w:rPr>
          <w:rFonts w:hint="eastAsia" w:ascii="宋体" w:hAnsi="宋体"/>
          <w:color w:val="000000"/>
          <w:sz w:val="24"/>
        </w:rPr>
        <w:t>2</w:t>
      </w:r>
      <w:r>
        <w:rPr>
          <w:rFonts w:ascii="宋体" w:hAnsi="宋体"/>
          <w:color w:val="000000"/>
          <w:sz w:val="24"/>
        </w:rPr>
        <w:t>8.1</w:t>
      </w:r>
      <w:r>
        <w:rPr>
          <w:rFonts w:hint="eastAsia" w:ascii="宋体" w:hAnsi="宋体"/>
          <w:color w:val="000000"/>
          <w:sz w:val="24"/>
        </w:rPr>
        <w:t>根据合同约定。</w:t>
      </w:r>
    </w:p>
    <w:p w14:paraId="18E6CE4A">
      <w:pPr>
        <w:spacing w:line="360" w:lineRule="auto"/>
        <w:ind w:firstLine="549"/>
        <w:rPr>
          <w:rFonts w:ascii="宋体" w:hAnsi="宋体"/>
          <w:b/>
          <w:color w:val="000000"/>
          <w:sz w:val="24"/>
        </w:rPr>
      </w:pPr>
      <w:r>
        <w:rPr>
          <w:rFonts w:ascii="宋体" w:hAnsi="宋体"/>
          <w:b/>
          <w:color w:val="000000"/>
          <w:sz w:val="24"/>
        </w:rPr>
        <w:t>29</w:t>
      </w:r>
      <w:r>
        <w:rPr>
          <w:rFonts w:hint="eastAsia" w:ascii="宋体" w:hAnsi="宋体"/>
          <w:b/>
          <w:color w:val="000000"/>
          <w:sz w:val="24"/>
        </w:rPr>
        <w:t>.签订合同</w:t>
      </w:r>
    </w:p>
    <w:p w14:paraId="77752E0A">
      <w:pPr>
        <w:spacing w:line="360" w:lineRule="auto"/>
        <w:ind w:firstLine="549"/>
        <w:rPr>
          <w:rFonts w:ascii="宋体" w:hAnsi="宋体"/>
          <w:color w:val="000000"/>
          <w:sz w:val="24"/>
        </w:rPr>
      </w:pPr>
      <w:r>
        <w:rPr>
          <w:rFonts w:ascii="宋体" w:hAnsi="宋体"/>
          <w:color w:val="000000"/>
          <w:sz w:val="24"/>
        </w:rPr>
        <w:t>29</w:t>
      </w:r>
      <w:r>
        <w:rPr>
          <w:rFonts w:hint="eastAsia" w:ascii="宋体" w:hAnsi="宋体"/>
          <w:color w:val="000000"/>
          <w:sz w:val="24"/>
        </w:rPr>
        <w:t>.1中标人应在中标通知书发出之日起60日内（具体时间、地点见中标通知书）与招标人签订合同。招标文件、中标人的投标文件及澄清文件等，均作为合同的附件。</w:t>
      </w:r>
    </w:p>
    <w:p w14:paraId="2C05E4AD">
      <w:pPr>
        <w:spacing w:line="360" w:lineRule="auto"/>
        <w:ind w:firstLine="549"/>
        <w:rPr>
          <w:rFonts w:ascii="宋体" w:hAnsi="宋体"/>
          <w:color w:val="000000"/>
          <w:sz w:val="24"/>
        </w:rPr>
      </w:pPr>
      <w:r>
        <w:rPr>
          <w:rFonts w:ascii="宋体" w:hAnsi="宋体"/>
          <w:bCs/>
          <w:color w:val="000000"/>
          <w:sz w:val="24"/>
          <w:szCs w:val="27"/>
        </w:rPr>
        <w:t>29</w:t>
      </w:r>
      <w:r>
        <w:rPr>
          <w:rFonts w:hint="eastAsia" w:ascii="宋体" w:hAnsi="宋体"/>
          <w:bCs/>
          <w:color w:val="000000"/>
          <w:sz w:val="24"/>
          <w:szCs w:val="27"/>
        </w:rPr>
        <w:t>.2双方必须严格按照招标文件、投标文件及有关承诺签订合同，不得擅自变更。对任何因双方擅自变更合同引起的问题招标人概不负责，合同风险由双方自行承担。</w:t>
      </w:r>
    </w:p>
    <w:p w14:paraId="2289793A">
      <w:pPr>
        <w:spacing w:line="360" w:lineRule="auto"/>
        <w:ind w:firstLine="523" w:firstLineChars="218"/>
        <w:rPr>
          <w:rFonts w:ascii="宋体" w:hAnsi="宋体"/>
          <w:color w:val="000000"/>
          <w:sz w:val="24"/>
        </w:rPr>
      </w:pPr>
      <w:r>
        <w:rPr>
          <w:rFonts w:ascii="宋体" w:hAnsi="宋体"/>
          <w:color w:val="000000"/>
          <w:sz w:val="24"/>
        </w:rPr>
        <w:t>29</w:t>
      </w:r>
      <w:r>
        <w:rPr>
          <w:rFonts w:hint="eastAsia" w:ascii="宋体" w:hAnsi="宋体"/>
          <w:color w:val="000000"/>
          <w:sz w:val="24"/>
        </w:rPr>
        <w:t>.3招标人保留以书面形式要求合同的卖方对其所投货物的装运方式、交货地点及服务细则等作适当调整的权利。如遇特殊情况，采购方与中标人充分协商后，对中标目录中的个别产品可以</w:t>
      </w:r>
      <w:r>
        <w:rPr>
          <w:rFonts w:hint="eastAsia" w:ascii="宋体" w:hAnsi="宋体"/>
          <w:color w:val="000000"/>
          <w:sz w:val="24"/>
          <w:lang w:eastAsia="zh-CN"/>
        </w:rPr>
        <w:t>做适当调整</w:t>
      </w:r>
      <w:r>
        <w:rPr>
          <w:rFonts w:hint="eastAsia" w:ascii="宋体" w:hAnsi="宋体"/>
          <w:color w:val="000000"/>
          <w:sz w:val="24"/>
        </w:rPr>
        <w:t>，但价格不变。不影响中标目录中的其他产品按分项报价表中的单价继续执行。</w:t>
      </w:r>
    </w:p>
    <w:p w14:paraId="25457E45">
      <w:pPr>
        <w:spacing w:line="360" w:lineRule="auto"/>
        <w:ind w:firstLine="525" w:firstLineChars="218"/>
        <w:rPr>
          <w:rFonts w:ascii="宋体" w:hAnsi="宋体"/>
          <w:b/>
          <w:color w:val="000000"/>
          <w:sz w:val="24"/>
        </w:rPr>
      </w:pPr>
      <w:r>
        <w:rPr>
          <w:rFonts w:ascii="宋体" w:hAnsi="宋体"/>
          <w:b/>
          <w:color w:val="000000"/>
          <w:sz w:val="24"/>
        </w:rPr>
        <w:t>29</w:t>
      </w:r>
      <w:r>
        <w:rPr>
          <w:rFonts w:hint="eastAsia" w:ascii="宋体" w:hAnsi="宋体"/>
          <w:b/>
          <w:color w:val="000000"/>
          <w:sz w:val="24"/>
        </w:rPr>
        <w:t>.4无论基于何种原因，各项本应作拒绝处理的情形即便未被及时发现而使该投标人进入初审、详细评审</w:t>
      </w:r>
      <w:r>
        <w:rPr>
          <w:rFonts w:hint="eastAsia" w:ascii="宋体" w:hAnsi="宋体"/>
          <w:b/>
          <w:color w:val="000000"/>
          <w:sz w:val="24"/>
          <w:lang w:eastAsia="zh-CN"/>
        </w:rPr>
        <w:t>或其他</w:t>
      </w:r>
      <w:r>
        <w:rPr>
          <w:rFonts w:hint="eastAsia" w:ascii="宋体" w:hAnsi="宋体"/>
          <w:b/>
          <w:color w:val="000000"/>
          <w:sz w:val="24"/>
        </w:rPr>
        <w:t>后续程序，包括已经签约的情形，一旦在任何时间被发现，招标人均有权决定是否取消该投标人此前评议的结果或是否对该报价予以拒绝，并有权采取相应的补救或纠正措施。一旦该投标人被拒绝或被取消此前评议结果，其现有的位置将被其他投标人依序替代或重新组织采购，相关的一切损失均由该投标人自行承担。</w:t>
      </w:r>
    </w:p>
    <w:p w14:paraId="4A13FEEE">
      <w:pPr>
        <w:spacing w:line="360" w:lineRule="auto"/>
        <w:ind w:firstLine="549"/>
        <w:rPr>
          <w:rFonts w:ascii="宋体" w:hAnsi="宋体"/>
          <w:b/>
          <w:bCs/>
          <w:color w:val="000000"/>
          <w:sz w:val="24"/>
        </w:rPr>
      </w:pPr>
      <w:r>
        <w:rPr>
          <w:rFonts w:ascii="宋体" w:hAnsi="宋体"/>
          <w:b/>
          <w:bCs/>
          <w:color w:val="000000"/>
          <w:sz w:val="24"/>
        </w:rPr>
        <w:t>30</w:t>
      </w:r>
      <w:r>
        <w:rPr>
          <w:rFonts w:hint="eastAsia" w:ascii="宋体" w:hAnsi="宋体"/>
          <w:b/>
          <w:color w:val="000000"/>
          <w:sz w:val="24"/>
        </w:rPr>
        <w:t>.</w:t>
      </w:r>
      <w:r>
        <w:rPr>
          <w:rFonts w:hint="eastAsia" w:ascii="宋体" w:hAnsi="宋体"/>
          <w:b/>
          <w:bCs/>
          <w:color w:val="000000"/>
          <w:sz w:val="24"/>
        </w:rPr>
        <w:t>异议、投诉</w:t>
      </w:r>
    </w:p>
    <w:p w14:paraId="7E039CE6">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1投标人认为招标文件、招标过程、中标结果使自己的合法权益受到损害的，应当在规定的时间内，提出异议，逾期不予受理。对同一招标程序环节的异议，投标人须在法定异议期内一次性提出。投标人异议应当符合下列条件</w:t>
      </w:r>
      <w:r>
        <w:rPr>
          <w:rFonts w:hint="eastAsia" w:ascii="宋体" w:hAnsi="宋体"/>
          <w:color w:val="000000"/>
          <w:sz w:val="24"/>
          <w:lang w:eastAsia="zh-CN"/>
        </w:rPr>
        <w:t>：</w:t>
      </w:r>
      <w:r>
        <w:rPr>
          <w:rFonts w:hint="eastAsia" w:ascii="宋体" w:hAnsi="宋体"/>
          <w:color w:val="000000"/>
          <w:sz w:val="24"/>
        </w:rPr>
        <w:t xml:space="preserve"> </w:t>
      </w:r>
    </w:p>
    <w:p w14:paraId="3ECAF47E">
      <w:pPr>
        <w:spacing w:line="360" w:lineRule="auto"/>
        <w:ind w:firstLine="550"/>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 xml:space="preserve">必须是参与该招标项目活动的投标人； </w:t>
      </w:r>
    </w:p>
    <w:p w14:paraId="756812C8">
      <w:pPr>
        <w:spacing w:line="360" w:lineRule="auto"/>
        <w:ind w:firstLine="550"/>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在异议有效期内提出的异议；</w:t>
      </w:r>
    </w:p>
    <w:p w14:paraId="03060746">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.2有以下情形之一的，视为无效异议：</w:t>
      </w:r>
    </w:p>
    <w:p w14:paraId="425E7984">
      <w:pPr>
        <w:spacing w:line="360" w:lineRule="auto"/>
        <w:ind w:firstLine="550"/>
        <w:rPr>
          <w:rFonts w:ascii="宋体" w:hAnsi="宋体"/>
          <w:color w:val="000000"/>
          <w:sz w:val="24"/>
        </w:rPr>
      </w:pPr>
      <w:r>
        <w:rPr>
          <w:rFonts w:hint="eastAsia" w:ascii="宋体" w:hAnsi="宋体"/>
          <w:color w:val="000000"/>
          <w:sz w:val="24"/>
        </w:rPr>
        <w:t>（1）未按规定时间或规定手续提交异议的；</w:t>
      </w:r>
    </w:p>
    <w:p w14:paraId="55108551">
      <w:pPr>
        <w:spacing w:line="360" w:lineRule="auto"/>
        <w:ind w:firstLine="550"/>
        <w:rPr>
          <w:rFonts w:ascii="宋体" w:hAnsi="宋体"/>
          <w:color w:val="000000"/>
          <w:sz w:val="24"/>
        </w:rPr>
      </w:pPr>
      <w:r>
        <w:rPr>
          <w:rFonts w:hint="eastAsia" w:ascii="宋体" w:hAnsi="宋体"/>
          <w:color w:val="000000"/>
          <w:sz w:val="24"/>
        </w:rPr>
        <w:t>（2）异议内容含糊不清、没有提供详细理由和依据，无法进行核查的；</w:t>
      </w:r>
    </w:p>
    <w:p w14:paraId="3E1E2D51">
      <w:pPr>
        <w:spacing w:line="360" w:lineRule="auto"/>
        <w:ind w:firstLine="550"/>
        <w:rPr>
          <w:rFonts w:ascii="宋体" w:hAnsi="宋体"/>
          <w:color w:val="000000"/>
          <w:sz w:val="24"/>
        </w:rPr>
      </w:pPr>
      <w:r>
        <w:rPr>
          <w:rFonts w:hint="eastAsia" w:ascii="宋体" w:hAnsi="宋体"/>
          <w:color w:val="000000"/>
          <w:sz w:val="24"/>
        </w:rPr>
        <w:t>（3）其他不符合异议程序和有关规定的。</w:t>
      </w:r>
    </w:p>
    <w:p w14:paraId="2380B1A8">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.3招标人或代理机构将在收到异议后七个工作日内审查异议事项，作出答复或相关处理决定，并通知异议人，但答复的内容不涉及商业秘密。</w:t>
      </w:r>
    </w:p>
    <w:p w14:paraId="5316F572">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4投诉</w:t>
      </w:r>
    </w:p>
    <w:p w14:paraId="5DD7DC62">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.4.1异议投标人对招标人的答复不满意或者招标人未在规定的时间内作出答复，而向相关招标监督管理部门进行的书面投诉。投标人的投诉应在异议答复期满后十五个工作日内提出。</w:t>
      </w:r>
    </w:p>
    <w:p w14:paraId="37DD159A">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.4.2投诉人有下列情形之一的，属于虚假、恶意投诉，相关招标监督管理部门将驳回投诉，将其列入不良行为记录名单，并依法予以处罚：</w:t>
      </w:r>
    </w:p>
    <w:p w14:paraId="3052D622">
      <w:pPr>
        <w:spacing w:line="360" w:lineRule="auto"/>
        <w:ind w:firstLine="550"/>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一年内三次以上投诉均查无实据的；</w:t>
      </w:r>
    </w:p>
    <w:p w14:paraId="29E84A68">
      <w:pPr>
        <w:spacing w:line="360" w:lineRule="auto"/>
        <w:ind w:firstLine="550"/>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 xml:space="preserve">捏造事实、提供虚假投诉材料或提供以非法手段取得的证明材料异议的；  </w:t>
      </w:r>
    </w:p>
    <w:p w14:paraId="4933EA59">
      <w:pPr>
        <w:spacing w:line="360" w:lineRule="auto"/>
        <w:ind w:firstLine="550"/>
        <w:rPr>
          <w:rFonts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其他经认定属于虚假、恶意投诉的行为。</w:t>
      </w:r>
    </w:p>
    <w:p w14:paraId="400D8C46">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.5提出异议和投诉的投标人必须遵守法定的方式、程序和时限，不得捏造事实或者提供虚假材料进行恶意异议和投诉。</w:t>
      </w:r>
    </w:p>
    <w:p w14:paraId="2C99A56F">
      <w:pPr>
        <w:spacing w:line="360" w:lineRule="auto"/>
        <w:ind w:firstLine="550"/>
        <w:rPr>
          <w:rFonts w:ascii="宋体" w:hAnsi="宋体"/>
          <w:color w:val="000000"/>
          <w:sz w:val="24"/>
        </w:rPr>
      </w:pPr>
      <w:r>
        <w:rPr>
          <w:rFonts w:hint="eastAsia" w:ascii="宋体" w:hAnsi="宋体"/>
          <w:color w:val="000000"/>
          <w:sz w:val="24"/>
        </w:rPr>
        <w:t>3</w:t>
      </w:r>
      <w:r>
        <w:rPr>
          <w:rFonts w:ascii="宋体" w:hAnsi="宋体"/>
          <w:color w:val="000000"/>
          <w:sz w:val="24"/>
        </w:rPr>
        <w:t>0</w:t>
      </w:r>
      <w:r>
        <w:rPr>
          <w:rFonts w:hint="eastAsia" w:ascii="宋体" w:hAnsi="宋体"/>
          <w:color w:val="000000"/>
          <w:sz w:val="24"/>
        </w:rPr>
        <w:t>.6投标人异议和投诉实行实名制，其异议和投诉应当有具体的异议和投诉事项及事实根据，并配合招标人和招投标监管部门处理异议和投诉。</w:t>
      </w:r>
    </w:p>
    <w:p w14:paraId="760277CE">
      <w:pPr>
        <w:spacing w:line="360" w:lineRule="auto"/>
        <w:ind w:firstLine="549"/>
        <w:rPr>
          <w:rFonts w:ascii="宋体" w:hAnsi="宋体"/>
          <w:b/>
          <w:color w:val="000000"/>
          <w:sz w:val="24"/>
        </w:rPr>
      </w:pPr>
      <w:r>
        <w:rPr>
          <w:rFonts w:hint="eastAsia" w:ascii="宋体" w:hAnsi="宋体"/>
          <w:b/>
          <w:color w:val="000000"/>
          <w:sz w:val="24"/>
        </w:rPr>
        <w:t>3</w:t>
      </w:r>
      <w:r>
        <w:rPr>
          <w:rFonts w:ascii="宋体" w:hAnsi="宋体"/>
          <w:b/>
          <w:color w:val="000000"/>
          <w:sz w:val="24"/>
        </w:rPr>
        <w:t>1</w:t>
      </w:r>
      <w:r>
        <w:rPr>
          <w:rFonts w:hint="eastAsia" w:ascii="宋体" w:hAnsi="宋体"/>
          <w:b/>
          <w:color w:val="000000"/>
          <w:sz w:val="24"/>
        </w:rPr>
        <w:t>.未尽事宜</w:t>
      </w:r>
    </w:p>
    <w:p w14:paraId="3AC1AB5A">
      <w:pPr>
        <w:spacing w:line="360" w:lineRule="auto"/>
        <w:ind w:firstLine="549"/>
        <w:rPr>
          <w:rFonts w:ascii="宋体" w:hAnsi="宋体"/>
          <w:color w:val="000000"/>
          <w:sz w:val="24"/>
        </w:rPr>
      </w:pPr>
      <w:r>
        <w:rPr>
          <w:rFonts w:hint="eastAsia" w:ascii="宋体" w:hAnsi="宋体"/>
          <w:color w:val="000000"/>
          <w:sz w:val="24"/>
        </w:rPr>
        <w:t>3</w:t>
      </w:r>
      <w:r>
        <w:rPr>
          <w:rFonts w:ascii="宋体" w:hAnsi="宋体"/>
          <w:color w:val="000000"/>
          <w:sz w:val="24"/>
        </w:rPr>
        <w:t>1</w:t>
      </w:r>
      <w:r>
        <w:rPr>
          <w:rFonts w:hint="eastAsia" w:ascii="宋体" w:hAnsi="宋体"/>
          <w:color w:val="000000"/>
          <w:sz w:val="24"/>
        </w:rPr>
        <w:t>.1参照《中华人民共和国招标投标法</w:t>
      </w:r>
      <w:r>
        <w:rPr>
          <w:rFonts w:hint="eastAsia" w:ascii="宋体" w:hAnsi="宋体"/>
          <w:color w:val="000000"/>
          <w:sz w:val="24"/>
          <w:lang w:eastAsia="zh-CN"/>
        </w:rPr>
        <w:t>》《</w:t>
      </w:r>
      <w:r>
        <w:rPr>
          <w:rFonts w:hint="eastAsia" w:ascii="宋体" w:hAnsi="宋体"/>
          <w:color w:val="000000"/>
          <w:sz w:val="24"/>
        </w:rPr>
        <w:t>中华人民共和国招标投标法实施条例》及其他有关法律法规的规定执行。</w:t>
      </w:r>
    </w:p>
    <w:p w14:paraId="2CB32B25">
      <w:pPr>
        <w:spacing w:line="360" w:lineRule="auto"/>
        <w:ind w:firstLine="549"/>
        <w:rPr>
          <w:rFonts w:ascii="宋体" w:hAnsi="宋体"/>
          <w:bCs/>
          <w:color w:val="000000"/>
          <w:sz w:val="24"/>
        </w:rPr>
      </w:pPr>
      <w:r>
        <w:rPr>
          <w:rFonts w:hint="eastAsia" w:ascii="宋体" w:hAnsi="宋体"/>
          <w:b/>
          <w:color w:val="000000"/>
          <w:sz w:val="24"/>
        </w:rPr>
        <w:t>3</w:t>
      </w:r>
      <w:r>
        <w:rPr>
          <w:rFonts w:ascii="宋体" w:hAnsi="宋体"/>
          <w:b/>
          <w:color w:val="000000"/>
          <w:sz w:val="24"/>
        </w:rPr>
        <w:t>2</w:t>
      </w:r>
      <w:r>
        <w:rPr>
          <w:rFonts w:hint="eastAsia" w:ascii="宋体" w:hAnsi="宋体"/>
          <w:b/>
          <w:color w:val="000000"/>
          <w:sz w:val="24"/>
        </w:rPr>
        <w:t>.解释权.</w:t>
      </w:r>
    </w:p>
    <w:p w14:paraId="27C371FA">
      <w:pPr>
        <w:tabs>
          <w:tab w:val="left" w:pos="2947"/>
        </w:tabs>
        <w:spacing w:line="360" w:lineRule="auto"/>
        <w:jc w:val="left"/>
        <w:rPr>
          <w:rFonts w:ascii="宋体" w:hAnsi="宋体"/>
          <w:bCs/>
          <w:color w:val="000000"/>
          <w:kern w:val="10"/>
          <w:sz w:val="24"/>
          <w:szCs w:val="24"/>
        </w:rPr>
      </w:pPr>
      <w:r>
        <w:rPr>
          <w:rFonts w:hint="eastAsia" w:ascii="宋体" w:hAnsi="宋体"/>
          <w:bCs/>
          <w:color w:val="000000"/>
          <w:kern w:val="10"/>
          <w:sz w:val="24"/>
          <w:szCs w:val="24"/>
        </w:rPr>
        <w:t xml:space="preserve">    3</w:t>
      </w:r>
      <w:r>
        <w:rPr>
          <w:rFonts w:ascii="宋体" w:hAnsi="宋体"/>
          <w:bCs/>
          <w:color w:val="000000"/>
          <w:kern w:val="10"/>
          <w:sz w:val="24"/>
          <w:szCs w:val="24"/>
        </w:rPr>
        <w:t>2</w:t>
      </w:r>
      <w:r>
        <w:rPr>
          <w:rFonts w:hint="eastAsia" w:ascii="宋体" w:hAnsi="宋体"/>
          <w:bCs/>
          <w:color w:val="000000"/>
          <w:kern w:val="10"/>
          <w:sz w:val="24"/>
          <w:szCs w:val="24"/>
        </w:rPr>
        <w:t>.1本招标文件的最终解释权在招标人 。</w:t>
      </w:r>
    </w:p>
    <w:p w14:paraId="55BA9E97">
      <w:pPr>
        <w:tabs>
          <w:tab w:val="left" w:pos="2947"/>
        </w:tabs>
        <w:spacing w:line="360" w:lineRule="auto"/>
        <w:jc w:val="left"/>
        <w:rPr>
          <w:rFonts w:ascii="宋体" w:hAnsi="宋体"/>
          <w:bCs/>
          <w:color w:val="000000"/>
          <w:kern w:val="10"/>
          <w:sz w:val="24"/>
          <w:szCs w:val="24"/>
        </w:rPr>
      </w:pPr>
    </w:p>
    <w:p w14:paraId="3D6CF2AF">
      <w:pPr>
        <w:tabs>
          <w:tab w:val="left" w:pos="2947"/>
        </w:tabs>
        <w:spacing w:line="360" w:lineRule="auto"/>
        <w:jc w:val="left"/>
        <w:rPr>
          <w:rFonts w:ascii="宋体" w:hAnsi="宋体"/>
          <w:bCs/>
          <w:color w:val="000000"/>
          <w:kern w:val="10"/>
          <w:sz w:val="24"/>
          <w:szCs w:val="24"/>
        </w:rPr>
      </w:pPr>
    </w:p>
    <w:p w14:paraId="586E2224">
      <w:pPr>
        <w:tabs>
          <w:tab w:val="left" w:pos="2947"/>
        </w:tabs>
        <w:spacing w:line="360" w:lineRule="auto"/>
        <w:jc w:val="left"/>
        <w:rPr>
          <w:rFonts w:ascii="宋体" w:hAnsi="宋体"/>
          <w:bCs/>
          <w:color w:val="000000"/>
          <w:kern w:val="10"/>
          <w:sz w:val="24"/>
          <w:szCs w:val="24"/>
        </w:rPr>
      </w:pPr>
    </w:p>
    <w:p w14:paraId="5E9ABD3F">
      <w:pPr>
        <w:pStyle w:val="2"/>
      </w:pPr>
    </w:p>
    <w:p w14:paraId="66CE5A77">
      <w:pPr>
        <w:pStyle w:val="2"/>
      </w:pPr>
    </w:p>
    <w:p w14:paraId="6EE9759D">
      <w:pPr>
        <w:pStyle w:val="2"/>
      </w:pPr>
    </w:p>
    <w:p w14:paraId="69AB77C9">
      <w:pPr>
        <w:pStyle w:val="2"/>
      </w:pPr>
    </w:p>
    <w:p w14:paraId="38991F23">
      <w:pPr>
        <w:pStyle w:val="2"/>
      </w:pPr>
    </w:p>
    <w:p w14:paraId="1F35D432">
      <w:pPr>
        <w:pStyle w:val="2"/>
      </w:pPr>
    </w:p>
    <w:p w14:paraId="20EE855B">
      <w:pPr>
        <w:pStyle w:val="2"/>
      </w:pPr>
    </w:p>
    <w:p w14:paraId="229D89A3">
      <w:pPr>
        <w:pStyle w:val="2"/>
      </w:pPr>
    </w:p>
    <w:p w14:paraId="7D17053D">
      <w:pPr>
        <w:pStyle w:val="2"/>
      </w:pPr>
    </w:p>
    <w:p w14:paraId="37E5DDC2">
      <w:pPr>
        <w:pStyle w:val="2"/>
      </w:pPr>
    </w:p>
    <w:p w14:paraId="6C0502F4">
      <w:pPr>
        <w:pStyle w:val="2"/>
      </w:pPr>
    </w:p>
    <w:p w14:paraId="41EB32C0">
      <w:pPr>
        <w:pStyle w:val="2"/>
        <w:ind w:left="0" w:leftChars="0" w:firstLine="0" w:firstLineChars="0"/>
      </w:pPr>
    </w:p>
    <w:p w14:paraId="237FE315">
      <w:pPr>
        <w:pStyle w:val="2"/>
        <w:ind w:left="0" w:leftChars="0" w:firstLine="0" w:firstLineChars="0"/>
      </w:pPr>
    </w:p>
    <w:p w14:paraId="6A86CAD2">
      <w:pPr>
        <w:pStyle w:val="2"/>
        <w:ind w:left="0" w:leftChars="0" w:firstLine="0" w:firstLineChars="0"/>
      </w:pPr>
    </w:p>
    <w:p w14:paraId="1A644E75">
      <w:pPr>
        <w:pStyle w:val="2"/>
        <w:ind w:left="0" w:leftChars="0" w:firstLine="0" w:firstLineChars="0"/>
      </w:pPr>
    </w:p>
    <w:p w14:paraId="47BE0961">
      <w:pPr>
        <w:pStyle w:val="2"/>
        <w:ind w:left="0" w:leftChars="0" w:firstLine="0" w:firstLineChars="0"/>
      </w:pPr>
    </w:p>
    <w:p w14:paraId="2626C5A0">
      <w:pPr>
        <w:pStyle w:val="2"/>
        <w:ind w:left="0" w:leftChars="0" w:firstLine="0" w:firstLineChars="0"/>
      </w:pPr>
    </w:p>
    <w:p w14:paraId="709F8BDE">
      <w:pPr>
        <w:pStyle w:val="2"/>
        <w:ind w:left="0" w:leftChars="0" w:firstLine="0" w:firstLineChars="0"/>
      </w:pPr>
    </w:p>
    <w:p w14:paraId="41B92396">
      <w:pPr>
        <w:pStyle w:val="2"/>
        <w:ind w:left="0" w:leftChars="0" w:firstLine="0" w:firstLineChars="0"/>
      </w:pPr>
    </w:p>
    <w:p w14:paraId="3F11A179">
      <w:pPr>
        <w:pStyle w:val="2"/>
        <w:ind w:left="0" w:leftChars="0" w:firstLine="0" w:firstLineChars="0"/>
      </w:pPr>
    </w:p>
    <w:p w14:paraId="56AAF5C4">
      <w:pPr>
        <w:tabs>
          <w:tab w:val="left" w:pos="2947"/>
        </w:tabs>
        <w:spacing w:line="360" w:lineRule="auto"/>
        <w:jc w:val="left"/>
        <w:rPr>
          <w:rFonts w:ascii="宋体" w:hAnsi="宋体"/>
          <w:bCs/>
          <w:color w:val="000000"/>
          <w:kern w:val="10"/>
          <w:sz w:val="24"/>
          <w:szCs w:val="24"/>
        </w:rPr>
      </w:pPr>
    </w:p>
    <w:p w14:paraId="5591D308">
      <w:pPr>
        <w:widowControl w:val="0"/>
        <w:tabs>
          <w:tab w:val="left" w:pos="2226"/>
        </w:tabs>
        <w:spacing w:line="360" w:lineRule="auto"/>
        <w:jc w:val="both"/>
        <w:rPr>
          <w:rFonts w:ascii="宋体" w:hAnsi="宋体" w:eastAsia="宋体" w:cs="宋体"/>
          <w:bCs/>
          <w:color w:val="auto"/>
          <w:kern w:val="2"/>
          <w:sz w:val="28"/>
          <w:szCs w:val="28"/>
        </w:rPr>
      </w:pPr>
      <w:bookmarkStart w:id="76" w:name="_Toc282517739"/>
      <w:r>
        <w:rPr>
          <w:rFonts w:hint="eastAsia" w:ascii="宋体" w:hAnsi="宋体" w:eastAsia="宋体" w:cs="宋体"/>
          <w:bCs/>
          <w:color w:val="auto"/>
          <w:kern w:val="2"/>
          <w:sz w:val="28"/>
          <w:szCs w:val="28"/>
        </w:rPr>
        <w:t>甲方合同编号：</w:t>
      </w:r>
    </w:p>
    <w:p w14:paraId="7034E50B">
      <w:pPr>
        <w:widowControl w:val="0"/>
        <w:spacing w:line="360" w:lineRule="auto"/>
        <w:ind w:firstLine="280" w:firstLineChars="100"/>
        <w:jc w:val="both"/>
        <w:rPr>
          <w:rFonts w:ascii="宋体" w:hAnsi="宋体" w:eastAsia="宋体" w:cs="宋体"/>
          <w:bCs/>
          <w:color w:val="auto"/>
          <w:kern w:val="2"/>
          <w:sz w:val="28"/>
          <w:szCs w:val="28"/>
        </w:rPr>
      </w:pPr>
      <w:r>
        <w:rPr>
          <w:rFonts w:hint="eastAsia" w:ascii="宋体" w:hAnsi="宋体" w:eastAsia="宋体" w:cs="宋体"/>
          <w:bCs/>
          <w:color w:val="auto"/>
          <w:kern w:val="2"/>
          <w:sz w:val="28"/>
          <w:szCs w:val="28"/>
        </w:rPr>
        <w:t>乙方合同编号：</w:t>
      </w:r>
    </w:p>
    <w:p w14:paraId="31A8B868">
      <w:pPr>
        <w:widowControl w:val="0"/>
        <w:spacing w:line="360" w:lineRule="auto"/>
        <w:jc w:val="center"/>
        <w:rPr>
          <w:rFonts w:ascii="宋体" w:hAnsi="宋体" w:eastAsia="宋体"/>
          <w:b/>
          <w:color w:val="auto"/>
          <w:kern w:val="2"/>
          <w:sz w:val="44"/>
          <w:szCs w:val="44"/>
        </w:rPr>
      </w:pPr>
      <w:bookmarkStart w:id="77" w:name="_Toc191875786"/>
    </w:p>
    <w:p w14:paraId="78E16F53">
      <w:pPr>
        <w:widowControl w:val="0"/>
        <w:spacing w:line="360" w:lineRule="auto"/>
        <w:jc w:val="center"/>
        <w:rPr>
          <w:rFonts w:ascii="宋体" w:hAnsi="宋体" w:eastAsia="宋体"/>
          <w:b/>
          <w:color w:val="auto"/>
          <w:kern w:val="2"/>
          <w:sz w:val="44"/>
          <w:szCs w:val="44"/>
        </w:rPr>
      </w:pPr>
    </w:p>
    <w:p w14:paraId="45922641">
      <w:pPr>
        <w:widowControl w:val="0"/>
        <w:spacing w:line="360" w:lineRule="auto"/>
        <w:jc w:val="center"/>
        <w:rPr>
          <w:rFonts w:ascii="宋体" w:hAnsi="宋体" w:eastAsia="宋体"/>
          <w:b/>
          <w:color w:val="auto"/>
          <w:kern w:val="2"/>
          <w:sz w:val="52"/>
          <w:szCs w:val="52"/>
        </w:rPr>
      </w:pPr>
    </w:p>
    <w:p w14:paraId="1A7C3021">
      <w:pPr>
        <w:widowControl w:val="0"/>
        <w:tabs>
          <w:tab w:val="left" w:pos="180"/>
        </w:tabs>
        <w:spacing w:line="360" w:lineRule="auto"/>
        <w:jc w:val="center"/>
        <w:rPr>
          <w:rFonts w:ascii="宋体" w:hAnsi="宋体" w:eastAsia="宋体"/>
          <w:b/>
          <w:color w:val="auto"/>
          <w:kern w:val="2"/>
          <w:sz w:val="52"/>
          <w:szCs w:val="52"/>
        </w:rPr>
      </w:pPr>
    </w:p>
    <w:p w14:paraId="3AF54D7B">
      <w:pPr>
        <w:widowControl w:val="0"/>
        <w:spacing w:line="360" w:lineRule="auto"/>
        <w:jc w:val="center"/>
        <w:rPr>
          <w:rFonts w:ascii="黑体" w:hAnsi="黑体" w:eastAsia="黑体"/>
          <w:color w:val="auto"/>
          <w:kern w:val="2"/>
          <w:sz w:val="52"/>
          <w:szCs w:val="52"/>
        </w:rPr>
      </w:pPr>
      <w:r>
        <w:rPr>
          <w:rFonts w:hint="eastAsia" w:ascii="黑体" w:hAnsi="黑体" w:eastAsia="黑体"/>
          <w:b/>
          <w:color w:val="auto"/>
          <w:kern w:val="2"/>
          <w:sz w:val="52"/>
          <w:szCs w:val="52"/>
        </w:rPr>
        <w:t>分布式光伏发电节能服务合同</w:t>
      </w:r>
    </w:p>
    <w:p w14:paraId="1F1BCA6F">
      <w:pPr>
        <w:widowControl w:val="0"/>
        <w:spacing w:line="360" w:lineRule="auto"/>
        <w:jc w:val="center"/>
        <w:rPr>
          <w:rFonts w:ascii="宋体" w:hAnsi="宋体" w:eastAsia="宋体"/>
          <w:color w:val="auto"/>
          <w:kern w:val="2"/>
          <w:sz w:val="44"/>
        </w:rPr>
      </w:pPr>
    </w:p>
    <w:p w14:paraId="33A333F1">
      <w:pPr>
        <w:widowControl w:val="0"/>
        <w:spacing w:line="360" w:lineRule="auto"/>
        <w:jc w:val="center"/>
        <w:rPr>
          <w:rFonts w:ascii="宋体" w:hAnsi="宋体" w:eastAsia="宋体"/>
          <w:color w:val="auto"/>
          <w:kern w:val="2"/>
          <w:sz w:val="44"/>
        </w:rPr>
      </w:pPr>
    </w:p>
    <w:p w14:paraId="612CC866">
      <w:pPr>
        <w:widowControl w:val="0"/>
        <w:spacing w:line="360" w:lineRule="auto"/>
        <w:jc w:val="center"/>
        <w:rPr>
          <w:rFonts w:ascii="宋体" w:hAnsi="宋体" w:eastAsia="宋体"/>
          <w:color w:val="auto"/>
          <w:kern w:val="2"/>
          <w:sz w:val="44"/>
        </w:rPr>
      </w:pPr>
    </w:p>
    <w:p w14:paraId="5BFE23FB">
      <w:pPr>
        <w:widowControl w:val="0"/>
        <w:spacing w:line="360" w:lineRule="auto"/>
        <w:jc w:val="center"/>
        <w:rPr>
          <w:rFonts w:ascii="宋体" w:hAnsi="宋体" w:eastAsia="宋体"/>
          <w:color w:val="auto"/>
          <w:kern w:val="2"/>
          <w:sz w:val="44"/>
        </w:rPr>
      </w:pPr>
    </w:p>
    <w:p w14:paraId="25C52090">
      <w:pPr>
        <w:widowControl w:val="0"/>
        <w:spacing w:line="360" w:lineRule="auto"/>
        <w:jc w:val="center"/>
        <w:rPr>
          <w:rFonts w:ascii="宋体" w:hAnsi="宋体" w:eastAsia="宋体"/>
          <w:color w:val="auto"/>
          <w:kern w:val="2"/>
          <w:sz w:val="44"/>
        </w:rPr>
      </w:pPr>
    </w:p>
    <w:p w14:paraId="541B4B74">
      <w:pPr>
        <w:widowControl w:val="0"/>
        <w:spacing w:line="360" w:lineRule="auto"/>
        <w:ind w:firstLine="840" w:firstLineChars="300"/>
        <w:jc w:val="both"/>
        <w:rPr>
          <w:rFonts w:ascii="宋体" w:hAnsi="宋体" w:eastAsia="宋体" w:cs="宋体"/>
          <w:color w:val="auto"/>
          <w:kern w:val="2"/>
          <w:sz w:val="28"/>
          <w:szCs w:val="28"/>
          <w:u w:val="single"/>
        </w:rPr>
      </w:pPr>
      <w:r>
        <w:rPr>
          <w:rFonts w:hint="eastAsia" w:ascii="宋体" w:hAnsi="宋体" w:eastAsia="宋体" w:cs="宋体"/>
          <w:bCs/>
          <w:color w:val="auto"/>
          <w:kern w:val="2"/>
          <w:sz w:val="28"/>
          <w:szCs w:val="28"/>
        </w:rPr>
        <w:t>项目名称：</w:t>
      </w:r>
      <w:r>
        <w:rPr>
          <w:rFonts w:hint="eastAsia" w:ascii="宋体" w:hAnsi="宋体" w:eastAsia="宋体" w:cs="宋体"/>
          <w:color w:val="auto"/>
          <w:kern w:val="2"/>
          <w:sz w:val="28"/>
          <w:szCs w:val="28"/>
          <w:u w:val="single"/>
        </w:rPr>
        <w:t xml:space="preserve">                               </w:t>
      </w:r>
    </w:p>
    <w:p w14:paraId="0C52675A">
      <w:pPr>
        <w:widowControl w:val="0"/>
        <w:spacing w:line="360" w:lineRule="auto"/>
        <w:ind w:firstLine="840" w:firstLineChars="300"/>
        <w:jc w:val="both"/>
        <w:rPr>
          <w:rFonts w:ascii="宋体" w:hAnsi="宋体" w:eastAsia="宋体" w:cs="宋体"/>
          <w:bCs/>
          <w:color w:val="auto"/>
          <w:kern w:val="2"/>
          <w:sz w:val="28"/>
          <w:szCs w:val="28"/>
        </w:rPr>
      </w:pPr>
      <w:r>
        <w:rPr>
          <w:rFonts w:hint="eastAsia" w:ascii="宋体" w:hAnsi="宋体" w:eastAsia="宋体" w:cs="宋体"/>
          <w:bCs/>
          <w:color w:val="auto"/>
          <w:kern w:val="2"/>
          <w:sz w:val="28"/>
          <w:szCs w:val="28"/>
        </w:rPr>
        <w:t xml:space="preserve">甲    方： </w:t>
      </w:r>
      <w:r>
        <w:rPr>
          <w:rFonts w:ascii="宋体" w:hAnsi="宋体" w:eastAsia="宋体" w:cs="宋体"/>
          <w:bCs/>
          <w:color w:val="auto"/>
          <w:kern w:val="2"/>
          <w:sz w:val="28"/>
          <w:szCs w:val="28"/>
        </w:rPr>
        <w:t xml:space="preserve">  </w:t>
      </w:r>
      <w:r>
        <w:rPr>
          <w:rFonts w:ascii="宋体" w:hAnsi="宋体" w:eastAsia="宋体" w:cs="宋体"/>
          <w:bCs/>
          <w:color w:val="auto"/>
          <w:kern w:val="2"/>
          <w:sz w:val="28"/>
          <w:szCs w:val="28"/>
          <w:u w:val="single"/>
        </w:rPr>
        <w:t xml:space="preserve"> </w:t>
      </w:r>
      <w:r>
        <w:rPr>
          <w:rFonts w:hint="eastAsia" w:ascii="宋体" w:hAnsi="宋体" w:eastAsia="宋体" w:cs="宋体"/>
          <w:bCs/>
          <w:color w:val="auto"/>
          <w:kern w:val="2"/>
          <w:sz w:val="28"/>
          <w:szCs w:val="28"/>
          <w:u w:val="single"/>
        </w:rPr>
        <w:t xml:space="preserve"> </w:t>
      </w:r>
    </w:p>
    <w:p w14:paraId="7B39D89A">
      <w:pPr>
        <w:widowControl w:val="0"/>
        <w:spacing w:line="360" w:lineRule="auto"/>
        <w:ind w:firstLine="840" w:firstLineChars="300"/>
        <w:jc w:val="both"/>
        <w:rPr>
          <w:rFonts w:ascii="宋体" w:hAnsi="宋体" w:eastAsia="宋体" w:cs="宋体"/>
          <w:bCs/>
          <w:color w:val="auto"/>
          <w:kern w:val="2"/>
          <w:sz w:val="28"/>
          <w:szCs w:val="28"/>
        </w:rPr>
      </w:pPr>
      <w:r>
        <w:rPr>
          <w:rFonts w:hint="eastAsia" w:ascii="宋体" w:hAnsi="宋体" w:eastAsia="宋体" w:cs="宋体"/>
          <w:bCs/>
          <w:color w:val="auto"/>
          <w:kern w:val="2"/>
          <w:sz w:val="28"/>
          <w:szCs w:val="28"/>
        </w:rPr>
        <w:t>乙    方：</w:t>
      </w:r>
      <w:r>
        <w:rPr>
          <w:rFonts w:hint="eastAsia" w:ascii="宋体" w:hAnsi="宋体" w:eastAsia="宋体" w:cs="宋体"/>
          <w:bCs/>
          <w:color w:val="auto"/>
          <w:kern w:val="2"/>
          <w:sz w:val="28"/>
          <w:szCs w:val="28"/>
          <w:u w:val="single"/>
        </w:rPr>
        <w:t xml:space="preserve"> </w:t>
      </w:r>
      <w:r>
        <w:rPr>
          <w:rFonts w:ascii="宋体" w:hAnsi="宋体" w:eastAsia="宋体" w:cs="宋体"/>
          <w:bCs/>
          <w:color w:val="auto"/>
          <w:kern w:val="2"/>
          <w:sz w:val="28"/>
          <w:szCs w:val="28"/>
          <w:u w:val="single"/>
        </w:rPr>
        <w:t xml:space="preserve">                              </w:t>
      </w:r>
    </w:p>
    <w:p w14:paraId="6ADF01FC">
      <w:pPr>
        <w:widowControl w:val="0"/>
        <w:spacing w:line="360" w:lineRule="auto"/>
        <w:ind w:firstLine="840" w:firstLineChars="300"/>
        <w:jc w:val="both"/>
        <w:rPr>
          <w:rFonts w:ascii="宋体" w:hAnsi="宋体" w:eastAsia="宋体" w:cs="宋体"/>
          <w:bCs/>
          <w:color w:val="auto"/>
          <w:kern w:val="2"/>
          <w:sz w:val="28"/>
          <w:szCs w:val="28"/>
        </w:rPr>
      </w:pPr>
      <w:r>
        <w:rPr>
          <w:rFonts w:hint="eastAsia" w:ascii="宋体" w:hAnsi="宋体" w:eastAsia="宋体" w:cs="宋体"/>
          <w:bCs/>
          <w:color w:val="auto"/>
          <w:kern w:val="2"/>
          <w:sz w:val="28"/>
          <w:szCs w:val="28"/>
        </w:rPr>
        <w:t>签订时间：</w:t>
      </w:r>
      <w:r>
        <w:rPr>
          <w:rFonts w:hint="eastAsia" w:ascii="宋体" w:hAnsi="宋体" w:eastAsia="宋体" w:cs="宋体"/>
          <w:color w:val="auto"/>
          <w:kern w:val="2"/>
          <w:sz w:val="28"/>
          <w:szCs w:val="28"/>
          <w:u w:val="single"/>
        </w:rPr>
        <w:t xml:space="preserve">                             </w:t>
      </w:r>
      <w:r>
        <w:rPr>
          <w:rFonts w:hint="eastAsia" w:ascii="宋体" w:hAnsi="宋体" w:eastAsia="宋体" w:cs="宋体"/>
          <w:bCs/>
          <w:color w:val="auto"/>
          <w:kern w:val="2"/>
          <w:sz w:val="28"/>
          <w:szCs w:val="28"/>
        </w:rPr>
        <w:t xml:space="preserve">  </w:t>
      </w:r>
    </w:p>
    <w:p w14:paraId="59BA5913">
      <w:pPr>
        <w:widowControl w:val="0"/>
        <w:spacing w:line="360" w:lineRule="auto"/>
        <w:ind w:firstLine="840" w:firstLineChars="300"/>
        <w:jc w:val="both"/>
        <w:rPr>
          <w:rFonts w:ascii="宋体" w:hAnsi="宋体" w:eastAsia="宋体" w:cs="宋体"/>
          <w:color w:val="auto"/>
          <w:kern w:val="2"/>
          <w:sz w:val="28"/>
          <w:szCs w:val="28"/>
        </w:rPr>
      </w:pPr>
      <w:r>
        <w:rPr>
          <w:rFonts w:hint="eastAsia" w:ascii="宋体" w:hAnsi="宋体" w:eastAsia="宋体" w:cs="宋体"/>
          <w:bCs/>
          <w:color w:val="auto"/>
          <w:kern w:val="2"/>
          <w:sz w:val="28"/>
          <w:szCs w:val="28"/>
        </w:rPr>
        <w:t>签订地点：</w:t>
      </w:r>
      <w:r>
        <w:rPr>
          <w:rFonts w:hint="eastAsia" w:ascii="宋体" w:hAnsi="宋体" w:eastAsia="宋体" w:cs="宋体"/>
          <w:color w:val="auto"/>
          <w:kern w:val="2"/>
          <w:sz w:val="28"/>
          <w:szCs w:val="28"/>
          <w:u w:val="single"/>
        </w:rPr>
        <w:t xml:space="preserve">                               </w:t>
      </w:r>
    </w:p>
    <w:p w14:paraId="42C7DD7D">
      <w:pPr>
        <w:widowControl w:val="0"/>
        <w:spacing w:line="360" w:lineRule="auto"/>
        <w:jc w:val="center"/>
        <w:rPr>
          <w:rFonts w:ascii="宋体" w:hAnsi="宋体" w:eastAsia="宋体"/>
          <w:color w:val="auto"/>
          <w:kern w:val="2"/>
          <w:sz w:val="44"/>
        </w:rPr>
      </w:pPr>
    </w:p>
    <w:p w14:paraId="57DCB1DE">
      <w:pPr>
        <w:widowControl w:val="0"/>
        <w:spacing w:line="360" w:lineRule="auto"/>
        <w:ind w:firstLine="3463" w:firstLineChars="1150"/>
        <w:jc w:val="both"/>
        <w:rPr>
          <w:rFonts w:ascii="黑体" w:hAnsi="黑体" w:eastAsia="黑体"/>
          <w:b/>
          <w:color w:val="auto"/>
          <w:kern w:val="2"/>
          <w:sz w:val="30"/>
          <w:szCs w:val="30"/>
        </w:rPr>
        <w:sectPr>
          <w:footerReference r:id="rId3" w:type="default"/>
          <w:pgSz w:w="11906" w:h="16838"/>
          <w:pgMar w:top="1440" w:right="1800" w:bottom="1440" w:left="1800" w:header="851" w:footer="992" w:gutter="0"/>
          <w:cols w:space="720" w:num="1"/>
          <w:docGrid w:type="lines" w:linePitch="312" w:charSpace="0"/>
        </w:sectPr>
      </w:pPr>
    </w:p>
    <w:p w14:paraId="7615AFFC">
      <w:pPr>
        <w:widowControl w:val="0"/>
        <w:spacing w:after="60" w:line="360" w:lineRule="auto"/>
        <w:ind w:firstLine="420" w:firstLineChars="200"/>
        <w:jc w:val="both"/>
        <w:rPr>
          <w:rFonts w:ascii="Arial" w:hAnsi="Arial" w:eastAsia="宋体"/>
          <w:color w:val="auto"/>
          <w:sz w:val="21"/>
          <w:szCs w:val="21"/>
        </w:rPr>
      </w:pPr>
      <w:bookmarkStart w:id="78" w:name="_Toc192919768"/>
      <w:bookmarkStart w:id="79" w:name="_Toc192324166"/>
    </w:p>
    <w:bookmarkEnd w:id="77"/>
    <w:bookmarkEnd w:id="78"/>
    <w:bookmarkEnd w:id="79"/>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2489"/>
        <w:gridCol w:w="1667"/>
        <w:gridCol w:w="1335"/>
        <w:gridCol w:w="2828"/>
      </w:tblGrid>
      <w:tr w14:paraId="5BA4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14:paraId="21ACCF56">
            <w:pPr>
              <w:widowControl w:val="0"/>
              <w:ind w:firstLine="420"/>
              <w:jc w:val="center"/>
              <w:rPr>
                <w:rFonts w:ascii="宋体" w:hAnsi="宋体" w:eastAsia="宋体"/>
                <w:color w:val="auto"/>
                <w:kern w:val="2"/>
                <w:sz w:val="28"/>
                <w:szCs w:val="28"/>
              </w:rPr>
            </w:pPr>
            <w:r>
              <w:rPr>
                <w:rFonts w:hint="eastAsia" w:ascii="宋体" w:hAnsi="宋体" w:eastAsia="宋体"/>
                <w:color w:val="auto"/>
                <w:kern w:val="2"/>
                <w:sz w:val="28"/>
                <w:szCs w:val="28"/>
              </w:rPr>
              <w:t>甲</w:t>
            </w:r>
            <w:r>
              <w:rPr>
                <w:rFonts w:ascii="宋体" w:hAnsi="宋体" w:eastAsia="宋体"/>
                <w:color w:val="auto"/>
                <w:kern w:val="2"/>
                <w:sz w:val="28"/>
                <w:szCs w:val="28"/>
              </w:rPr>
              <w:t xml:space="preserve">      </w:t>
            </w:r>
            <w:r>
              <w:rPr>
                <w:rFonts w:hint="eastAsia" w:ascii="宋体" w:hAnsi="宋体" w:eastAsia="宋体"/>
                <w:color w:val="auto"/>
                <w:kern w:val="2"/>
                <w:sz w:val="28"/>
                <w:szCs w:val="28"/>
              </w:rPr>
              <w:t>方</w:t>
            </w: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2B16EA">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单位名称</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ECA0B4">
            <w:pPr>
              <w:widowControl w:val="0"/>
              <w:jc w:val="both"/>
              <w:rPr>
                <w:rFonts w:ascii="宋体" w:hAnsi="宋体" w:eastAsia="宋体"/>
                <w:color w:val="auto"/>
                <w:kern w:val="2"/>
                <w:sz w:val="28"/>
                <w:szCs w:val="28"/>
              </w:rPr>
            </w:pPr>
          </w:p>
        </w:tc>
      </w:tr>
      <w:tr w14:paraId="4D50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6C7D2F6D">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5BBA50">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法定代表人</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11DF14">
            <w:pPr>
              <w:widowControl w:val="0"/>
              <w:jc w:val="both"/>
              <w:rPr>
                <w:rFonts w:ascii="宋体" w:hAnsi="宋体" w:eastAsia="宋体"/>
                <w:color w:val="auto"/>
                <w:kern w:val="2"/>
                <w:sz w:val="28"/>
                <w:szCs w:val="28"/>
              </w:rPr>
            </w:pPr>
          </w:p>
        </w:tc>
      </w:tr>
      <w:tr w14:paraId="1281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4960C046">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354BFE">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联系人</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890B29">
            <w:pPr>
              <w:widowControl w:val="0"/>
              <w:jc w:val="both"/>
              <w:rPr>
                <w:rFonts w:ascii="宋体" w:hAnsi="宋体" w:eastAsia="宋体"/>
                <w:color w:val="auto"/>
                <w:kern w:val="2"/>
                <w:sz w:val="28"/>
                <w:szCs w:val="28"/>
              </w:rPr>
            </w:pPr>
          </w:p>
        </w:tc>
      </w:tr>
      <w:tr w14:paraId="77CA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7642FAE6">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64AD85">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通讯地址</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2C555A">
            <w:pPr>
              <w:widowControl w:val="0"/>
              <w:rPr>
                <w:rFonts w:ascii="宋体" w:hAnsi="宋体" w:eastAsia="宋体"/>
                <w:color w:val="auto"/>
                <w:kern w:val="2"/>
                <w:sz w:val="28"/>
                <w:szCs w:val="28"/>
              </w:rPr>
            </w:pPr>
          </w:p>
        </w:tc>
      </w:tr>
      <w:tr w14:paraId="1E0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3562BE46">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0C60AE">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电话</w:t>
            </w:r>
          </w:p>
        </w:tc>
        <w:tc>
          <w:tcPr>
            <w:tcW w:w="16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4AC721">
            <w:pPr>
              <w:widowControl w:val="0"/>
              <w:jc w:val="both"/>
              <w:rPr>
                <w:rFonts w:ascii="宋体" w:hAnsi="宋体" w:eastAsia="宋体"/>
                <w:color w:val="auto"/>
                <w:kern w:val="2"/>
                <w:sz w:val="28"/>
                <w:szCs w:val="28"/>
              </w:rPr>
            </w:pPr>
          </w:p>
        </w:tc>
        <w:tc>
          <w:tcPr>
            <w:tcW w:w="13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6B9B42">
            <w:pPr>
              <w:widowControl w:val="0"/>
              <w:jc w:val="center"/>
              <w:rPr>
                <w:rFonts w:ascii="宋体" w:hAnsi="宋体" w:eastAsia="宋体"/>
                <w:color w:val="auto"/>
                <w:kern w:val="2"/>
                <w:sz w:val="28"/>
                <w:szCs w:val="28"/>
              </w:rPr>
            </w:pPr>
            <w:r>
              <w:rPr>
                <w:rFonts w:hint="eastAsia" w:ascii="宋体" w:hAnsi="宋体" w:eastAsia="宋体"/>
                <w:color w:val="auto"/>
                <w:kern w:val="2"/>
                <w:sz w:val="28"/>
                <w:szCs w:val="28"/>
              </w:rPr>
              <w:t>传真</w:t>
            </w:r>
          </w:p>
        </w:tc>
        <w:tc>
          <w:tcPr>
            <w:tcW w:w="2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273088">
            <w:pPr>
              <w:widowControl w:val="0"/>
              <w:jc w:val="both"/>
              <w:rPr>
                <w:rFonts w:ascii="宋体" w:hAnsi="宋体" w:eastAsia="宋体"/>
                <w:color w:val="auto"/>
                <w:kern w:val="2"/>
                <w:sz w:val="28"/>
                <w:szCs w:val="28"/>
              </w:rPr>
            </w:pPr>
          </w:p>
        </w:tc>
      </w:tr>
      <w:tr w14:paraId="2D50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2FAFFC85">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485974">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电子邮箱</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320701">
            <w:pPr>
              <w:widowControl w:val="0"/>
              <w:jc w:val="both"/>
              <w:rPr>
                <w:rFonts w:ascii="宋体" w:hAnsi="宋体" w:eastAsia="宋体"/>
                <w:bCs/>
                <w:color w:val="auto"/>
                <w:kern w:val="2"/>
                <w:sz w:val="28"/>
                <w:szCs w:val="28"/>
              </w:rPr>
            </w:pPr>
          </w:p>
        </w:tc>
      </w:tr>
      <w:tr w14:paraId="5931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36ACD1B9">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2371D7">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开户银行</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717309">
            <w:pPr>
              <w:widowControl w:val="0"/>
              <w:jc w:val="both"/>
              <w:rPr>
                <w:rFonts w:ascii="宋体" w:hAnsi="宋体" w:eastAsia="宋体"/>
                <w:color w:val="auto"/>
                <w:kern w:val="2"/>
                <w:sz w:val="28"/>
                <w:szCs w:val="28"/>
              </w:rPr>
            </w:pPr>
          </w:p>
        </w:tc>
      </w:tr>
      <w:tr w14:paraId="581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32BADCB5">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09EA15">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银行账号</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4179C4">
            <w:pPr>
              <w:widowControl w:val="0"/>
              <w:jc w:val="both"/>
              <w:rPr>
                <w:rFonts w:ascii="宋体" w:hAnsi="宋体" w:eastAsia="宋体"/>
                <w:color w:val="auto"/>
                <w:kern w:val="2"/>
                <w:sz w:val="28"/>
                <w:szCs w:val="28"/>
              </w:rPr>
            </w:pPr>
          </w:p>
        </w:tc>
      </w:tr>
      <w:tr w14:paraId="52ED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14:paraId="6ABF1FA8">
            <w:pPr>
              <w:widowControl w:val="0"/>
              <w:ind w:firstLine="420"/>
              <w:jc w:val="center"/>
              <w:rPr>
                <w:rFonts w:ascii="宋体" w:hAnsi="宋体" w:eastAsia="宋体"/>
                <w:color w:val="auto"/>
                <w:kern w:val="2"/>
                <w:sz w:val="28"/>
                <w:szCs w:val="28"/>
              </w:rPr>
            </w:pPr>
            <w:r>
              <w:rPr>
                <w:rFonts w:hint="eastAsia" w:ascii="宋体" w:hAnsi="宋体" w:eastAsia="宋体"/>
                <w:color w:val="auto"/>
                <w:kern w:val="2"/>
                <w:sz w:val="28"/>
                <w:szCs w:val="28"/>
              </w:rPr>
              <w:t>乙</w:t>
            </w:r>
            <w:r>
              <w:rPr>
                <w:rFonts w:ascii="宋体" w:hAnsi="宋体" w:eastAsia="宋体"/>
                <w:color w:val="auto"/>
                <w:kern w:val="2"/>
                <w:sz w:val="28"/>
                <w:szCs w:val="28"/>
              </w:rPr>
              <w:t xml:space="preserve">     </w:t>
            </w:r>
            <w:r>
              <w:rPr>
                <w:rFonts w:hint="eastAsia" w:ascii="宋体" w:hAnsi="宋体" w:eastAsia="宋体"/>
                <w:color w:val="auto"/>
                <w:kern w:val="2"/>
                <w:sz w:val="28"/>
                <w:szCs w:val="28"/>
              </w:rPr>
              <w:t>方</w:t>
            </w: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4002A5">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单位名称</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EACAA5">
            <w:pPr>
              <w:widowControl w:val="0"/>
              <w:jc w:val="both"/>
              <w:rPr>
                <w:rFonts w:ascii="宋体" w:hAnsi="宋体" w:eastAsia="宋体"/>
                <w:color w:val="auto"/>
                <w:kern w:val="2"/>
                <w:sz w:val="28"/>
                <w:szCs w:val="28"/>
              </w:rPr>
            </w:pPr>
          </w:p>
        </w:tc>
      </w:tr>
      <w:tr w14:paraId="3D2B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203D0AA0">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B5818">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法定代表人</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8C53F2">
            <w:pPr>
              <w:widowControl w:val="0"/>
              <w:jc w:val="both"/>
              <w:rPr>
                <w:rFonts w:ascii="宋体" w:hAnsi="宋体" w:eastAsia="宋体"/>
                <w:color w:val="auto"/>
                <w:kern w:val="2"/>
                <w:sz w:val="28"/>
                <w:szCs w:val="28"/>
              </w:rPr>
            </w:pPr>
          </w:p>
        </w:tc>
      </w:tr>
      <w:tr w14:paraId="41C9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3F770DE0">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8B1C3F">
            <w:pPr>
              <w:widowControl w:val="0"/>
              <w:ind w:firstLine="420"/>
              <w:jc w:val="both"/>
              <w:rPr>
                <w:rFonts w:ascii="宋体" w:hAnsi="宋体" w:eastAsia="宋体"/>
                <w:color w:val="auto"/>
                <w:kern w:val="2"/>
                <w:sz w:val="28"/>
                <w:szCs w:val="28"/>
              </w:rPr>
            </w:pPr>
            <w:r>
              <w:rPr>
                <w:rFonts w:hint="eastAsia" w:ascii="宋体" w:hAnsi="宋体" w:eastAsia="宋体"/>
                <w:color w:val="auto"/>
                <w:kern w:val="2"/>
                <w:sz w:val="28"/>
                <w:szCs w:val="28"/>
              </w:rPr>
              <w:t>联系人</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2F38DB">
            <w:pPr>
              <w:widowControl w:val="0"/>
              <w:jc w:val="both"/>
              <w:rPr>
                <w:rFonts w:ascii="宋体" w:hAnsi="宋体" w:eastAsia="宋体"/>
                <w:color w:val="auto"/>
                <w:kern w:val="2"/>
                <w:sz w:val="28"/>
                <w:szCs w:val="28"/>
              </w:rPr>
            </w:pPr>
          </w:p>
        </w:tc>
      </w:tr>
      <w:tr w14:paraId="01E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4D2C142C">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A7D2FC">
            <w:pPr>
              <w:widowControl w:val="0"/>
              <w:ind w:firstLine="480"/>
              <w:jc w:val="both"/>
              <w:rPr>
                <w:rFonts w:ascii="宋体" w:hAnsi="宋体" w:eastAsia="宋体"/>
                <w:color w:val="auto"/>
                <w:kern w:val="2"/>
                <w:sz w:val="28"/>
                <w:szCs w:val="28"/>
              </w:rPr>
            </w:pPr>
            <w:r>
              <w:rPr>
                <w:rFonts w:hint="eastAsia" w:ascii="宋体" w:hAnsi="宋体" w:eastAsia="宋体"/>
                <w:color w:val="auto"/>
                <w:kern w:val="2"/>
                <w:sz w:val="28"/>
                <w:szCs w:val="28"/>
              </w:rPr>
              <w:t>通讯地址</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17A72F">
            <w:pPr>
              <w:widowControl w:val="0"/>
              <w:jc w:val="both"/>
              <w:rPr>
                <w:rFonts w:ascii="宋体" w:hAnsi="宋体" w:eastAsia="宋体"/>
                <w:color w:val="auto"/>
                <w:kern w:val="2"/>
                <w:sz w:val="28"/>
                <w:szCs w:val="28"/>
              </w:rPr>
            </w:pPr>
          </w:p>
        </w:tc>
      </w:tr>
      <w:tr w14:paraId="140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1DA72FFB">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41691F">
            <w:pPr>
              <w:widowControl w:val="0"/>
              <w:ind w:firstLine="480"/>
              <w:jc w:val="both"/>
              <w:rPr>
                <w:rFonts w:ascii="宋体" w:hAnsi="宋体" w:eastAsia="宋体"/>
                <w:color w:val="auto"/>
                <w:kern w:val="2"/>
                <w:sz w:val="28"/>
                <w:szCs w:val="28"/>
              </w:rPr>
            </w:pPr>
            <w:r>
              <w:rPr>
                <w:rFonts w:hint="eastAsia" w:ascii="宋体" w:hAnsi="宋体" w:eastAsia="宋体"/>
                <w:color w:val="auto"/>
                <w:kern w:val="2"/>
                <w:sz w:val="28"/>
                <w:szCs w:val="28"/>
              </w:rPr>
              <w:t>电话</w:t>
            </w:r>
          </w:p>
        </w:tc>
        <w:tc>
          <w:tcPr>
            <w:tcW w:w="16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809053">
            <w:pPr>
              <w:widowControl w:val="0"/>
              <w:jc w:val="both"/>
              <w:rPr>
                <w:rFonts w:ascii="宋体" w:hAnsi="宋体" w:eastAsia="宋体"/>
                <w:color w:val="auto"/>
                <w:kern w:val="2"/>
                <w:sz w:val="28"/>
                <w:szCs w:val="28"/>
              </w:rPr>
            </w:pPr>
          </w:p>
        </w:tc>
        <w:tc>
          <w:tcPr>
            <w:tcW w:w="13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AA2D51">
            <w:pPr>
              <w:widowControl w:val="0"/>
              <w:ind w:firstLine="199"/>
              <w:jc w:val="both"/>
              <w:rPr>
                <w:rFonts w:ascii="宋体" w:hAnsi="宋体" w:eastAsia="宋体"/>
                <w:color w:val="auto"/>
                <w:kern w:val="2"/>
                <w:sz w:val="28"/>
                <w:szCs w:val="28"/>
              </w:rPr>
            </w:pPr>
            <w:r>
              <w:rPr>
                <w:rFonts w:hint="eastAsia" w:ascii="宋体" w:hAnsi="宋体" w:eastAsia="宋体"/>
                <w:color w:val="auto"/>
                <w:kern w:val="2"/>
                <w:sz w:val="28"/>
                <w:szCs w:val="28"/>
              </w:rPr>
              <w:t>传真</w:t>
            </w:r>
          </w:p>
        </w:tc>
        <w:tc>
          <w:tcPr>
            <w:tcW w:w="28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C6C1F9">
            <w:pPr>
              <w:widowControl w:val="0"/>
              <w:jc w:val="both"/>
              <w:rPr>
                <w:rFonts w:ascii="宋体" w:hAnsi="宋体" w:eastAsia="宋体"/>
                <w:color w:val="auto"/>
                <w:kern w:val="2"/>
                <w:sz w:val="28"/>
                <w:szCs w:val="28"/>
              </w:rPr>
            </w:pPr>
          </w:p>
        </w:tc>
      </w:tr>
      <w:tr w14:paraId="6101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7ED0D7D6">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8A375B">
            <w:pPr>
              <w:widowControl w:val="0"/>
              <w:ind w:firstLine="480"/>
              <w:jc w:val="both"/>
              <w:rPr>
                <w:rFonts w:ascii="宋体" w:hAnsi="宋体" w:eastAsia="宋体"/>
                <w:color w:val="auto"/>
                <w:kern w:val="2"/>
                <w:sz w:val="28"/>
                <w:szCs w:val="28"/>
              </w:rPr>
            </w:pPr>
            <w:r>
              <w:rPr>
                <w:rFonts w:hint="eastAsia" w:ascii="宋体" w:hAnsi="宋体" w:eastAsia="宋体"/>
                <w:color w:val="auto"/>
                <w:kern w:val="2"/>
                <w:sz w:val="28"/>
                <w:szCs w:val="28"/>
              </w:rPr>
              <w:t>电子邮箱</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E132AD">
            <w:pPr>
              <w:widowControl w:val="0"/>
              <w:jc w:val="both"/>
              <w:rPr>
                <w:rFonts w:ascii="宋体" w:hAnsi="宋体" w:eastAsia="宋体"/>
                <w:color w:val="auto"/>
                <w:kern w:val="2"/>
                <w:sz w:val="28"/>
                <w:szCs w:val="28"/>
              </w:rPr>
            </w:pPr>
          </w:p>
        </w:tc>
      </w:tr>
      <w:tr w14:paraId="23E1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1CFF8E17">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0D9ED5">
            <w:pPr>
              <w:widowControl w:val="0"/>
              <w:ind w:firstLine="480"/>
              <w:jc w:val="both"/>
              <w:rPr>
                <w:rFonts w:ascii="宋体" w:hAnsi="宋体" w:eastAsia="宋体"/>
                <w:color w:val="auto"/>
                <w:kern w:val="2"/>
                <w:sz w:val="28"/>
                <w:szCs w:val="28"/>
              </w:rPr>
            </w:pPr>
            <w:r>
              <w:rPr>
                <w:rFonts w:hint="eastAsia" w:ascii="宋体" w:hAnsi="宋体" w:eastAsia="宋体"/>
                <w:color w:val="auto"/>
                <w:kern w:val="2"/>
                <w:sz w:val="28"/>
                <w:szCs w:val="28"/>
              </w:rPr>
              <w:t>开户银行</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A0C988">
            <w:pPr>
              <w:widowControl w:val="0"/>
              <w:jc w:val="both"/>
              <w:rPr>
                <w:rFonts w:ascii="宋体" w:hAnsi="宋体" w:eastAsia="宋体"/>
                <w:color w:val="auto"/>
                <w:kern w:val="2"/>
                <w:sz w:val="28"/>
                <w:szCs w:val="28"/>
              </w:rPr>
            </w:pPr>
          </w:p>
        </w:tc>
      </w:tr>
      <w:tr w14:paraId="2BC5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53F4DD91">
            <w:pPr>
              <w:rPr>
                <w:rFonts w:ascii="宋体" w:hAnsi="宋体" w:eastAsia="宋体"/>
                <w:color w:val="auto"/>
                <w:kern w:val="2"/>
                <w:sz w:val="28"/>
                <w:szCs w:val="28"/>
              </w:rPr>
            </w:pPr>
          </w:p>
        </w:tc>
        <w:tc>
          <w:tcPr>
            <w:tcW w:w="2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466616">
            <w:pPr>
              <w:widowControl w:val="0"/>
              <w:ind w:firstLine="480"/>
              <w:jc w:val="both"/>
              <w:rPr>
                <w:rFonts w:ascii="宋体" w:hAnsi="宋体" w:eastAsia="宋体"/>
                <w:color w:val="auto"/>
                <w:kern w:val="2"/>
                <w:sz w:val="28"/>
                <w:szCs w:val="28"/>
              </w:rPr>
            </w:pPr>
            <w:r>
              <w:rPr>
                <w:rFonts w:hint="eastAsia" w:ascii="宋体" w:hAnsi="宋体" w:eastAsia="宋体"/>
                <w:color w:val="auto"/>
                <w:kern w:val="2"/>
                <w:sz w:val="28"/>
                <w:szCs w:val="28"/>
              </w:rPr>
              <w:t>银行账号</w:t>
            </w:r>
          </w:p>
        </w:tc>
        <w:tc>
          <w:tcPr>
            <w:tcW w:w="583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9369FA">
            <w:pPr>
              <w:widowControl w:val="0"/>
              <w:jc w:val="both"/>
              <w:rPr>
                <w:rFonts w:ascii="宋体" w:hAnsi="宋体" w:eastAsia="宋体"/>
                <w:color w:val="auto"/>
                <w:kern w:val="2"/>
                <w:sz w:val="28"/>
                <w:szCs w:val="28"/>
              </w:rPr>
            </w:pPr>
          </w:p>
        </w:tc>
      </w:tr>
    </w:tbl>
    <w:p w14:paraId="3D650B1A">
      <w:pPr>
        <w:widowControl w:val="0"/>
        <w:spacing w:after="60" w:line="360" w:lineRule="auto"/>
        <w:ind w:firstLine="420" w:firstLineChars="200"/>
        <w:jc w:val="both"/>
        <w:rPr>
          <w:rFonts w:ascii="Arial" w:hAnsi="Arial" w:eastAsia="宋体"/>
          <w:color w:val="auto"/>
          <w:kern w:val="2"/>
          <w:sz w:val="21"/>
          <w:szCs w:val="21"/>
        </w:rPr>
      </w:pPr>
    </w:p>
    <w:p w14:paraId="766B4CF3">
      <w:pPr>
        <w:widowControl w:val="0"/>
        <w:spacing w:after="60" w:line="360" w:lineRule="auto"/>
        <w:ind w:firstLine="420" w:firstLineChars="200"/>
        <w:jc w:val="both"/>
        <w:rPr>
          <w:rFonts w:ascii="Arial" w:hAnsi="Arial" w:eastAsia="宋体"/>
          <w:color w:val="auto"/>
          <w:kern w:val="2"/>
          <w:sz w:val="21"/>
          <w:szCs w:val="21"/>
        </w:rPr>
      </w:pPr>
    </w:p>
    <w:p w14:paraId="64B2208D">
      <w:pPr>
        <w:widowControl w:val="0"/>
        <w:spacing w:after="60" w:line="360" w:lineRule="auto"/>
        <w:ind w:firstLine="560" w:firstLineChars="200"/>
        <w:jc w:val="both"/>
        <w:rPr>
          <w:rFonts w:ascii="Arial" w:hAnsi="Arial" w:eastAsia="宋体"/>
          <w:color w:val="auto"/>
          <w:sz w:val="28"/>
          <w:szCs w:val="28"/>
        </w:rPr>
      </w:pPr>
      <w:r>
        <w:rPr>
          <w:rFonts w:hint="eastAsia" w:ascii="Arial" w:hAnsi="Arial" w:eastAsia="宋体"/>
          <w:color w:val="auto"/>
          <w:sz w:val="28"/>
          <w:szCs w:val="28"/>
        </w:rPr>
        <w:t>双方依据《中华人民共和国民法典》，本着平等互利的原则，经协商一致，甲方向乙方提供屋顶，乙方向甲方提供分布式光伏发电节能服务，以实现甲方节能减排目的。双方订立本合同，共同遵守。</w:t>
      </w:r>
    </w:p>
    <w:p w14:paraId="1FF5C843">
      <w:pPr>
        <w:keepNext/>
        <w:keepLines/>
        <w:widowControl w:val="0"/>
        <w:spacing w:before="120" w:after="120" w:line="360" w:lineRule="auto"/>
        <w:ind w:firstLine="562" w:firstLineChars="200"/>
        <w:jc w:val="both"/>
        <w:outlineLvl w:val="0"/>
        <w:rPr>
          <w:rFonts w:ascii="Arial" w:hAnsi="Arial" w:eastAsia="黑体"/>
          <w:b/>
          <w:bCs/>
          <w:color w:val="auto"/>
          <w:sz w:val="28"/>
          <w:szCs w:val="28"/>
        </w:rPr>
      </w:pPr>
      <w:bookmarkStart w:id="80" w:name="_Toc518569060"/>
      <w:r>
        <w:rPr>
          <w:rFonts w:hint="eastAsia" w:ascii="Arial" w:hAnsi="Arial" w:eastAsia="黑体"/>
          <w:b/>
          <w:bCs/>
          <w:color w:val="auto"/>
          <w:sz w:val="28"/>
          <w:szCs w:val="28"/>
        </w:rPr>
        <w:t>第一部分　总则</w:t>
      </w:r>
      <w:bookmarkEnd w:id="80"/>
    </w:p>
    <w:p w14:paraId="71FCDA4C">
      <w:pPr>
        <w:keepNext/>
        <w:keepLines/>
        <w:widowControl w:val="0"/>
        <w:spacing w:before="120" w:after="120" w:line="360" w:lineRule="auto"/>
        <w:ind w:firstLine="562" w:firstLineChars="200"/>
        <w:jc w:val="both"/>
        <w:outlineLvl w:val="1"/>
        <w:rPr>
          <w:rFonts w:ascii="Arial" w:hAnsi="Arial" w:eastAsia="黑体"/>
          <w:b/>
          <w:bCs/>
          <w:color w:val="auto"/>
          <w:kern w:val="2"/>
          <w:sz w:val="28"/>
          <w:szCs w:val="28"/>
        </w:rPr>
      </w:pPr>
      <w:bookmarkStart w:id="81" w:name="_Toc192324168"/>
      <w:bookmarkStart w:id="82" w:name="_Toc161388642"/>
      <w:bookmarkStart w:id="83" w:name="_Toc191875248"/>
      <w:bookmarkStart w:id="84" w:name="_Toc192919769"/>
      <w:bookmarkStart w:id="85" w:name="_Toc518569061"/>
      <w:r>
        <w:rPr>
          <w:rFonts w:hint="eastAsia" w:ascii="Arial" w:hAnsi="Arial" w:eastAsia="黑体"/>
          <w:b/>
          <w:bCs/>
          <w:color w:val="auto"/>
          <w:kern w:val="2"/>
          <w:sz w:val="28"/>
          <w:szCs w:val="28"/>
        </w:rPr>
        <w:t>1．项目</w:t>
      </w:r>
      <w:bookmarkEnd w:id="81"/>
      <w:bookmarkEnd w:id="82"/>
      <w:bookmarkEnd w:id="83"/>
      <w:bookmarkEnd w:id="84"/>
      <w:r>
        <w:rPr>
          <w:rFonts w:hint="eastAsia" w:ascii="Arial" w:hAnsi="Arial" w:eastAsia="黑体"/>
          <w:b/>
          <w:bCs/>
          <w:color w:val="auto"/>
          <w:kern w:val="2"/>
          <w:sz w:val="28"/>
          <w:szCs w:val="28"/>
        </w:rPr>
        <w:t>基本情况</w:t>
      </w:r>
      <w:bookmarkEnd w:id="85"/>
    </w:p>
    <w:p w14:paraId="526CD1DD">
      <w:pPr>
        <w:widowControl w:val="0"/>
        <w:autoSpaceDE w:val="0"/>
        <w:autoSpaceDN w:val="0"/>
        <w:adjustRightInd w:val="0"/>
        <w:spacing w:line="360" w:lineRule="auto"/>
        <w:ind w:firstLine="560" w:firstLineChars="200"/>
        <w:jc w:val="both"/>
        <w:rPr>
          <w:rFonts w:ascii="宋体" w:eastAsia="宋体" w:cs="宋体"/>
          <w:color w:val="auto"/>
          <w:sz w:val="28"/>
          <w:szCs w:val="28"/>
        </w:rPr>
      </w:pPr>
      <w:r>
        <w:rPr>
          <w:rFonts w:hint="eastAsia" w:ascii="宋体" w:eastAsia="宋体" w:cs="宋体"/>
          <w:color w:val="auto"/>
          <w:sz w:val="28"/>
          <w:szCs w:val="28"/>
        </w:rPr>
        <w:t>1</w:t>
      </w:r>
      <w:r>
        <w:rPr>
          <w:rFonts w:ascii="宋体" w:eastAsia="宋体" w:cs="宋体"/>
          <w:color w:val="auto"/>
          <w:sz w:val="28"/>
          <w:szCs w:val="28"/>
        </w:rPr>
        <w:t>.1项目名称：</w:t>
      </w:r>
      <w:r>
        <w:rPr>
          <w:rFonts w:hint="eastAsia" w:ascii="宋体" w:eastAsia="宋体" w:cs="宋体"/>
          <w:color w:val="auto"/>
          <w:sz w:val="28"/>
          <w:szCs w:val="28"/>
        </w:rPr>
        <w:t>分布式光伏发电节能改造项目（以下简称节能项目）。</w:t>
      </w:r>
    </w:p>
    <w:p w14:paraId="3F46553C">
      <w:pPr>
        <w:widowControl w:val="0"/>
        <w:autoSpaceDE w:val="0"/>
        <w:autoSpaceDN w:val="0"/>
        <w:adjustRightInd w:val="0"/>
        <w:spacing w:line="360" w:lineRule="auto"/>
        <w:ind w:firstLine="560" w:firstLineChars="200"/>
        <w:jc w:val="both"/>
        <w:rPr>
          <w:rFonts w:hint="default" w:ascii="宋体" w:eastAsia="宋体" w:cs="宋体"/>
          <w:color w:val="auto"/>
          <w:sz w:val="28"/>
          <w:szCs w:val="28"/>
          <w:lang w:val="en-US" w:eastAsia="zh-CN"/>
        </w:rPr>
      </w:pPr>
      <w:r>
        <w:rPr>
          <w:rFonts w:hint="eastAsia" w:ascii="宋体" w:eastAsia="宋体" w:cs="宋体"/>
          <w:color w:val="auto"/>
          <w:sz w:val="28"/>
          <w:szCs w:val="28"/>
        </w:rPr>
        <w:t>1</w:t>
      </w:r>
      <w:r>
        <w:rPr>
          <w:rFonts w:ascii="宋体" w:eastAsia="宋体" w:cs="宋体"/>
          <w:color w:val="auto"/>
          <w:sz w:val="28"/>
          <w:szCs w:val="28"/>
        </w:rPr>
        <w:t>.2</w:t>
      </w:r>
      <w:r>
        <w:rPr>
          <w:rFonts w:hint="eastAsia" w:ascii="宋体" w:eastAsia="宋体" w:cs="宋体"/>
          <w:color w:val="auto"/>
          <w:sz w:val="28"/>
          <w:szCs w:val="28"/>
        </w:rPr>
        <w:t>项目地址：合肥市北二环砀山路1868号</w:t>
      </w:r>
      <w:r>
        <w:rPr>
          <w:rFonts w:hint="eastAsia" w:ascii="宋体" w:cs="宋体"/>
          <w:color w:val="auto"/>
          <w:sz w:val="28"/>
          <w:szCs w:val="28"/>
          <w:lang w:val="en-US" w:eastAsia="zh-CN"/>
        </w:rPr>
        <w:t>安徽省第二人民医院</w:t>
      </w:r>
    </w:p>
    <w:p w14:paraId="415BF0F5">
      <w:pPr>
        <w:widowControl w:val="0"/>
        <w:autoSpaceDE w:val="0"/>
        <w:autoSpaceDN w:val="0"/>
        <w:adjustRightInd w:val="0"/>
        <w:spacing w:line="360" w:lineRule="auto"/>
        <w:ind w:firstLine="560" w:firstLineChars="200"/>
        <w:jc w:val="both"/>
        <w:rPr>
          <w:rFonts w:ascii="宋体" w:eastAsia="宋体" w:cs="宋体"/>
          <w:color w:val="auto"/>
          <w:sz w:val="28"/>
          <w:szCs w:val="28"/>
        </w:rPr>
      </w:pPr>
      <w:r>
        <w:rPr>
          <w:rFonts w:hint="eastAsia" w:ascii="宋体" w:eastAsia="宋体" w:cs="宋体"/>
          <w:color w:val="auto"/>
          <w:sz w:val="28"/>
          <w:szCs w:val="28"/>
        </w:rPr>
        <w:t>1.3屋顶及场地使用范围：甲方提供可利用安装太阳能电池组件屋顶预计约有</w:t>
      </w:r>
      <w:r>
        <w:rPr>
          <w:rFonts w:hint="eastAsia" w:ascii="宋体" w:eastAsia="宋体" w:cs="宋体"/>
          <w:color w:val="auto"/>
          <w:sz w:val="28"/>
          <w:szCs w:val="28"/>
          <w:u w:val="single"/>
        </w:rPr>
        <w:t xml:space="preserve">     </w:t>
      </w:r>
      <w:r>
        <w:rPr>
          <w:rFonts w:hint="eastAsia" w:ascii="宋体" w:eastAsia="宋体" w:cs="宋体"/>
          <w:color w:val="auto"/>
          <w:sz w:val="28"/>
          <w:szCs w:val="28"/>
        </w:rPr>
        <w:t>万平方米，以最终使用面积为准，房屋为</w:t>
      </w:r>
      <w:r>
        <w:rPr>
          <w:rFonts w:ascii="宋体" w:eastAsia="宋体" w:cs="宋体"/>
          <w:color w:val="auto"/>
          <w:sz w:val="28"/>
          <w:szCs w:val="28"/>
          <w:u w:val="single"/>
        </w:rPr>
        <w:t xml:space="preserve">    </w:t>
      </w:r>
      <w:r>
        <w:rPr>
          <w:rFonts w:hint="eastAsia" w:ascii="宋体" w:eastAsia="宋体" w:cs="宋体"/>
          <w:color w:val="auto"/>
          <w:sz w:val="28"/>
          <w:szCs w:val="28"/>
        </w:rPr>
        <w:t>（房屋结构）。可使用范围</w:t>
      </w:r>
      <w:r>
        <w:rPr>
          <w:rFonts w:hint="eastAsia" w:ascii="宋体" w:cs="宋体"/>
          <w:color w:val="auto"/>
          <w:sz w:val="28"/>
          <w:szCs w:val="28"/>
          <w:lang w:val="en-US" w:eastAsia="zh-CN"/>
        </w:rPr>
        <w:t>院</w:t>
      </w:r>
      <w:r>
        <w:rPr>
          <w:rFonts w:hint="eastAsia" w:ascii="宋体" w:eastAsia="宋体" w:cs="宋体"/>
          <w:color w:val="auto"/>
          <w:sz w:val="28"/>
          <w:szCs w:val="28"/>
        </w:rPr>
        <w:t>区总平面图</w:t>
      </w:r>
      <w:r>
        <w:rPr>
          <w:rFonts w:hint="eastAsia" w:ascii="宋体" w:cs="宋体"/>
          <w:color w:val="auto"/>
          <w:sz w:val="28"/>
          <w:szCs w:val="28"/>
          <w:lang w:eastAsia="zh-CN"/>
        </w:rPr>
        <w:t>，</w:t>
      </w:r>
      <w:r>
        <w:rPr>
          <w:rFonts w:hint="eastAsia" w:ascii="宋体" w:eastAsia="宋体" w:cs="宋体"/>
          <w:color w:val="auto"/>
          <w:sz w:val="28"/>
          <w:szCs w:val="28"/>
        </w:rPr>
        <w:t>甲方保证提供予乙方安装光伏设备屋面的房屋所有权以及乙方搭建建筑物和放置节能项目有关设备的地面使用权或房屋所有权均合法属于甲方所有。</w:t>
      </w:r>
    </w:p>
    <w:p w14:paraId="7427E597">
      <w:pPr>
        <w:widowControl w:val="0"/>
        <w:autoSpaceDE w:val="0"/>
        <w:autoSpaceDN w:val="0"/>
        <w:adjustRightInd w:val="0"/>
        <w:spacing w:line="360" w:lineRule="auto"/>
        <w:ind w:firstLine="560" w:firstLineChars="200"/>
        <w:jc w:val="both"/>
        <w:rPr>
          <w:rFonts w:ascii="宋体" w:eastAsia="宋体" w:cs="宋体"/>
          <w:color w:val="auto"/>
          <w:sz w:val="28"/>
          <w:szCs w:val="28"/>
        </w:rPr>
      </w:pPr>
      <w:r>
        <w:rPr>
          <w:rFonts w:hint="eastAsia" w:ascii="宋体" w:eastAsia="宋体" w:cs="宋体"/>
          <w:color w:val="auto"/>
          <w:sz w:val="28"/>
          <w:szCs w:val="28"/>
        </w:rPr>
        <w:t>1.4</w:t>
      </w:r>
      <w:r>
        <w:rPr>
          <w:rFonts w:ascii="宋体" w:eastAsia="宋体" w:cs="宋体"/>
          <w:color w:val="auto"/>
          <w:sz w:val="28"/>
          <w:szCs w:val="28"/>
        </w:rPr>
        <w:t>项目内容</w:t>
      </w:r>
      <w:r>
        <w:rPr>
          <w:rFonts w:hint="eastAsia" w:ascii="宋体" w:eastAsia="宋体" w:cs="宋体"/>
          <w:color w:val="auto"/>
          <w:sz w:val="28"/>
          <w:szCs w:val="28"/>
        </w:rPr>
        <w:t>：甲方向乙方提供上述1.3范围屋顶以及其他配套工程和设施使用场地，乙方提供节能项目节能解决方案、设计方案和施工方案，并按方案实施，提供节能减排服务，项目系统工程</w:t>
      </w:r>
      <w:r>
        <w:rPr>
          <w:rFonts w:hint="eastAsia" w:eastAsia="宋体" w:cs="宋体"/>
          <w:color w:val="auto"/>
          <w:sz w:val="28"/>
          <w:szCs w:val="28"/>
        </w:rPr>
        <w:t>包含但不限定于：</w:t>
      </w:r>
    </w:p>
    <w:p w14:paraId="0C139BE3">
      <w:pPr>
        <w:widowControl w:val="0"/>
        <w:spacing w:after="60"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（１）光伏组件</w:t>
      </w:r>
    </w:p>
    <w:p w14:paraId="5DD222A6">
      <w:pPr>
        <w:widowControl w:val="0"/>
        <w:spacing w:after="60"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（２）光伏支架</w:t>
      </w:r>
    </w:p>
    <w:p w14:paraId="0BF1E421">
      <w:pPr>
        <w:widowControl w:val="0"/>
        <w:spacing w:after="60"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（３）供电网络附属工程</w:t>
      </w:r>
    </w:p>
    <w:p w14:paraId="5C57C680">
      <w:pPr>
        <w:widowControl w:val="0"/>
        <w:spacing w:after="60"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（４）厂房供电设施</w:t>
      </w:r>
    </w:p>
    <w:p w14:paraId="073F3B09">
      <w:pPr>
        <w:widowControl w:val="0"/>
        <w:spacing w:after="60"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（５）满足国家及行业标准的分布式光伏发电站设计要求的必要设备设施</w:t>
      </w:r>
    </w:p>
    <w:p w14:paraId="0DB6668D">
      <w:pPr>
        <w:widowControl w:val="0"/>
        <w:spacing w:after="60" w:line="360" w:lineRule="auto"/>
        <w:ind w:firstLine="560" w:firstLineChars="200"/>
        <w:jc w:val="both"/>
        <w:rPr>
          <w:rFonts w:ascii="宋体" w:hAnsi="宋体" w:eastAsia="宋体"/>
          <w:color w:val="auto"/>
          <w:sz w:val="28"/>
          <w:szCs w:val="28"/>
        </w:rPr>
      </w:pPr>
      <w:r>
        <w:rPr>
          <w:rFonts w:ascii="宋体" w:hAnsi="宋体" w:eastAsia="宋体"/>
          <w:color w:val="auto"/>
          <w:sz w:val="28"/>
          <w:szCs w:val="28"/>
        </w:rPr>
        <w:t>1.</w:t>
      </w:r>
      <w:r>
        <w:rPr>
          <w:rFonts w:hint="eastAsia" w:ascii="宋体" w:hAnsi="宋体" w:eastAsia="宋体"/>
          <w:color w:val="auto"/>
          <w:sz w:val="28"/>
          <w:szCs w:val="28"/>
        </w:rPr>
        <w:t>5合同期限</w:t>
      </w:r>
    </w:p>
    <w:p w14:paraId="24760C48">
      <w:pPr>
        <w:widowControl w:val="0"/>
        <w:autoSpaceDE w:val="0"/>
        <w:autoSpaceDN w:val="0"/>
        <w:adjustRightInd w:val="0"/>
        <w:spacing w:line="360" w:lineRule="auto"/>
        <w:ind w:firstLine="560" w:firstLineChars="200"/>
        <w:jc w:val="both"/>
        <w:rPr>
          <w:rFonts w:ascii="宋体" w:hAnsi="宋体" w:eastAsia="宋体" w:cs="宋体"/>
          <w:color w:val="auto"/>
          <w:sz w:val="28"/>
          <w:szCs w:val="28"/>
        </w:rPr>
      </w:pPr>
      <w:r>
        <w:rPr>
          <w:rFonts w:ascii="宋体" w:hAnsi="宋体" w:eastAsia="宋体" w:cs="宋体"/>
          <w:color w:val="auto"/>
          <w:sz w:val="28"/>
          <w:szCs w:val="28"/>
        </w:rPr>
        <w:t>1.</w:t>
      </w:r>
      <w:r>
        <w:rPr>
          <w:rFonts w:hint="eastAsia" w:ascii="宋体" w:hAnsi="宋体" w:eastAsia="宋体" w:cs="宋体"/>
          <w:color w:val="auto"/>
          <w:sz w:val="28"/>
          <w:szCs w:val="28"/>
        </w:rPr>
        <w:t>5.1本合同自</w:t>
      </w:r>
      <w:r>
        <w:rPr>
          <w:rFonts w:hint="eastAsia" w:ascii="宋体" w:hAnsi="宋体" w:eastAsia="宋体" w:cs="宋体"/>
          <w:color w:val="auto"/>
          <w:sz w:val="28"/>
          <w:szCs w:val="28"/>
          <w:u w:val="single"/>
        </w:rPr>
        <w:t xml:space="preserve"> 本合同生效之日起至项目节能效益分享期结束且甲方付清本合同约定的所有款项止</w:t>
      </w:r>
      <w:r>
        <w:rPr>
          <w:rFonts w:hint="eastAsia" w:ascii="宋体" w:hAnsi="宋体" w:eastAsia="宋体" w:cs="宋体"/>
          <w:color w:val="auto"/>
          <w:sz w:val="28"/>
          <w:szCs w:val="28"/>
        </w:rPr>
        <w:t>。</w:t>
      </w:r>
    </w:p>
    <w:p w14:paraId="76D2E090">
      <w:pPr>
        <w:widowControl w:val="0"/>
        <w:autoSpaceDE w:val="0"/>
        <w:autoSpaceDN w:val="0"/>
        <w:adjustRightInd w:val="0"/>
        <w:spacing w:line="360" w:lineRule="auto"/>
        <w:ind w:firstLine="560" w:firstLineChars="200"/>
        <w:jc w:val="both"/>
        <w:rPr>
          <w:rFonts w:ascii="宋体" w:hAnsi="宋体" w:eastAsia="宋体"/>
          <w:color w:val="auto"/>
          <w:kern w:val="2"/>
          <w:sz w:val="28"/>
          <w:szCs w:val="28"/>
          <w:highlight w:val="none"/>
        </w:rPr>
      </w:pPr>
      <w:r>
        <w:rPr>
          <w:rFonts w:ascii="宋体" w:hAnsi="宋体" w:eastAsia="宋体" w:cs="宋体"/>
          <w:color w:val="auto"/>
          <w:sz w:val="28"/>
          <w:szCs w:val="28"/>
        </w:rPr>
        <w:t>1.</w:t>
      </w:r>
      <w:r>
        <w:rPr>
          <w:rFonts w:hint="eastAsia" w:ascii="宋体" w:hAnsi="宋体" w:eastAsia="宋体" w:cs="宋体"/>
          <w:color w:val="auto"/>
          <w:sz w:val="28"/>
          <w:szCs w:val="28"/>
        </w:rPr>
        <w:t>5.2本项目的建设期为合同生效且开始施工之日起，</w:t>
      </w:r>
      <w:r>
        <w:rPr>
          <w:rFonts w:hint="eastAsia" w:ascii="宋体" w:hAnsi="宋体" w:eastAsia="宋体" w:cs="宋体"/>
          <w:color w:val="auto"/>
          <w:sz w:val="28"/>
          <w:szCs w:val="28"/>
          <w:highlight w:val="none"/>
        </w:rPr>
        <w:t>至项目申请供电局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国网公司</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验收之日止，工期为</w:t>
      </w:r>
      <w:r>
        <w:rPr>
          <w:rFonts w:hint="eastAsia" w:ascii="宋体" w:hAnsi="宋体" w:eastAsia="宋体" w:cs="宋体"/>
          <w:color w:val="auto"/>
          <w:sz w:val="28"/>
          <w:szCs w:val="28"/>
          <w:highlight w:val="none"/>
          <w:u w:val="single"/>
        </w:rPr>
        <w:t>2</w:t>
      </w:r>
      <w:r>
        <w:rPr>
          <w:rFonts w:ascii="宋体" w:hAnsi="宋体" w:eastAsia="宋体" w:cs="宋体"/>
          <w:color w:val="auto"/>
          <w:sz w:val="28"/>
          <w:szCs w:val="28"/>
          <w:highlight w:val="none"/>
          <w:u w:val="single"/>
        </w:rPr>
        <w:t>70</w:t>
      </w:r>
      <w:r>
        <w:rPr>
          <w:rFonts w:hint="eastAsia" w:ascii="宋体" w:hAnsi="宋体" w:eastAsia="宋体" w:cs="宋体"/>
          <w:color w:val="auto"/>
          <w:sz w:val="28"/>
          <w:szCs w:val="28"/>
          <w:highlight w:val="none"/>
          <w:u w:val="single"/>
        </w:rPr>
        <w:t>天</w:t>
      </w:r>
      <w:r>
        <w:rPr>
          <w:rFonts w:hint="eastAsia" w:ascii="宋体" w:hAnsi="宋体" w:eastAsia="宋体" w:cs="宋体"/>
          <w:color w:val="auto"/>
          <w:sz w:val="28"/>
          <w:szCs w:val="28"/>
          <w:highlight w:val="none"/>
        </w:rPr>
        <w:t>。</w:t>
      </w:r>
    </w:p>
    <w:p w14:paraId="3DD29297">
      <w:pPr>
        <w:widowControl w:val="0"/>
        <w:autoSpaceDE w:val="0"/>
        <w:autoSpaceDN w:val="0"/>
        <w:adjustRightInd w:val="0"/>
        <w:spacing w:line="360" w:lineRule="auto"/>
        <w:ind w:firstLine="560" w:firstLineChars="200"/>
        <w:jc w:val="both"/>
        <w:rPr>
          <w:rFonts w:ascii="宋体" w:hAnsi="宋体" w:eastAsia="宋体" w:cs="宋体"/>
          <w:color w:val="auto"/>
          <w:sz w:val="28"/>
          <w:szCs w:val="28"/>
        </w:rPr>
      </w:pP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5.3本项目节能效益分享期的起始日为</w:t>
      </w:r>
      <w:r>
        <w:rPr>
          <w:rFonts w:hint="eastAsia" w:ascii="宋体" w:hAnsi="宋体" w:eastAsia="宋体" w:cs="宋体"/>
          <w:color w:val="auto"/>
          <w:sz w:val="28"/>
          <w:szCs w:val="28"/>
          <w:highlight w:val="none"/>
          <w:u w:val="single"/>
        </w:rPr>
        <w:t>经供电局</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国网公司</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验</w:t>
      </w:r>
      <w:r>
        <w:rPr>
          <w:rFonts w:hint="eastAsia" w:ascii="宋体" w:hAnsi="宋体" w:eastAsia="宋体" w:cs="宋体"/>
          <w:color w:val="auto"/>
          <w:sz w:val="28"/>
          <w:szCs w:val="28"/>
          <w:u w:val="single"/>
        </w:rPr>
        <w:t>收合格并正式并网之日（如果项目分期并网，则分期计算）</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rPr>
        <w:t>效益分享期为</w:t>
      </w:r>
      <w:r>
        <w:rPr>
          <w:rFonts w:hint="eastAsia" w:ascii="宋体" w:hAnsi="宋体" w:eastAsia="宋体" w:cs="宋体"/>
          <w:color w:val="auto"/>
          <w:sz w:val="28"/>
          <w:szCs w:val="28"/>
          <w:u w:val="single"/>
        </w:rPr>
        <w:t xml:space="preserve"> 25年</w:t>
      </w:r>
      <w:r>
        <w:rPr>
          <w:rFonts w:hint="eastAsia" w:ascii="宋体" w:hAnsi="宋体" w:eastAsia="宋体" w:cs="宋体"/>
          <w:color w:val="auto"/>
          <w:sz w:val="28"/>
          <w:szCs w:val="28"/>
        </w:rPr>
        <w:t>。</w:t>
      </w:r>
    </w:p>
    <w:p w14:paraId="0FE90538">
      <w:pPr>
        <w:widowControl w:val="0"/>
        <w:autoSpaceDE w:val="0"/>
        <w:autoSpaceDN w:val="0"/>
        <w:adjustRightInd w:val="0"/>
        <w:spacing w:line="360" w:lineRule="auto"/>
        <w:ind w:firstLine="560" w:firstLineChars="200"/>
        <w:jc w:val="both"/>
        <w:rPr>
          <w:rFonts w:ascii="宋体" w:hAnsi="宋体" w:eastAsia="宋体" w:cs="宋体"/>
          <w:color w:val="auto"/>
          <w:sz w:val="28"/>
          <w:szCs w:val="28"/>
        </w:rPr>
      </w:pPr>
      <w:r>
        <w:rPr>
          <w:rFonts w:ascii="宋体" w:hAnsi="宋体" w:eastAsia="宋体" w:cs="宋体"/>
          <w:color w:val="auto"/>
          <w:sz w:val="28"/>
          <w:szCs w:val="28"/>
        </w:rPr>
        <w:t>1.6</w:t>
      </w:r>
      <w:r>
        <w:rPr>
          <w:rFonts w:hint="eastAsia" w:ascii="宋体" w:hAnsi="宋体" w:eastAsia="宋体" w:cs="宋体"/>
          <w:color w:val="auto"/>
          <w:sz w:val="28"/>
          <w:szCs w:val="28"/>
        </w:rPr>
        <w:t>合同文件的优先顺序</w:t>
      </w:r>
    </w:p>
    <w:p w14:paraId="59FC1E33">
      <w:pPr>
        <w:widowControl w:val="0"/>
        <w:autoSpaceDE w:val="0"/>
        <w:autoSpaceDN w:val="0"/>
        <w:adjustRightInd w:val="0"/>
        <w:spacing w:line="360" w:lineRule="auto"/>
        <w:ind w:firstLine="560" w:firstLineChars="200"/>
        <w:jc w:val="both"/>
        <w:rPr>
          <w:rFonts w:ascii="宋体" w:hAnsi="宋体" w:eastAsia="宋体" w:cs="宋体"/>
          <w:color w:val="auto"/>
          <w:sz w:val="28"/>
          <w:szCs w:val="28"/>
        </w:rPr>
      </w:pPr>
      <w:r>
        <w:rPr>
          <w:rFonts w:hint="eastAsia" w:ascii="宋体" w:hAnsi="宋体" w:eastAsia="宋体" w:cs="宋体"/>
          <w:color w:val="auto"/>
          <w:sz w:val="28"/>
          <w:szCs w:val="28"/>
        </w:rPr>
        <w:t>合同文件组成及优先顺序为：（</w:t>
      </w:r>
      <w:r>
        <w:rPr>
          <w:rFonts w:ascii="宋体" w:hAnsi="宋体" w:eastAsia="宋体" w:cs="宋体"/>
          <w:color w:val="auto"/>
          <w:sz w:val="28"/>
          <w:szCs w:val="28"/>
        </w:rPr>
        <w:t>1</w:t>
      </w:r>
      <w:r>
        <w:rPr>
          <w:rFonts w:hint="eastAsia" w:ascii="宋体" w:hAnsi="宋体" w:eastAsia="宋体" w:cs="宋体"/>
          <w:color w:val="auto"/>
          <w:sz w:val="28"/>
          <w:szCs w:val="28"/>
        </w:rPr>
        <w:t>）合同协议书；（</w:t>
      </w:r>
      <w:r>
        <w:rPr>
          <w:rFonts w:ascii="宋体" w:hAnsi="宋体" w:eastAsia="宋体" w:cs="宋体"/>
          <w:color w:val="auto"/>
          <w:sz w:val="28"/>
          <w:szCs w:val="28"/>
        </w:rPr>
        <w:t>2</w:t>
      </w:r>
      <w:r>
        <w:rPr>
          <w:rFonts w:hint="eastAsia" w:ascii="宋体" w:hAnsi="宋体" w:eastAsia="宋体" w:cs="宋体"/>
          <w:color w:val="auto"/>
          <w:sz w:val="28"/>
          <w:szCs w:val="28"/>
        </w:rPr>
        <w:t>）中选通知书；（</w:t>
      </w:r>
      <w:r>
        <w:rPr>
          <w:rFonts w:ascii="宋体" w:hAnsi="宋体" w:eastAsia="宋体" w:cs="宋体"/>
          <w:color w:val="auto"/>
          <w:sz w:val="28"/>
          <w:szCs w:val="28"/>
        </w:rPr>
        <w:t>3</w:t>
      </w:r>
      <w:r>
        <w:rPr>
          <w:rFonts w:hint="eastAsia" w:ascii="宋体" w:hAnsi="宋体" w:eastAsia="宋体" w:cs="宋体"/>
          <w:color w:val="auto"/>
          <w:sz w:val="28"/>
          <w:szCs w:val="28"/>
        </w:rPr>
        <w:t>）招标文件（含清单、图纸及补充说明）；（</w:t>
      </w:r>
      <w:r>
        <w:rPr>
          <w:rFonts w:ascii="宋体" w:hAnsi="宋体" w:eastAsia="宋体" w:cs="宋体"/>
          <w:color w:val="auto"/>
          <w:sz w:val="28"/>
          <w:szCs w:val="28"/>
        </w:rPr>
        <w:t>4</w:t>
      </w:r>
      <w:r>
        <w:rPr>
          <w:rFonts w:hint="eastAsia" w:ascii="宋体" w:hAnsi="宋体" w:eastAsia="宋体" w:cs="宋体"/>
          <w:color w:val="auto"/>
          <w:sz w:val="28"/>
          <w:szCs w:val="28"/>
        </w:rPr>
        <w:t>）投标文件及附件；（</w:t>
      </w:r>
      <w:r>
        <w:rPr>
          <w:rFonts w:ascii="宋体" w:hAnsi="宋体" w:eastAsia="宋体" w:cs="宋体"/>
          <w:color w:val="auto"/>
          <w:sz w:val="28"/>
          <w:szCs w:val="28"/>
        </w:rPr>
        <w:t>5</w:t>
      </w:r>
      <w:r>
        <w:rPr>
          <w:rFonts w:hint="eastAsia" w:ascii="宋体" w:hAnsi="宋体" w:eastAsia="宋体" w:cs="宋体"/>
          <w:color w:val="auto"/>
          <w:sz w:val="28"/>
          <w:szCs w:val="28"/>
        </w:rPr>
        <w:t>）技术标准和要求；（</w:t>
      </w:r>
      <w:r>
        <w:rPr>
          <w:rFonts w:ascii="宋体" w:hAnsi="宋体" w:eastAsia="宋体" w:cs="宋体"/>
          <w:color w:val="auto"/>
          <w:sz w:val="28"/>
          <w:szCs w:val="28"/>
        </w:rPr>
        <w:t>6</w:t>
      </w:r>
      <w:r>
        <w:rPr>
          <w:rFonts w:hint="eastAsia" w:ascii="宋体" w:hAnsi="宋体" w:eastAsia="宋体" w:cs="宋体"/>
          <w:color w:val="auto"/>
          <w:sz w:val="28"/>
          <w:szCs w:val="28"/>
        </w:rPr>
        <w:t>）其他文件。</w:t>
      </w:r>
    </w:p>
    <w:p w14:paraId="01B64A34">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86" w:name="_Toc192919770"/>
      <w:bookmarkStart w:id="87" w:name="_Toc518569062"/>
      <w:r>
        <w:rPr>
          <w:rFonts w:hint="eastAsia" w:ascii="黑体" w:hAnsi="黑体" w:eastAsia="黑体"/>
          <w:b/>
          <w:bCs/>
          <w:color w:val="auto"/>
          <w:kern w:val="2"/>
          <w:sz w:val="28"/>
          <w:szCs w:val="28"/>
        </w:rPr>
        <w:t>2．项目投资与收益</w:t>
      </w:r>
      <w:bookmarkEnd w:id="86"/>
      <w:bookmarkEnd w:id="87"/>
    </w:p>
    <w:p w14:paraId="319DF77F">
      <w:pPr>
        <w:widowControl w:val="0"/>
        <w:tabs>
          <w:tab w:val="left" w:pos="142"/>
          <w:tab w:val="left" w:pos="284"/>
          <w:tab w:val="left" w:pos="426"/>
        </w:tabs>
        <w:spacing w:after="60" w:line="360" w:lineRule="auto"/>
        <w:ind w:firstLine="560" w:firstLineChars="200"/>
        <w:jc w:val="both"/>
        <w:rPr>
          <w:rFonts w:ascii="Arial" w:hAnsi="Arial" w:eastAsia="宋体"/>
          <w:color w:val="auto"/>
          <w:sz w:val="28"/>
          <w:szCs w:val="28"/>
        </w:rPr>
      </w:pPr>
      <w:r>
        <w:rPr>
          <w:rFonts w:ascii="宋体" w:hAnsi="Arial" w:eastAsia="宋体" w:cs="宋体"/>
          <w:color w:val="auto"/>
          <w:sz w:val="28"/>
          <w:szCs w:val="28"/>
          <w:lang w:val="zh-CN"/>
        </w:rPr>
        <w:t>2.</w:t>
      </w:r>
      <w:r>
        <w:rPr>
          <w:rFonts w:hint="eastAsia" w:ascii="宋体" w:hAnsi="Arial" w:eastAsia="宋体" w:cs="宋体"/>
          <w:color w:val="auto"/>
          <w:sz w:val="28"/>
          <w:szCs w:val="28"/>
          <w:lang w:val="zh-CN"/>
        </w:rPr>
        <w:t>1乙方</w:t>
      </w:r>
      <w:r>
        <w:rPr>
          <w:rFonts w:hint="eastAsia" w:ascii="Arial" w:hAnsi="Arial" w:eastAsia="宋体"/>
          <w:color w:val="auto"/>
          <w:sz w:val="28"/>
          <w:szCs w:val="28"/>
        </w:rPr>
        <w:t>负责该项目的投资，建设规模约</w:t>
      </w:r>
      <w:r>
        <w:rPr>
          <w:rFonts w:ascii="Arial" w:hAnsi="Arial" w:eastAsia="宋体"/>
          <w:color w:val="auto"/>
          <w:sz w:val="28"/>
          <w:szCs w:val="28"/>
          <w:u w:val="single"/>
        </w:rPr>
        <w:t xml:space="preserve">   </w:t>
      </w:r>
      <w:r>
        <w:rPr>
          <w:rFonts w:hint="eastAsia" w:ascii="Arial" w:hAnsi="Arial" w:eastAsia="宋体"/>
          <w:color w:val="auto"/>
          <w:sz w:val="28"/>
          <w:szCs w:val="28"/>
        </w:rPr>
        <w:t>MW，具体规模以乙方提交甲方备案</w:t>
      </w:r>
      <w:r>
        <w:rPr>
          <w:rFonts w:hint="eastAsia" w:ascii="宋体" w:hAnsi="宋体" w:eastAsia="宋体" w:cs="宋体"/>
          <w:color w:val="auto"/>
          <w:sz w:val="28"/>
          <w:szCs w:val="28"/>
        </w:rPr>
        <w:t>的设计方案规定</w:t>
      </w:r>
      <w:r>
        <w:rPr>
          <w:rFonts w:hint="eastAsia" w:ascii="Arial" w:hAnsi="Arial" w:eastAsia="宋体"/>
          <w:color w:val="auto"/>
          <w:sz w:val="28"/>
          <w:szCs w:val="28"/>
        </w:rPr>
        <w:t>的初步设计值为准；本项目建设所需资金由乙方自筹解决，乙方负责办理本项目实施所必需的项目立项备案、电网接入申请等，一切费用均由乙方自担。</w:t>
      </w:r>
    </w:p>
    <w:p w14:paraId="3840986C">
      <w:pPr>
        <w:widowControl w:val="0"/>
        <w:tabs>
          <w:tab w:val="left" w:pos="142"/>
          <w:tab w:val="left" w:pos="284"/>
          <w:tab w:val="left" w:pos="426"/>
        </w:tabs>
        <w:spacing w:after="60" w:line="360" w:lineRule="auto"/>
        <w:ind w:firstLine="560" w:firstLineChars="200"/>
        <w:jc w:val="both"/>
        <w:rPr>
          <w:rFonts w:ascii="Arial" w:hAnsi="Arial" w:eastAsia="宋体"/>
          <w:color w:val="auto"/>
          <w:sz w:val="28"/>
          <w:szCs w:val="28"/>
        </w:rPr>
      </w:pPr>
      <w:r>
        <w:rPr>
          <w:rFonts w:hint="eastAsia" w:ascii="宋体" w:hAnsi="Arial" w:eastAsia="宋体" w:cs="宋体"/>
          <w:color w:val="auto"/>
          <w:sz w:val="28"/>
          <w:szCs w:val="28"/>
          <w:lang w:val="zh-CN"/>
        </w:rPr>
        <w:t>2.2 甲乙双方合作推进本节能项目实施，</w:t>
      </w:r>
      <w:r>
        <w:rPr>
          <w:rFonts w:hint="eastAsia" w:ascii="宋体" w:eastAsia="宋体" w:cs="宋体"/>
          <w:color w:val="auto"/>
          <w:sz w:val="28"/>
          <w:szCs w:val="28"/>
        </w:rPr>
        <w:t>节能效益分享期内</w:t>
      </w:r>
      <w:r>
        <w:rPr>
          <w:rFonts w:hint="eastAsia" w:ascii="宋体" w:hAnsi="Arial" w:eastAsia="宋体" w:cs="宋体"/>
          <w:color w:val="auto"/>
          <w:sz w:val="28"/>
          <w:szCs w:val="28"/>
          <w:lang w:val="zh-CN"/>
        </w:rPr>
        <w:t>，甲方保证优先消纳本项目所产生的电能，乙方按甲方</w:t>
      </w:r>
      <w:r>
        <w:rPr>
          <w:rFonts w:hint="eastAsia" w:ascii="Arial" w:hAnsi="Arial" w:eastAsia="宋体"/>
          <w:color w:val="auto"/>
          <w:sz w:val="28"/>
          <w:szCs w:val="28"/>
        </w:rPr>
        <w:t>当地供电部门实际执行的市场化零售结算分时电度电价，依据第</w:t>
      </w:r>
      <w:r>
        <w:rPr>
          <w:rFonts w:hint="eastAsia" w:asciiTheme="minorEastAsia" w:hAnsiTheme="minorEastAsia" w:eastAsiaTheme="minorEastAsia"/>
          <w:color w:val="auto"/>
          <w:sz w:val="28"/>
          <w:szCs w:val="28"/>
        </w:rPr>
        <w:t>2.3</w:t>
      </w:r>
      <w:r>
        <w:rPr>
          <w:rFonts w:hint="eastAsia" w:ascii="Arial" w:hAnsi="Arial" w:eastAsia="宋体"/>
          <w:color w:val="auto"/>
          <w:sz w:val="28"/>
          <w:szCs w:val="28"/>
        </w:rPr>
        <w:t>条约定让利销售给甲方使用。</w:t>
      </w:r>
    </w:p>
    <w:p w14:paraId="1FF3F0B5">
      <w:pPr>
        <w:widowControl w:val="0"/>
        <w:autoSpaceDE w:val="0"/>
        <w:autoSpaceDN w:val="0"/>
        <w:adjustRightInd w:val="0"/>
        <w:spacing w:after="60" w:line="360" w:lineRule="auto"/>
        <w:ind w:firstLine="560" w:firstLineChars="200"/>
        <w:jc w:val="both"/>
        <w:rPr>
          <w:rFonts w:eastAsia="宋体"/>
          <w:color w:val="auto"/>
          <w:sz w:val="28"/>
          <w:szCs w:val="28"/>
          <w:lang w:val="zh-CN"/>
        </w:rPr>
      </w:pPr>
      <w:r>
        <w:rPr>
          <w:rFonts w:hint="eastAsia" w:ascii="宋体" w:hAnsi="Arial" w:eastAsia="宋体" w:cs="宋体"/>
          <w:color w:val="auto"/>
          <w:sz w:val="28"/>
          <w:szCs w:val="28"/>
        </w:rPr>
        <w:t xml:space="preserve"> </w:t>
      </w:r>
      <w:r>
        <w:rPr>
          <w:rFonts w:hint="eastAsia" w:ascii="宋体" w:hAnsi="Arial" w:eastAsia="宋体" w:cs="宋体"/>
          <w:color w:val="auto"/>
          <w:sz w:val="28"/>
          <w:szCs w:val="28"/>
          <w:lang w:val="zh-CN"/>
        </w:rPr>
        <w:t>2.3 协议电价：经双方友好协商，在合同期内，乙方均按实际发电时段</w:t>
      </w:r>
      <w:r>
        <w:rPr>
          <w:rFonts w:hint="eastAsia" w:ascii="Arial" w:hAnsi="Arial" w:eastAsia="宋体"/>
          <w:color w:val="auto"/>
          <w:sz w:val="28"/>
          <w:szCs w:val="28"/>
        </w:rPr>
        <w:t>市场化零售结算分时电度电价</w:t>
      </w:r>
      <w:r>
        <w:rPr>
          <w:rFonts w:hint="eastAsia" w:ascii="宋体" w:hAnsi="Arial" w:eastAsia="宋体" w:cs="宋体"/>
          <w:color w:val="auto"/>
          <w:sz w:val="28"/>
          <w:szCs w:val="28"/>
          <w:lang w:val="zh-CN"/>
        </w:rPr>
        <w:t>的</w:t>
      </w:r>
      <w:r>
        <w:rPr>
          <w:rFonts w:hint="eastAsia" w:ascii="宋体" w:hAnsi="Arial" w:eastAsia="宋体" w:cs="宋体"/>
          <w:color w:val="auto"/>
          <w:sz w:val="28"/>
          <w:szCs w:val="28"/>
          <w:u w:val="single"/>
        </w:rPr>
        <w:t xml:space="preserve">  </w:t>
      </w:r>
      <w:r>
        <w:rPr>
          <w:rFonts w:hint="eastAsia" w:ascii="宋体" w:hAnsi="Arial" w:eastAsia="宋体" w:cs="宋体"/>
          <w:color w:val="auto"/>
          <w:sz w:val="28"/>
          <w:szCs w:val="28"/>
          <w:lang w:val="zh-CN"/>
        </w:rPr>
        <w:t>%（此值也即乙方给予甲方的电价）计价向甲方收取电费</w:t>
      </w:r>
      <w:r>
        <w:rPr>
          <w:rFonts w:hint="eastAsia" w:ascii="Arial" w:hAnsi="Arial" w:eastAsia="宋体"/>
          <w:color w:val="auto"/>
          <w:sz w:val="28"/>
          <w:szCs w:val="28"/>
        </w:rPr>
        <w:t>市场化零售结算分时电度电价</w:t>
      </w:r>
      <w:r>
        <w:rPr>
          <w:rFonts w:hint="eastAsia" w:ascii="宋体" w:hAnsi="Arial" w:eastAsia="宋体" w:cs="宋体"/>
          <w:color w:val="auto"/>
          <w:sz w:val="28"/>
          <w:szCs w:val="28"/>
          <w:lang w:val="zh-CN"/>
        </w:rPr>
        <w:t>是指</w:t>
      </w:r>
      <w:r>
        <w:rPr>
          <w:rFonts w:hint="eastAsia" w:eastAsia="宋体"/>
          <w:color w:val="auto"/>
          <w:sz w:val="28"/>
          <w:szCs w:val="28"/>
          <w:lang w:val="zh-CN"/>
        </w:rPr>
        <w:t>甲方在实际电力交易中所形成的各</w:t>
      </w:r>
      <w:r>
        <w:rPr>
          <w:rFonts w:hint="eastAsia"/>
          <w:color w:val="auto"/>
          <w:sz w:val="28"/>
          <w:szCs w:val="28"/>
          <w:lang w:val="zh-CN"/>
        </w:rPr>
        <w:t>月份</w:t>
      </w:r>
      <w:r>
        <w:rPr>
          <w:rFonts w:eastAsia="宋体"/>
          <w:color w:val="auto"/>
          <w:sz w:val="28"/>
          <w:szCs w:val="28"/>
          <w:lang w:val="zh-CN"/>
        </w:rPr>
        <w:t>时电价</w:t>
      </w:r>
      <w:r>
        <w:rPr>
          <w:rFonts w:hint="eastAsia" w:eastAsia="宋体"/>
          <w:color w:val="auto"/>
          <w:sz w:val="28"/>
          <w:szCs w:val="28"/>
          <w:lang w:val="zh-CN"/>
        </w:rPr>
        <w:t>。本合同签订时（2</w:t>
      </w:r>
      <w:r>
        <w:rPr>
          <w:rFonts w:eastAsia="宋体"/>
          <w:color w:val="auto"/>
          <w:sz w:val="28"/>
          <w:szCs w:val="28"/>
          <w:lang w:val="zh-CN"/>
        </w:rPr>
        <w:t>02</w:t>
      </w:r>
      <w:r>
        <w:rPr>
          <w:rFonts w:hint="eastAsia"/>
          <w:color w:val="auto"/>
          <w:sz w:val="28"/>
          <w:szCs w:val="28"/>
          <w:lang w:val="en-US" w:eastAsia="zh-CN"/>
        </w:rPr>
        <w:t>3</w:t>
      </w:r>
      <w:r>
        <w:rPr>
          <w:rFonts w:hint="eastAsia" w:eastAsia="宋体"/>
          <w:color w:val="auto"/>
          <w:sz w:val="28"/>
          <w:szCs w:val="28"/>
          <w:lang w:val="zh-CN"/>
        </w:rPr>
        <w:t>年X</w:t>
      </w:r>
      <w:r>
        <w:rPr>
          <w:rFonts w:eastAsia="宋体"/>
          <w:color w:val="auto"/>
          <w:sz w:val="28"/>
          <w:szCs w:val="28"/>
          <w:lang w:val="zh-CN"/>
        </w:rPr>
        <w:t>X</w:t>
      </w:r>
      <w:r>
        <w:rPr>
          <w:rFonts w:hint="eastAsia" w:eastAsia="宋体"/>
          <w:color w:val="auto"/>
          <w:sz w:val="28"/>
          <w:szCs w:val="28"/>
          <w:lang w:val="zh-CN"/>
        </w:rPr>
        <w:t>月）的厂区用电交易电价</w:t>
      </w:r>
      <w:r>
        <w:rPr>
          <w:rFonts w:eastAsia="宋体"/>
          <w:color w:val="auto"/>
          <w:sz w:val="28"/>
          <w:szCs w:val="28"/>
          <w:lang w:val="zh-CN"/>
        </w:rPr>
        <w:t>为：峰</w:t>
      </w:r>
      <w:r>
        <w:rPr>
          <w:rFonts w:eastAsia="宋体"/>
          <w:color w:val="auto"/>
          <w:sz w:val="28"/>
          <w:szCs w:val="28"/>
          <w:u w:val="single"/>
        </w:rPr>
        <w:t xml:space="preserve">    </w:t>
      </w:r>
      <w:r>
        <w:rPr>
          <w:rFonts w:eastAsia="宋体"/>
          <w:color w:val="auto"/>
          <w:sz w:val="28"/>
          <w:szCs w:val="28"/>
          <w:lang w:val="zh-CN"/>
        </w:rPr>
        <w:t>分/kWh，平</w:t>
      </w:r>
      <w:r>
        <w:rPr>
          <w:rFonts w:eastAsia="宋体"/>
          <w:color w:val="auto"/>
          <w:sz w:val="28"/>
          <w:szCs w:val="28"/>
          <w:u w:val="single"/>
        </w:rPr>
        <w:t xml:space="preserve">    </w:t>
      </w:r>
      <w:r>
        <w:rPr>
          <w:rFonts w:eastAsia="宋体"/>
          <w:color w:val="auto"/>
          <w:sz w:val="28"/>
          <w:szCs w:val="28"/>
          <w:lang w:val="zh-CN"/>
        </w:rPr>
        <w:t>分/kWh，谷</w:t>
      </w:r>
      <w:r>
        <w:rPr>
          <w:rFonts w:eastAsia="宋体"/>
          <w:color w:val="auto"/>
          <w:sz w:val="28"/>
          <w:szCs w:val="28"/>
          <w:u w:val="single"/>
        </w:rPr>
        <w:t xml:space="preserve">    </w:t>
      </w:r>
      <w:r>
        <w:rPr>
          <w:rFonts w:eastAsia="宋体"/>
          <w:color w:val="auto"/>
          <w:sz w:val="28"/>
          <w:szCs w:val="28"/>
          <w:lang w:val="zh-CN"/>
        </w:rPr>
        <w:t>分/kWh，合同期内</w:t>
      </w:r>
      <w:r>
        <w:rPr>
          <w:rFonts w:hint="eastAsia"/>
          <w:color w:val="auto"/>
          <w:sz w:val="28"/>
          <w:szCs w:val="28"/>
          <w:lang w:val="en-US" w:eastAsia="zh-CN"/>
        </w:rPr>
        <w:t>每月结算</w:t>
      </w:r>
      <w:r>
        <w:rPr>
          <w:rFonts w:eastAsia="宋体"/>
          <w:color w:val="auto"/>
          <w:sz w:val="28"/>
          <w:szCs w:val="28"/>
          <w:lang w:val="zh-CN"/>
        </w:rPr>
        <w:t>按最新</w:t>
      </w:r>
      <w:r>
        <w:rPr>
          <w:rFonts w:hint="eastAsia" w:eastAsia="宋体"/>
          <w:color w:val="auto"/>
          <w:sz w:val="28"/>
          <w:szCs w:val="28"/>
          <w:lang w:val="zh-CN"/>
        </w:rPr>
        <w:t>的</w:t>
      </w:r>
      <w:r>
        <w:rPr>
          <w:rFonts w:hint="eastAsia"/>
          <w:color w:val="auto"/>
          <w:sz w:val="28"/>
          <w:szCs w:val="28"/>
          <w:lang w:val="en-US" w:eastAsia="zh-CN"/>
        </w:rPr>
        <w:t>国网公司网站公布的</w:t>
      </w:r>
      <w:r>
        <w:rPr>
          <w:rFonts w:hint="eastAsia" w:ascii="Arial" w:hAnsi="Arial" w:eastAsia="宋体"/>
          <w:color w:val="auto"/>
          <w:sz w:val="28"/>
          <w:szCs w:val="28"/>
        </w:rPr>
        <w:t>分时电度电价</w:t>
      </w:r>
      <w:r>
        <w:rPr>
          <w:rFonts w:eastAsia="宋体"/>
          <w:color w:val="auto"/>
          <w:sz w:val="28"/>
          <w:szCs w:val="28"/>
          <w:lang w:val="zh-CN"/>
        </w:rPr>
        <w:t>执行。</w:t>
      </w:r>
    </w:p>
    <w:p w14:paraId="47150467">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rPr>
      </w:pPr>
      <w:r>
        <w:rPr>
          <w:rFonts w:hint="eastAsia" w:ascii="宋体" w:hAnsi="Arial" w:eastAsia="宋体" w:cs="宋体"/>
          <w:color w:val="auto"/>
          <w:sz w:val="28"/>
          <w:szCs w:val="28"/>
        </w:rPr>
        <w:t>注：电价优惠</w:t>
      </w:r>
      <w:r>
        <w:rPr>
          <w:rFonts w:ascii="宋体" w:hAnsi="Arial" w:eastAsia="宋体" w:cs="宋体"/>
          <w:color w:val="auto"/>
          <w:sz w:val="28"/>
          <w:szCs w:val="28"/>
        </w:rPr>
        <w:t>=1-A</w:t>
      </w:r>
      <w:r>
        <w:rPr>
          <w:rFonts w:hint="eastAsia" w:ascii="宋体" w:hAnsi="Arial" w:eastAsia="宋体" w:cs="宋体"/>
          <w:color w:val="auto"/>
          <w:sz w:val="28"/>
          <w:szCs w:val="28"/>
        </w:rPr>
        <w:t>%，文中后续引用电价折扣以此数值为准。</w:t>
      </w:r>
    </w:p>
    <w:p w14:paraId="54A659BA">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lang w:val="zh-CN"/>
        </w:rPr>
      </w:pPr>
      <w:r>
        <w:rPr>
          <w:rFonts w:hint="eastAsia" w:ascii="宋体" w:hAnsi="Arial" w:eastAsia="宋体" w:cs="宋体"/>
          <w:color w:val="auto"/>
          <w:sz w:val="28"/>
          <w:szCs w:val="28"/>
          <w:lang w:val="zh-CN"/>
        </w:rPr>
        <w:t>2.</w:t>
      </w:r>
      <w:r>
        <w:rPr>
          <w:rFonts w:hint="eastAsia" w:ascii="宋体" w:hAnsi="Arial" w:eastAsia="宋体" w:cs="宋体"/>
          <w:color w:val="auto"/>
          <w:sz w:val="28"/>
          <w:szCs w:val="28"/>
        </w:rPr>
        <w:t>4</w:t>
      </w:r>
      <w:r>
        <w:rPr>
          <w:rFonts w:hint="eastAsia" w:ascii="宋体" w:hAnsi="Arial" w:eastAsia="宋体" w:cs="宋体"/>
          <w:color w:val="auto"/>
          <w:sz w:val="28"/>
          <w:szCs w:val="28"/>
          <w:lang w:val="zh-CN"/>
        </w:rPr>
        <w:t xml:space="preserve"> 发电上网的线路损耗：经双方友好协商，并共同约定，在合同期内，因光伏发电上网产生的线路损耗已包含于项目电价优惠中，双方不再就线路损耗产生异议或纠纷。</w:t>
      </w:r>
    </w:p>
    <w:p w14:paraId="2E79DF96">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lang w:val="zh-CN"/>
        </w:rPr>
      </w:pPr>
      <w:r>
        <w:rPr>
          <w:rFonts w:ascii="宋体" w:hAnsi="Arial" w:eastAsia="宋体" w:cs="宋体"/>
          <w:color w:val="auto"/>
          <w:sz w:val="28"/>
          <w:szCs w:val="28"/>
          <w:lang w:val="zh-CN"/>
        </w:rPr>
        <w:t xml:space="preserve">2.5 </w:t>
      </w:r>
      <w:r>
        <w:rPr>
          <w:rFonts w:hint="eastAsia" w:ascii="宋体" w:hAnsi="Arial" w:eastAsia="宋体" w:cs="宋体"/>
          <w:color w:val="auto"/>
          <w:sz w:val="28"/>
          <w:szCs w:val="28"/>
          <w:lang w:val="zh-CN"/>
        </w:rPr>
        <w:t>本合同的履行，甲方只需要根据合同约定支付用电电费，除此之外，甲方无需向乙方支付任何其他费用。</w:t>
      </w:r>
    </w:p>
    <w:p w14:paraId="7F5CCE06">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lang w:val="zh-CN"/>
        </w:rPr>
      </w:pPr>
      <w:r>
        <w:rPr>
          <w:rFonts w:ascii="宋体" w:hAnsi="Arial" w:eastAsia="宋体" w:cs="宋体"/>
          <w:color w:val="auto"/>
          <w:sz w:val="28"/>
          <w:szCs w:val="28"/>
          <w:lang w:val="zh-CN"/>
        </w:rPr>
        <w:t xml:space="preserve">2.6 </w:t>
      </w:r>
      <w:r>
        <w:rPr>
          <w:rFonts w:hint="eastAsia" w:ascii="宋体" w:hAnsi="Arial" w:eastAsia="宋体" w:cs="宋体"/>
          <w:color w:val="auto"/>
          <w:sz w:val="28"/>
          <w:szCs w:val="28"/>
          <w:lang w:val="zh-CN"/>
        </w:rPr>
        <w:t>节能效益分享期满后，本合同终止，双方可以协商项目资产的处置方式，协商不成，乙方应自行拆除光伏发电设备设施，设备拆除的费用由乙方承担。设施拆除的同时屋面需同步恢复到正常使用状态，不得出现因光伏设备拆除而产生的屋面缺陷。</w:t>
      </w:r>
    </w:p>
    <w:p w14:paraId="009ED478">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88" w:name="_Toc518569063"/>
      <w:bookmarkStart w:id="89" w:name="_Toc192919771"/>
      <w:r>
        <w:rPr>
          <w:rFonts w:hint="eastAsia" w:ascii="黑体" w:hAnsi="黑体" w:eastAsia="黑体"/>
          <w:b/>
          <w:bCs/>
          <w:color w:val="auto"/>
          <w:kern w:val="2"/>
          <w:sz w:val="28"/>
          <w:szCs w:val="28"/>
        </w:rPr>
        <w:t>3．项目实施</w:t>
      </w:r>
      <w:bookmarkEnd w:id="88"/>
      <w:bookmarkEnd w:id="89"/>
    </w:p>
    <w:p w14:paraId="414BA549">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lang w:val="zh-CN"/>
        </w:rPr>
      </w:pPr>
      <w:bookmarkStart w:id="90" w:name="_Toc192919772"/>
      <w:r>
        <w:rPr>
          <w:rFonts w:ascii="宋体" w:hAnsi="宋体" w:eastAsia="宋体" w:cs="Arial"/>
          <w:color w:val="auto"/>
          <w:kern w:val="2"/>
          <w:sz w:val="28"/>
          <w:szCs w:val="28"/>
        </w:rPr>
        <w:t>3.1</w:t>
      </w:r>
      <w:r>
        <w:rPr>
          <w:rFonts w:hint="eastAsia" w:ascii="宋体" w:hAnsi="宋体" w:eastAsia="宋体" w:cs="Arial"/>
          <w:color w:val="auto"/>
          <w:kern w:val="2"/>
          <w:sz w:val="28"/>
          <w:szCs w:val="28"/>
        </w:rPr>
        <w:t xml:space="preserve"> </w:t>
      </w:r>
      <w:r>
        <w:rPr>
          <w:rFonts w:hint="eastAsia" w:ascii="宋体" w:hAnsi="Arial" w:eastAsia="宋体" w:cs="宋体"/>
          <w:color w:val="auto"/>
          <w:kern w:val="2"/>
          <w:sz w:val="28"/>
          <w:szCs w:val="28"/>
          <w:lang w:val="zh-CN"/>
        </w:rPr>
        <w:t>本合同签订后，甲方尽可能提供本项目设计所需的</w:t>
      </w:r>
      <w:r>
        <w:rPr>
          <w:rFonts w:hint="eastAsia" w:eastAsia="宋体"/>
          <w:color w:val="auto"/>
          <w:sz w:val="28"/>
          <w:szCs w:val="28"/>
        </w:rPr>
        <w:t>资料清单（包括但不限于厂房平面图、建筑图、结构图、电气接线图、典型日负荷曲线、上年度和合同签订前本年度每月电费清单），</w:t>
      </w:r>
      <w:r>
        <w:rPr>
          <w:rFonts w:hint="eastAsia" w:ascii="宋体" w:hAnsi="Arial" w:eastAsia="宋体" w:cs="宋体"/>
          <w:color w:val="auto"/>
          <w:kern w:val="2"/>
          <w:sz w:val="28"/>
          <w:szCs w:val="28"/>
          <w:lang w:val="zh-CN"/>
        </w:rPr>
        <w:t>乙方需在施工前向甲方提交节能项目设计方案和施工方案等资料，</w:t>
      </w:r>
      <w:r>
        <w:rPr>
          <w:rFonts w:hint="eastAsia" w:ascii="宋体" w:hAnsi="Arial" w:eastAsia="宋体" w:cs="宋体"/>
          <w:color w:val="auto"/>
          <w:sz w:val="28"/>
          <w:szCs w:val="28"/>
          <w:lang w:val="zh-CN"/>
        </w:rPr>
        <w:t>报甲方审核通过（涉及屋顶承重等结构安全的需甲方</w:t>
      </w:r>
      <w:r>
        <w:rPr>
          <w:rFonts w:ascii="宋体" w:hAnsi="Arial" w:eastAsia="宋体" w:cs="宋体"/>
          <w:color w:val="auto"/>
          <w:sz w:val="28"/>
          <w:szCs w:val="28"/>
          <w:u w:val="single"/>
          <w:lang w:val="zh-CN"/>
        </w:rPr>
        <w:t xml:space="preserve">   </w:t>
      </w:r>
      <w:r>
        <w:rPr>
          <w:rFonts w:hint="eastAsia" w:ascii="宋体" w:hAnsi="Arial" w:eastAsia="宋体" w:cs="宋体"/>
          <w:color w:val="auto"/>
          <w:sz w:val="28"/>
          <w:szCs w:val="28"/>
          <w:lang w:val="zh-CN"/>
        </w:rPr>
        <w:t>天内书面确认），并由乙方向国家相关主管部门开展</w:t>
      </w:r>
      <w:r>
        <w:rPr>
          <w:rFonts w:hint="eastAsia" w:ascii="宋体" w:hAnsi="Arial" w:eastAsia="宋体" w:cs="宋体"/>
          <w:color w:val="auto"/>
          <w:sz w:val="28"/>
          <w:szCs w:val="28"/>
        </w:rPr>
        <w:t>项目</w:t>
      </w:r>
      <w:r>
        <w:rPr>
          <w:rFonts w:hint="eastAsia" w:ascii="宋体" w:hAnsi="Arial" w:eastAsia="宋体" w:cs="宋体"/>
          <w:color w:val="auto"/>
          <w:sz w:val="28"/>
          <w:szCs w:val="28"/>
          <w:lang w:val="zh-CN"/>
        </w:rPr>
        <w:t>申报。项目申报通过（完成项目备案等）</w:t>
      </w:r>
      <w:r>
        <w:rPr>
          <w:rFonts w:hint="eastAsia" w:ascii="宋体" w:hAnsi="宋体" w:eastAsia="宋体" w:cs="宋体"/>
          <w:color w:val="auto"/>
          <w:sz w:val="28"/>
          <w:szCs w:val="28"/>
        </w:rPr>
        <w:t>且甲方提供了项目施工的必要条件</w:t>
      </w:r>
      <w:r>
        <w:rPr>
          <w:rFonts w:hint="eastAsia" w:ascii="宋体" w:hAnsi="Arial" w:eastAsia="宋体" w:cs="宋体"/>
          <w:color w:val="auto"/>
          <w:sz w:val="28"/>
          <w:szCs w:val="28"/>
          <w:lang w:val="zh-CN"/>
        </w:rPr>
        <w:t>后开始施工。若项目申报后未在</w:t>
      </w:r>
      <w:r>
        <w:rPr>
          <w:rFonts w:ascii="宋体" w:hAnsi="Arial" w:eastAsia="宋体" w:cs="宋体"/>
          <w:color w:val="auto"/>
          <w:sz w:val="28"/>
          <w:szCs w:val="28"/>
          <w:lang w:val="zh-CN"/>
        </w:rPr>
        <w:t>3</w:t>
      </w:r>
      <w:r>
        <w:rPr>
          <w:rFonts w:hint="eastAsia" w:ascii="宋体" w:hAnsi="Arial" w:eastAsia="宋体" w:cs="宋体"/>
          <w:color w:val="auto"/>
          <w:sz w:val="28"/>
          <w:szCs w:val="28"/>
          <w:lang w:val="zh-CN"/>
        </w:rPr>
        <w:t>个月内完成项目备案，双方同意本合同自动解除，双方此前为履行本合同产生的费用由各自承担，乙方需返还甲方前期提交给乙方的所有资料，并销毁其所复印、影印等副本资料。</w:t>
      </w:r>
    </w:p>
    <w:p w14:paraId="078BF575">
      <w:pPr>
        <w:widowControl w:val="0"/>
        <w:spacing w:after="60" w:line="360" w:lineRule="auto"/>
        <w:ind w:firstLine="560" w:firstLineChars="200"/>
        <w:jc w:val="both"/>
        <w:rPr>
          <w:rFonts w:ascii="Arial" w:hAnsi="Arial" w:eastAsia="宋体"/>
          <w:color w:val="auto"/>
          <w:kern w:val="2"/>
          <w:sz w:val="28"/>
          <w:szCs w:val="28"/>
        </w:rPr>
      </w:pPr>
      <w:r>
        <w:rPr>
          <w:rFonts w:ascii="宋体" w:hAnsi="宋体" w:eastAsia="宋体"/>
          <w:color w:val="auto"/>
          <w:kern w:val="2"/>
          <w:sz w:val="28"/>
          <w:szCs w:val="28"/>
        </w:rPr>
        <w:t>3.2</w:t>
      </w:r>
      <w:r>
        <w:rPr>
          <w:rFonts w:hint="eastAsia" w:ascii="Arial" w:hAnsi="Arial" w:eastAsia="宋体"/>
          <w:color w:val="auto"/>
          <w:kern w:val="2"/>
          <w:sz w:val="28"/>
          <w:szCs w:val="28"/>
        </w:rPr>
        <w:t>乙方负责根据政府相关规定办理太阳能光伏发电项目的电网公司接入系统批复、电气施工图审核、并网验收等手续（具体以政府部门的要求为准），甲方给予协助。非因乙方原因未获施工审批或因审批进度而影响工期的，工期相应顺延。因在计划建设工期内未获得任何审批而导致项目无法实施的，或</w:t>
      </w:r>
      <w:r>
        <w:rPr>
          <w:rFonts w:hint="eastAsia" w:ascii="宋体" w:hAnsi="Arial" w:eastAsia="宋体" w:cs="宋体"/>
          <w:color w:val="auto"/>
          <w:sz w:val="28"/>
          <w:szCs w:val="28"/>
          <w:lang w:val="zh-CN"/>
        </w:rPr>
        <w:t>在光伏设施安装完成后</w:t>
      </w:r>
      <w:r>
        <w:rPr>
          <w:rFonts w:ascii="宋体" w:hAnsi="Arial" w:eastAsia="宋体" w:cs="宋体"/>
          <w:color w:val="auto"/>
          <w:sz w:val="28"/>
          <w:szCs w:val="28"/>
          <w:lang w:val="zh-CN"/>
        </w:rPr>
        <w:t>3</w:t>
      </w:r>
      <w:r>
        <w:rPr>
          <w:rFonts w:hint="eastAsia" w:ascii="宋体" w:hAnsi="Arial" w:eastAsia="宋体" w:cs="宋体"/>
          <w:color w:val="auto"/>
          <w:sz w:val="28"/>
          <w:szCs w:val="28"/>
          <w:lang w:val="zh-CN"/>
        </w:rPr>
        <w:t>个月内无法取得电网公司并网验收的，双方同意本合同自动解除，双方此前为履行本合同产生的费用由各自承担。乙方对于甲方因此造成的损失给予赔偿。</w:t>
      </w:r>
    </w:p>
    <w:p w14:paraId="12FA04E6">
      <w:pPr>
        <w:widowControl w:val="0"/>
        <w:spacing w:after="60" w:line="360" w:lineRule="auto"/>
        <w:ind w:firstLine="560" w:firstLineChars="200"/>
        <w:jc w:val="both"/>
        <w:rPr>
          <w:rFonts w:ascii="Arial" w:hAnsi="Arial" w:eastAsia="宋体"/>
          <w:color w:val="auto"/>
          <w:kern w:val="2"/>
          <w:sz w:val="28"/>
          <w:szCs w:val="28"/>
        </w:rPr>
      </w:pPr>
      <w:r>
        <w:rPr>
          <w:rFonts w:ascii="宋体" w:hAnsi="宋体" w:eastAsia="宋体"/>
          <w:color w:val="auto"/>
          <w:kern w:val="2"/>
          <w:sz w:val="28"/>
          <w:szCs w:val="28"/>
        </w:rPr>
        <w:t>3.3</w:t>
      </w:r>
      <w:r>
        <w:rPr>
          <w:rFonts w:hint="eastAsia" w:ascii="Arial" w:hAnsi="Arial" w:eastAsia="宋体"/>
          <w:color w:val="auto"/>
          <w:kern w:val="2"/>
          <w:sz w:val="28"/>
          <w:szCs w:val="28"/>
        </w:rPr>
        <w:t>乙方实施节能项目时，以不影响甲方正常生产运营为前提，如工程确需甲方暂停生产配合施工的，需提前</w:t>
      </w:r>
      <w:r>
        <w:rPr>
          <w:rFonts w:hint="eastAsia" w:ascii="Arial" w:hAnsi="Arial" w:eastAsia="宋体"/>
          <w:color w:val="auto"/>
          <w:kern w:val="2"/>
          <w:sz w:val="28"/>
          <w:szCs w:val="28"/>
          <w:u w:val="single"/>
        </w:rPr>
        <w:t xml:space="preserve">   </w:t>
      </w:r>
      <w:r>
        <w:rPr>
          <w:rFonts w:hint="eastAsia" w:ascii="Arial" w:hAnsi="Arial" w:eastAsia="宋体"/>
          <w:color w:val="auto"/>
          <w:kern w:val="2"/>
          <w:sz w:val="28"/>
          <w:szCs w:val="28"/>
        </w:rPr>
        <w:t>天书面</w:t>
      </w:r>
      <w:bookmarkStart w:id="91" w:name="_Hlk87860336"/>
      <w:r>
        <w:rPr>
          <w:rFonts w:hint="eastAsia" w:ascii="Arial" w:hAnsi="Arial" w:eastAsia="宋体"/>
          <w:color w:val="auto"/>
          <w:kern w:val="2"/>
          <w:sz w:val="28"/>
          <w:szCs w:val="28"/>
        </w:rPr>
        <w:t>申请</w:t>
      </w:r>
      <w:bookmarkEnd w:id="91"/>
      <w:r>
        <w:rPr>
          <w:rFonts w:hint="eastAsia" w:ascii="Arial" w:hAnsi="Arial" w:eastAsia="宋体"/>
          <w:color w:val="auto"/>
          <w:kern w:val="2"/>
          <w:sz w:val="28"/>
          <w:szCs w:val="28"/>
        </w:rPr>
        <w:t>甲方给予配合。甲方在书面申请要求的期限或双方另行协商的项目建设合理期内提供配合。</w:t>
      </w:r>
    </w:p>
    <w:p w14:paraId="7F5C7672">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lang w:val="zh-CN"/>
        </w:rPr>
      </w:pPr>
      <w:r>
        <w:rPr>
          <w:rFonts w:hint="eastAsia" w:ascii="宋体" w:hAnsi="Arial" w:eastAsia="宋体" w:cs="宋体"/>
          <w:color w:val="auto"/>
          <w:sz w:val="28"/>
          <w:szCs w:val="28"/>
          <w:lang w:val="zh-CN"/>
        </w:rPr>
        <w:t>3.</w:t>
      </w:r>
      <w:r>
        <w:rPr>
          <w:rFonts w:ascii="宋体" w:hAnsi="Arial" w:eastAsia="宋体" w:cs="宋体"/>
          <w:color w:val="auto"/>
          <w:sz w:val="28"/>
          <w:szCs w:val="28"/>
          <w:lang w:val="zh-CN"/>
        </w:rPr>
        <w:t>4</w:t>
      </w:r>
      <w:r>
        <w:rPr>
          <w:rFonts w:hint="eastAsia" w:ascii="宋体" w:hAnsi="Arial" w:eastAsia="宋体" w:cs="宋体"/>
          <w:color w:val="auto"/>
          <w:sz w:val="28"/>
          <w:szCs w:val="28"/>
          <w:lang w:val="zh-CN"/>
        </w:rPr>
        <w:t>乙方所发电量通过甲方相关设施并网，甲方须优先使用本项目所发电量。当本项目发电超出甲方所需时，甲方同意本项目使用甲方原有线路设施上网，</w:t>
      </w:r>
      <w:r>
        <w:rPr>
          <w:rFonts w:hint="eastAsia" w:eastAsia="宋体"/>
          <w:color w:val="auto"/>
          <w:sz w:val="28"/>
          <w:szCs w:val="28"/>
          <w:lang w:val="zh-CN"/>
        </w:rPr>
        <w:t>并提供必要文件协助乙方办理电力接入手续</w:t>
      </w:r>
      <w:r>
        <w:rPr>
          <w:rFonts w:eastAsia="宋体"/>
          <w:color w:val="auto"/>
          <w:sz w:val="28"/>
          <w:szCs w:val="28"/>
          <w:lang w:val="zh-CN"/>
        </w:rPr>
        <w:t>。</w:t>
      </w:r>
      <w:r>
        <w:rPr>
          <w:rFonts w:hint="eastAsia" w:ascii="宋体" w:hAnsi="Arial" w:eastAsia="宋体" w:cs="宋体"/>
          <w:color w:val="auto"/>
          <w:sz w:val="28"/>
          <w:szCs w:val="28"/>
          <w:lang w:val="zh-CN"/>
        </w:rPr>
        <w:t>具体接入方案以供电局批复为准，如需改造甲方设施，需经甲方书面同意</w:t>
      </w:r>
      <w:r>
        <w:rPr>
          <w:rFonts w:hint="eastAsia" w:ascii="宋体" w:hAnsi="Arial" w:eastAsia="宋体" w:cs="宋体"/>
          <w:color w:val="0000FF"/>
          <w:sz w:val="28"/>
          <w:szCs w:val="28"/>
          <w:lang w:val="zh-CN"/>
        </w:rPr>
        <w:t>，</w:t>
      </w:r>
      <w:r>
        <w:rPr>
          <w:rFonts w:hint="eastAsia" w:ascii="宋体" w:hAnsi="Arial" w:eastAsia="宋体" w:cs="宋体"/>
          <w:color w:val="auto"/>
          <w:sz w:val="28"/>
          <w:szCs w:val="28"/>
          <w:lang w:val="zh-CN"/>
        </w:rPr>
        <w:t>费用由乙方承担。</w:t>
      </w:r>
    </w:p>
    <w:p w14:paraId="14B9EEF8">
      <w:pPr>
        <w:widowControl w:val="0"/>
        <w:autoSpaceDE w:val="0"/>
        <w:autoSpaceDN w:val="0"/>
        <w:adjustRightInd w:val="0"/>
        <w:spacing w:after="60" w:line="360" w:lineRule="auto"/>
        <w:ind w:firstLine="560" w:firstLineChars="200"/>
        <w:jc w:val="both"/>
        <w:rPr>
          <w:rFonts w:ascii="宋体" w:hAnsi="Arial" w:eastAsia="宋体" w:cs="宋体"/>
          <w:color w:val="auto"/>
          <w:sz w:val="28"/>
          <w:szCs w:val="28"/>
          <w:lang w:val="zh-CN"/>
        </w:rPr>
      </w:pPr>
      <w:r>
        <w:rPr>
          <w:rFonts w:hint="eastAsia" w:ascii="宋体" w:hAnsi="Arial" w:eastAsia="宋体" w:cs="宋体"/>
          <w:color w:val="auto"/>
          <w:sz w:val="28"/>
          <w:szCs w:val="28"/>
          <w:lang w:val="zh-CN"/>
        </w:rPr>
        <w:t>3.</w:t>
      </w:r>
      <w:r>
        <w:rPr>
          <w:rFonts w:ascii="宋体" w:hAnsi="Arial" w:eastAsia="宋体" w:cs="宋体"/>
          <w:color w:val="auto"/>
          <w:sz w:val="28"/>
          <w:szCs w:val="28"/>
          <w:lang w:val="zh-CN"/>
        </w:rPr>
        <w:t>5</w:t>
      </w:r>
      <w:r>
        <w:rPr>
          <w:rFonts w:hint="eastAsia" w:ascii="宋体" w:hAnsi="Arial" w:eastAsia="宋体" w:cs="宋体"/>
          <w:color w:val="auto"/>
          <w:sz w:val="28"/>
          <w:szCs w:val="28"/>
          <w:lang w:val="zh-CN"/>
        </w:rPr>
        <w:t>在项目建设过程中，依据乙方编制报甲方审核通过的设计、施工方案，由乙方全权负责工程项目的施工，甲方给予积极配合。</w:t>
      </w:r>
    </w:p>
    <w:p w14:paraId="1ACDD493">
      <w:pPr>
        <w:widowControl w:val="0"/>
        <w:autoSpaceDE w:val="0"/>
        <w:autoSpaceDN w:val="0"/>
        <w:adjustRightInd w:val="0"/>
        <w:spacing w:after="60" w:line="360" w:lineRule="auto"/>
        <w:ind w:firstLine="560" w:firstLineChars="200"/>
        <w:jc w:val="both"/>
        <w:rPr>
          <w:rFonts w:hint="eastAsia" w:ascii="宋体" w:hAnsi="Arial" w:eastAsia="宋体" w:cs="宋体"/>
          <w:color w:val="auto"/>
          <w:sz w:val="28"/>
          <w:szCs w:val="28"/>
          <w:highlight w:val="yellow"/>
          <w:lang w:eastAsia="zh-CN"/>
        </w:rPr>
      </w:pPr>
      <w:bookmarkStart w:id="92" w:name="_Toc518569064"/>
      <w:r>
        <w:rPr>
          <w:rFonts w:hint="eastAsia" w:ascii="宋体" w:hAnsi="Arial" w:eastAsia="宋体" w:cs="宋体"/>
          <w:color w:val="auto"/>
          <w:sz w:val="28"/>
          <w:szCs w:val="28"/>
        </w:rPr>
        <w:t>3.</w:t>
      </w:r>
      <w:r>
        <w:rPr>
          <w:rFonts w:ascii="宋体" w:hAnsi="Arial" w:eastAsia="宋体" w:cs="宋体"/>
          <w:color w:val="auto"/>
          <w:sz w:val="28"/>
          <w:szCs w:val="28"/>
        </w:rPr>
        <w:t>6</w:t>
      </w:r>
      <w:r>
        <w:rPr>
          <w:rFonts w:hint="eastAsia" w:ascii="宋体" w:hAnsi="Arial" w:eastAsia="宋体" w:cs="宋体"/>
          <w:color w:val="auto"/>
          <w:sz w:val="28"/>
          <w:szCs w:val="28"/>
          <w:lang w:val="zh-CN"/>
        </w:rPr>
        <w:t>本协议签订后，乙方有权依法向政府部门申请备案，并取得配额核准等规模管理指标后再投资本项目。</w:t>
      </w:r>
    </w:p>
    <w:p w14:paraId="04247908">
      <w:pPr>
        <w:pStyle w:val="103"/>
        <w:spacing w:line="276" w:lineRule="auto"/>
        <w:ind w:firstLine="560" w:firstLineChars="200"/>
        <w:rPr>
          <w:rFonts w:ascii="宋体" w:hAnsi="宋体" w:eastAsia="宋体" w:cs="宋体"/>
          <w:color w:val="auto"/>
          <w:kern w:val="0"/>
          <w:sz w:val="28"/>
          <w:szCs w:val="28"/>
          <w:lang w:val="zh-TW" w:eastAsia="zh-TW"/>
        </w:rPr>
      </w:pPr>
      <w:r>
        <w:rPr>
          <w:rFonts w:ascii="宋体" w:hAnsi="宋体" w:eastAsia="宋体" w:cs="宋体"/>
          <w:color w:val="auto"/>
          <w:kern w:val="0"/>
          <w:sz w:val="28"/>
          <w:szCs w:val="28"/>
        </w:rPr>
        <w:t>3.7</w:t>
      </w:r>
      <w:r>
        <w:rPr>
          <w:rFonts w:hint="eastAsia" w:ascii="宋体" w:hAnsi="宋体" w:eastAsia="宋体" w:cs="宋体"/>
          <w:color w:val="auto"/>
          <w:kern w:val="0"/>
          <w:sz w:val="28"/>
          <w:szCs w:val="28"/>
          <w:lang w:val="zh-TW" w:eastAsia="zh-TW"/>
        </w:rPr>
        <w:t>乙方应当合理设计光伏发电站，确保不改变</w:t>
      </w:r>
      <w:r>
        <w:rPr>
          <w:rFonts w:hint="eastAsia" w:ascii="宋体" w:hAnsi="宋体" w:eastAsia="宋体" w:cs="宋体"/>
          <w:color w:val="auto"/>
          <w:kern w:val="0"/>
          <w:sz w:val="28"/>
          <w:szCs w:val="28"/>
        </w:rPr>
        <w:t>甲</w:t>
      </w:r>
      <w:r>
        <w:rPr>
          <w:rFonts w:hint="eastAsia" w:ascii="宋体" w:hAnsi="宋体" w:eastAsia="宋体" w:cs="宋体"/>
          <w:color w:val="auto"/>
          <w:kern w:val="0"/>
          <w:sz w:val="28"/>
          <w:szCs w:val="28"/>
          <w:lang w:val="zh-TW" w:eastAsia="zh-TW"/>
        </w:rPr>
        <w:t>方建筑物的主体结构，不影响</w:t>
      </w:r>
      <w:r>
        <w:rPr>
          <w:rFonts w:hint="eastAsia" w:ascii="宋体" w:hAnsi="宋体" w:eastAsia="宋体" w:cs="宋体"/>
          <w:color w:val="auto"/>
          <w:kern w:val="0"/>
          <w:sz w:val="28"/>
          <w:szCs w:val="28"/>
        </w:rPr>
        <w:t>甲</w:t>
      </w:r>
      <w:r>
        <w:rPr>
          <w:rFonts w:hint="eastAsia" w:ascii="宋体" w:hAnsi="宋体" w:eastAsia="宋体" w:cs="宋体"/>
          <w:color w:val="auto"/>
          <w:kern w:val="0"/>
          <w:sz w:val="28"/>
          <w:szCs w:val="28"/>
          <w:lang w:val="zh-TW" w:eastAsia="zh-TW"/>
        </w:rPr>
        <w:t>方建筑物的安全，不降低厂房采光效果，不影响采光瓦的后期修理维护。</w:t>
      </w:r>
    </w:p>
    <w:p w14:paraId="2453A783">
      <w:pPr>
        <w:pStyle w:val="103"/>
        <w:spacing w:line="276" w:lineRule="auto"/>
        <w:ind w:firstLine="560" w:firstLineChars="200"/>
        <w:rPr>
          <w:rFonts w:ascii="宋体" w:hAnsi="宋体" w:eastAsia="宋体" w:cs="宋体"/>
          <w:color w:val="FF0000"/>
          <w:kern w:val="0"/>
          <w:sz w:val="28"/>
          <w:szCs w:val="28"/>
          <w:lang w:val="zh-TW" w:eastAsia="zh-TW"/>
        </w:rPr>
      </w:pPr>
      <w:r>
        <w:rPr>
          <w:rFonts w:ascii="宋体" w:hAnsi="宋体" w:eastAsia="宋体" w:cs="宋体"/>
          <w:color w:val="auto"/>
          <w:kern w:val="0"/>
          <w:sz w:val="28"/>
          <w:szCs w:val="28"/>
        </w:rPr>
        <w:t>3.8</w:t>
      </w:r>
      <w:r>
        <w:rPr>
          <w:rFonts w:hint="eastAsia" w:ascii="宋体" w:hAnsi="宋体" w:eastAsia="宋体" w:cs="宋体"/>
          <w:color w:val="auto"/>
          <w:kern w:val="0"/>
          <w:sz w:val="28"/>
          <w:szCs w:val="28"/>
          <w:lang w:val="zh-TW" w:eastAsia="zh-TW"/>
        </w:rPr>
        <w:t>屋顶加固等特殊工程，乙方应在施工前征求</w:t>
      </w:r>
      <w:r>
        <w:rPr>
          <w:rFonts w:hint="eastAsia" w:ascii="宋体" w:hAnsi="宋体" w:eastAsia="宋体" w:cs="宋体"/>
          <w:color w:val="auto"/>
          <w:kern w:val="0"/>
          <w:sz w:val="28"/>
          <w:szCs w:val="28"/>
        </w:rPr>
        <w:t>甲</w:t>
      </w:r>
      <w:r>
        <w:rPr>
          <w:rFonts w:hint="eastAsia" w:ascii="宋体" w:hAnsi="宋体" w:eastAsia="宋体" w:cs="宋体"/>
          <w:color w:val="auto"/>
          <w:kern w:val="0"/>
          <w:sz w:val="28"/>
          <w:szCs w:val="28"/>
          <w:lang w:val="zh-TW" w:eastAsia="zh-TW"/>
        </w:rPr>
        <w:t>方及相关方对施工方案和图纸的确认。乙方在项目的施工及运营过程中，承担</w:t>
      </w:r>
      <w:r>
        <w:rPr>
          <w:rFonts w:hint="eastAsia" w:ascii="宋体" w:hAnsi="宋体" w:eastAsia="宋体" w:cs="宋体"/>
          <w:color w:val="auto"/>
          <w:kern w:val="0"/>
          <w:sz w:val="28"/>
          <w:szCs w:val="28"/>
          <w:lang w:val="zh-TW"/>
        </w:rPr>
        <w:t>因项目施工及运营需要引起的</w:t>
      </w:r>
      <w:r>
        <w:rPr>
          <w:rFonts w:hint="eastAsia" w:ascii="宋体" w:hAnsi="宋体" w:eastAsia="宋体" w:cs="宋体"/>
          <w:color w:val="auto"/>
          <w:kern w:val="0"/>
          <w:sz w:val="28"/>
          <w:szCs w:val="28"/>
          <w:lang w:val="zh-TW" w:eastAsia="zh-TW"/>
        </w:rPr>
        <w:t>房屋的屋顶维护工作及费用。</w:t>
      </w:r>
    </w:p>
    <w:p w14:paraId="6D7A48AA">
      <w:pPr>
        <w:widowControl w:val="0"/>
        <w:spacing w:after="60" w:line="360" w:lineRule="auto"/>
        <w:ind w:firstLine="562" w:firstLineChars="200"/>
        <w:jc w:val="both"/>
        <w:rPr>
          <w:rFonts w:ascii="黑体" w:hAnsi="黑体" w:eastAsia="黑体"/>
          <w:b/>
          <w:bCs/>
          <w:color w:val="auto"/>
          <w:kern w:val="2"/>
          <w:sz w:val="28"/>
          <w:szCs w:val="28"/>
        </w:rPr>
      </w:pPr>
      <w:r>
        <w:rPr>
          <w:rFonts w:hint="eastAsia" w:ascii="黑体" w:hAnsi="黑体" w:eastAsia="黑体"/>
          <w:b/>
          <w:bCs/>
          <w:color w:val="auto"/>
          <w:kern w:val="2"/>
          <w:sz w:val="28"/>
          <w:szCs w:val="28"/>
        </w:rPr>
        <w:t>4．</w:t>
      </w:r>
      <w:bookmarkEnd w:id="90"/>
      <w:r>
        <w:rPr>
          <w:rFonts w:hint="eastAsia" w:ascii="黑体" w:hAnsi="黑体" w:eastAsia="黑体"/>
          <w:b/>
          <w:bCs/>
          <w:color w:val="auto"/>
          <w:kern w:val="2"/>
          <w:sz w:val="28"/>
          <w:szCs w:val="28"/>
        </w:rPr>
        <w:t>补贴</w:t>
      </w:r>
      <w:bookmarkStart w:id="93" w:name="_Hlk104216938"/>
      <w:r>
        <w:rPr>
          <w:rFonts w:hint="eastAsia" w:eastAsia="黑体"/>
          <w:b/>
          <w:bCs/>
          <w:color w:val="auto"/>
          <w:kern w:val="2"/>
          <w:sz w:val="28"/>
          <w:szCs w:val="28"/>
        </w:rPr>
        <w:t>或受益</w:t>
      </w:r>
      <w:bookmarkEnd w:id="93"/>
      <w:r>
        <w:rPr>
          <w:rFonts w:hint="eastAsia" w:ascii="黑体" w:hAnsi="黑体" w:eastAsia="黑体"/>
          <w:b/>
          <w:bCs/>
          <w:color w:val="auto"/>
          <w:kern w:val="2"/>
          <w:sz w:val="28"/>
          <w:szCs w:val="28"/>
        </w:rPr>
        <w:t>分配</w:t>
      </w:r>
      <w:bookmarkEnd w:id="92"/>
    </w:p>
    <w:p w14:paraId="6761461F">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4.1补贴资金</w:t>
      </w:r>
      <w:r>
        <w:rPr>
          <w:rFonts w:hint="eastAsia" w:eastAsia="宋体"/>
          <w:color w:val="auto"/>
          <w:kern w:val="2"/>
          <w:sz w:val="28"/>
          <w:szCs w:val="28"/>
        </w:rPr>
        <w:t>或受益</w:t>
      </w:r>
      <w:r>
        <w:rPr>
          <w:rFonts w:hint="eastAsia" w:ascii="宋体" w:hAnsi="宋体" w:eastAsia="宋体"/>
          <w:color w:val="auto"/>
          <w:kern w:val="2"/>
          <w:sz w:val="28"/>
          <w:szCs w:val="28"/>
        </w:rPr>
        <w:t>分配办法</w:t>
      </w:r>
    </w:p>
    <w:p w14:paraId="467206B2">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4.1.1国家</w:t>
      </w:r>
      <w:r>
        <w:rPr>
          <w:rFonts w:hint="eastAsia" w:eastAsia="宋体"/>
          <w:color w:val="auto"/>
          <w:kern w:val="2"/>
          <w:sz w:val="28"/>
          <w:szCs w:val="28"/>
        </w:rPr>
        <w:t>或地方的</w:t>
      </w:r>
      <w:r>
        <w:rPr>
          <w:rFonts w:hint="eastAsia" w:ascii="宋体" w:hAnsi="宋体" w:eastAsia="宋体"/>
          <w:color w:val="auto"/>
          <w:kern w:val="2"/>
          <w:sz w:val="28"/>
          <w:szCs w:val="28"/>
        </w:rPr>
        <w:t>分布式光伏发电度电补贴收益归乙方所有，甲方有义务配合乙方申请；</w:t>
      </w:r>
    </w:p>
    <w:p w14:paraId="3CDC6C71">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4.1.2除第4.1.1条约定的补贴</w:t>
      </w:r>
      <w:r>
        <w:rPr>
          <w:rFonts w:hint="eastAsia" w:eastAsia="宋体"/>
          <w:color w:val="auto"/>
          <w:kern w:val="2"/>
          <w:sz w:val="28"/>
          <w:szCs w:val="28"/>
        </w:rPr>
        <w:t>或受益</w:t>
      </w:r>
      <w:r>
        <w:rPr>
          <w:rFonts w:hint="eastAsia" w:ascii="宋体" w:hAnsi="宋体" w:eastAsia="宋体"/>
          <w:color w:val="auto"/>
          <w:kern w:val="2"/>
          <w:sz w:val="28"/>
          <w:szCs w:val="28"/>
        </w:rPr>
        <w:t>外，</w:t>
      </w:r>
      <w:r>
        <w:rPr>
          <w:rFonts w:hint="eastAsia" w:eastAsia="宋体"/>
          <w:color w:val="auto"/>
          <w:kern w:val="2"/>
          <w:sz w:val="28"/>
          <w:szCs w:val="28"/>
        </w:rPr>
        <w:t>法律或</w:t>
      </w:r>
      <w:r>
        <w:rPr>
          <w:rFonts w:hint="eastAsia" w:ascii="宋体" w:hAnsi="宋体" w:eastAsia="宋体"/>
          <w:color w:val="auto"/>
          <w:kern w:val="2"/>
          <w:sz w:val="28"/>
          <w:szCs w:val="28"/>
        </w:rPr>
        <w:t>政策有明确规定收益归属的，按政策规定执行，一方均有配合另一方申请的义务；</w:t>
      </w:r>
    </w:p>
    <w:p w14:paraId="10733291">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4.1.3除第4.1.1条和第4.1.2条约定外的其他补贴</w:t>
      </w:r>
      <w:r>
        <w:rPr>
          <w:rFonts w:hint="eastAsia" w:eastAsia="宋体"/>
          <w:color w:val="auto"/>
          <w:kern w:val="2"/>
          <w:sz w:val="28"/>
          <w:szCs w:val="28"/>
        </w:rPr>
        <w:t>或受益</w:t>
      </w:r>
      <w:r>
        <w:rPr>
          <w:rFonts w:hint="eastAsia" w:ascii="宋体" w:hAnsi="宋体" w:eastAsia="宋体"/>
          <w:color w:val="auto"/>
          <w:kern w:val="2"/>
          <w:sz w:val="28"/>
          <w:szCs w:val="28"/>
        </w:rPr>
        <w:t>，双方共同配合申请，双方五五分成。</w:t>
      </w:r>
    </w:p>
    <w:p w14:paraId="6A819BF2">
      <w:pPr>
        <w:widowControl w:val="0"/>
        <w:tabs>
          <w:tab w:val="left" w:pos="426"/>
        </w:tabs>
        <w:spacing w:line="360" w:lineRule="auto"/>
        <w:ind w:firstLine="560" w:firstLineChars="200"/>
        <w:jc w:val="both"/>
        <w:rPr>
          <w:rFonts w:ascii="宋体" w:hAnsi="宋体" w:eastAsia="宋体"/>
          <w:color w:val="0033CC"/>
          <w:kern w:val="2"/>
          <w:sz w:val="28"/>
          <w:szCs w:val="28"/>
        </w:rPr>
      </w:pPr>
      <w:r>
        <w:rPr>
          <w:rFonts w:hint="eastAsia" w:ascii="宋体" w:hAnsi="宋体" w:eastAsia="宋体"/>
          <w:color w:val="auto"/>
          <w:kern w:val="2"/>
          <w:sz w:val="28"/>
          <w:szCs w:val="28"/>
        </w:rPr>
        <w:t>4.2对由一方实际收取的、依据第4.1条约定应分配予对方的补贴，该方应在实际获得补贴资金之日起</w:t>
      </w:r>
      <w:r>
        <w:rPr>
          <w:rFonts w:ascii="宋体" w:hAnsi="宋体" w:eastAsia="宋体"/>
          <w:color w:val="auto"/>
          <w:kern w:val="2"/>
          <w:sz w:val="28"/>
          <w:szCs w:val="28"/>
        </w:rPr>
        <w:t>30</w:t>
      </w:r>
      <w:r>
        <w:rPr>
          <w:rFonts w:hint="eastAsia" w:ascii="宋体" w:hAnsi="宋体" w:eastAsia="宋体"/>
          <w:color w:val="auto"/>
          <w:kern w:val="2"/>
          <w:sz w:val="28"/>
          <w:szCs w:val="28"/>
        </w:rPr>
        <w:t>日内付予对方。</w:t>
      </w:r>
    </w:p>
    <w:p w14:paraId="3167EF93">
      <w:pPr>
        <w:keepNext/>
        <w:keepLines/>
        <w:widowControl w:val="0"/>
        <w:spacing w:before="120" w:after="120" w:line="360" w:lineRule="auto"/>
        <w:ind w:firstLine="562" w:firstLineChars="200"/>
        <w:jc w:val="both"/>
        <w:outlineLvl w:val="0"/>
        <w:rPr>
          <w:rFonts w:ascii="Arial" w:hAnsi="Arial" w:eastAsia="黑体"/>
          <w:b/>
          <w:bCs/>
          <w:color w:val="auto"/>
          <w:kern w:val="44"/>
          <w:sz w:val="28"/>
          <w:szCs w:val="28"/>
        </w:rPr>
      </w:pPr>
      <w:bookmarkStart w:id="94" w:name="_Toc518569065"/>
      <w:r>
        <w:rPr>
          <w:rFonts w:hint="eastAsia" w:ascii="Arial" w:hAnsi="Arial" w:eastAsia="黑体"/>
          <w:b/>
          <w:bCs/>
          <w:color w:val="auto"/>
          <w:kern w:val="44"/>
          <w:sz w:val="28"/>
          <w:szCs w:val="28"/>
        </w:rPr>
        <w:t>第二部分　用电费用的确定、支付及项目买断</w:t>
      </w:r>
      <w:bookmarkEnd w:id="94"/>
    </w:p>
    <w:p w14:paraId="6C97ED60">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95" w:name="_Toc192919774"/>
      <w:bookmarkStart w:id="96" w:name="_Toc518569066"/>
      <w:r>
        <w:rPr>
          <w:rFonts w:ascii="黑体" w:hAnsi="黑体" w:eastAsia="黑体"/>
          <w:b/>
          <w:bCs/>
          <w:color w:val="auto"/>
          <w:kern w:val="2"/>
          <w:sz w:val="28"/>
          <w:szCs w:val="28"/>
        </w:rPr>
        <w:t>5</w:t>
      </w:r>
      <w:r>
        <w:rPr>
          <w:rFonts w:hint="eastAsia" w:ascii="黑体" w:hAnsi="黑体" w:eastAsia="黑体"/>
          <w:b/>
          <w:bCs/>
          <w:color w:val="auto"/>
          <w:kern w:val="2"/>
          <w:sz w:val="28"/>
          <w:szCs w:val="28"/>
        </w:rPr>
        <w:t>．</w:t>
      </w:r>
      <w:bookmarkEnd w:id="95"/>
      <w:r>
        <w:rPr>
          <w:rFonts w:hint="eastAsia" w:ascii="黑体" w:hAnsi="黑体" w:eastAsia="黑体"/>
          <w:b/>
          <w:bCs/>
          <w:color w:val="auto"/>
          <w:kern w:val="2"/>
          <w:sz w:val="28"/>
          <w:szCs w:val="28"/>
        </w:rPr>
        <w:t>用电费用的确定</w:t>
      </w:r>
      <w:bookmarkEnd w:id="96"/>
    </w:p>
    <w:p w14:paraId="0FDBBF91">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5.1计量电表的安装</w:t>
      </w:r>
    </w:p>
    <w:p w14:paraId="4588BFE6">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由当地供电部门在项目发电装置出口安装光伏发电总表并采用双向计量，同时甲方原关口电表由供电部门更换为双向计量关口电表，由乙方负责办理及支付费用。</w:t>
      </w:r>
    </w:p>
    <w:p w14:paraId="362C37C9">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5.2用电量的抄表和检测</w:t>
      </w:r>
    </w:p>
    <w:p w14:paraId="03E80E4D">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5.2.1乙方可以采取以下任何一种方法抄录电量：</w:t>
      </w:r>
    </w:p>
    <w:p w14:paraId="364ABF39">
      <w:pPr>
        <w:widowControl w:val="0"/>
        <w:spacing w:line="360" w:lineRule="auto"/>
        <w:ind w:firstLine="560" w:firstLineChars="200"/>
        <w:jc w:val="both"/>
        <w:rPr>
          <w:rFonts w:ascii="宋体" w:hAnsi="宋体" w:eastAsia="宋体"/>
          <w:color w:val="auto"/>
          <w:kern w:val="2"/>
          <w:sz w:val="28"/>
          <w:szCs w:val="28"/>
        </w:rPr>
      </w:pPr>
      <w:r>
        <w:rPr>
          <w:rFonts w:ascii="宋体" w:hAnsi="宋体" w:eastAsia="宋体"/>
          <w:color w:val="auto"/>
          <w:kern w:val="2"/>
          <w:sz w:val="28"/>
          <w:szCs w:val="28"/>
        </w:rPr>
        <w:t>1）通过</w:t>
      </w:r>
      <w:r>
        <w:rPr>
          <w:rFonts w:hint="eastAsia" w:ascii="宋体" w:hAnsi="宋体" w:eastAsia="宋体"/>
          <w:color w:val="auto"/>
          <w:kern w:val="2"/>
          <w:sz w:val="28"/>
          <w:szCs w:val="28"/>
        </w:rPr>
        <w:t>当地供电部门</w:t>
      </w:r>
      <w:r>
        <w:rPr>
          <w:rFonts w:ascii="宋体" w:hAnsi="宋体" w:eastAsia="宋体"/>
          <w:color w:val="auto"/>
          <w:kern w:val="2"/>
          <w:sz w:val="28"/>
          <w:szCs w:val="28"/>
        </w:rPr>
        <w:t>的电能量遥测系统或低压集抄系统抄录。</w:t>
      </w:r>
    </w:p>
    <w:p w14:paraId="6F41A2C9">
      <w:pPr>
        <w:widowControl w:val="0"/>
        <w:spacing w:line="360" w:lineRule="auto"/>
        <w:ind w:firstLine="560" w:firstLineChars="200"/>
        <w:jc w:val="both"/>
        <w:rPr>
          <w:rFonts w:ascii="宋体" w:hAnsi="宋体" w:eastAsia="宋体"/>
          <w:color w:val="auto"/>
          <w:kern w:val="2"/>
          <w:sz w:val="28"/>
          <w:szCs w:val="28"/>
        </w:rPr>
      </w:pPr>
      <w:r>
        <w:rPr>
          <w:rFonts w:ascii="宋体" w:hAnsi="宋体" w:eastAsia="宋体"/>
          <w:color w:val="auto"/>
          <w:kern w:val="2"/>
          <w:sz w:val="28"/>
          <w:szCs w:val="28"/>
        </w:rPr>
        <w:t>2）</w:t>
      </w:r>
      <w:r>
        <w:rPr>
          <w:rFonts w:hint="eastAsia" w:ascii="宋体" w:hAnsi="宋体" w:eastAsia="宋体"/>
          <w:color w:val="auto"/>
          <w:kern w:val="2"/>
          <w:sz w:val="28"/>
          <w:szCs w:val="28"/>
        </w:rPr>
        <w:t>甲乙双方运维人员</w:t>
      </w:r>
      <w:r>
        <w:rPr>
          <w:rFonts w:ascii="宋体" w:hAnsi="宋体" w:eastAsia="宋体"/>
          <w:color w:val="auto"/>
          <w:kern w:val="2"/>
          <w:sz w:val="28"/>
          <w:szCs w:val="28"/>
        </w:rPr>
        <w:t>现场抄录</w:t>
      </w:r>
      <w:r>
        <w:rPr>
          <w:rFonts w:hint="eastAsia" w:ascii="宋体" w:hAnsi="宋体" w:eastAsia="宋体"/>
          <w:color w:val="auto"/>
          <w:kern w:val="2"/>
          <w:sz w:val="28"/>
          <w:szCs w:val="28"/>
        </w:rPr>
        <w:t>。</w:t>
      </w:r>
    </w:p>
    <w:p w14:paraId="4A75FDC8">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5.2.2计费电能表装设后，甲方不应在表前堆放影响抄表或计量准确及安全的物品。如发生计费电能表丢失、损坏或过负荷烧坏等情况，甲方应及时书面告知当地供电部门和乙方，以便供电部门和乙方采取措施。如因乙方责任或不可抗力致使计费电能表发生故障的，乙方负责免费换表；甲方原因引起的，甲方负责换表。</w:t>
      </w:r>
    </w:p>
    <w:p w14:paraId="687BB959">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5.2.3双方在合同履行期间，各委派专职人员对用电量进行监查，对计量电表有异议的，可向当地供电部门提出验表申请，以项目实施地具备检测资质的第三方检测结果为准，检测费用由差错方承担，并将因电量计量出错而多分享的收益退还另一方或少分享的收益予以补足。</w:t>
      </w:r>
    </w:p>
    <w:p w14:paraId="572C5BF6">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5.2.4如用电计量装置出现故障无法确认表计读数时，双方同意以电力用户负荷管理终端装置记录的电量作为补退电量的依据。</w:t>
      </w:r>
    </w:p>
    <w:p w14:paraId="60A4DA5C">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5.3电量抄录及电费申请结算</w:t>
      </w:r>
    </w:p>
    <w:p w14:paraId="5FB782E3">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项目经供电局验收合格并正式并网之日起，进入项目</w:t>
      </w:r>
      <w:r>
        <w:rPr>
          <w:rFonts w:hint="eastAsia" w:ascii="宋体" w:eastAsia="宋体" w:cs="宋体"/>
          <w:color w:val="auto"/>
          <w:sz w:val="28"/>
          <w:szCs w:val="28"/>
        </w:rPr>
        <w:t>节能效益分享期（如果项目分期并</w:t>
      </w:r>
      <w:r>
        <w:rPr>
          <w:rFonts w:hint="eastAsia" w:ascii="宋体" w:eastAsia="宋体" w:cs="宋体"/>
          <w:color w:val="auto"/>
          <w:sz w:val="28"/>
          <w:szCs w:val="28"/>
          <w:highlight w:val="none"/>
        </w:rPr>
        <w:t>网，则分期计算）</w:t>
      </w:r>
      <w:r>
        <w:rPr>
          <w:rFonts w:hint="eastAsia" w:ascii="宋体" w:hAnsi="宋体" w:eastAsia="宋体"/>
          <w:color w:val="auto"/>
          <w:kern w:val="2"/>
          <w:sz w:val="28"/>
          <w:szCs w:val="28"/>
          <w:highlight w:val="none"/>
        </w:rPr>
        <w:t>，甲方、乙方派人进行电量抄录和确认，原则上每个月的</w:t>
      </w:r>
      <w:r>
        <w:rPr>
          <w:rFonts w:hint="eastAsia" w:ascii="宋体" w:hAnsi="宋体" w:eastAsia="宋体"/>
          <w:color w:val="auto"/>
          <w:kern w:val="2"/>
          <w:sz w:val="28"/>
          <w:szCs w:val="28"/>
          <w:highlight w:val="none"/>
          <w:lang w:val="en-US" w:eastAsia="zh-CN"/>
        </w:rPr>
        <w:t>30日</w:t>
      </w:r>
      <w:r>
        <w:rPr>
          <w:rFonts w:hint="eastAsia" w:ascii="宋体" w:hAnsi="宋体" w:eastAsia="宋体"/>
          <w:color w:val="auto"/>
          <w:kern w:val="2"/>
          <w:sz w:val="28"/>
          <w:szCs w:val="28"/>
          <w:highlight w:val="none"/>
        </w:rPr>
        <w:t>前，乙方出具《电量记录单》（格式见附件4</w:t>
      </w:r>
      <w:r>
        <w:rPr>
          <w:rFonts w:hint="eastAsia" w:ascii="宋体" w:hAnsi="宋体"/>
          <w:color w:val="auto"/>
          <w:kern w:val="2"/>
          <w:sz w:val="28"/>
          <w:szCs w:val="28"/>
          <w:highlight w:val="none"/>
          <w:lang w:eastAsia="zh-CN"/>
        </w:rPr>
        <w:t>－</w:t>
      </w:r>
      <w:r>
        <w:rPr>
          <w:rFonts w:hint="eastAsia" w:ascii="宋体" w:hAnsi="宋体" w:eastAsia="宋体"/>
          <w:color w:val="auto"/>
          <w:kern w:val="2"/>
          <w:sz w:val="28"/>
          <w:szCs w:val="28"/>
          <w:highlight w:val="none"/>
        </w:rPr>
        <w:t>附件6）。乙方</w:t>
      </w:r>
      <w:r>
        <w:rPr>
          <w:rFonts w:hint="eastAsia" w:ascii="宋体" w:hAnsi="宋体" w:eastAsia="宋体"/>
          <w:color w:val="auto"/>
          <w:kern w:val="2"/>
          <w:sz w:val="28"/>
          <w:szCs w:val="28"/>
          <w:highlight w:val="none"/>
          <w:lang w:val="en-US" w:eastAsia="zh-CN"/>
        </w:rPr>
        <w:t>次月5日</w:t>
      </w:r>
      <w:r>
        <w:rPr>
          <w:rFonts w:hint="eastAsia" w:ascii="宋体" w:hAnsi="宋体" w:eastAsia="宋体"/>
          <w:color w:val="auto"/>
          <w:kern w:val="2"/>
          <w:sz w:val="28"/>
          <w:szCs w:val="28"/>
          <w:highlight w:val="none"/>
        </w:rPr>
        <w:t>前，</w:t>
      </w:r>
      <w:r>
        <w:rPr>
          <w:rFonts w:hint="eastAsia" w:ascii="宋体" w:hAnsi="宋体" w:eastAsia="宋体"/>
          <w:color w:val="auto"/>
          <w:kern w:val="2"/>
          <w:sz w:val="28"/>
          <w:szCs w:val="28"/>
        </w:rPr>
        <w:t>依据本合同向甲方出具《分布式光伏发电项目电费通知单》（格式见附件7），申请电费结算。如甲乙任何一方对电量有异议按5.2.3执行。如因供电局计量装置等不确定问题未及时出具《电量记录单》及《分布式光伏发电项目电费通知单》的，乙方有权相应调整申请电费结算日。</w:t>
      </w:r>
    </w:p>
    <w:p w14:paraId="40482D8F">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5.4用电量及电费的确定办法</w:t>
      </w:r>
    </w:p>
    <w:p w14:paraId="26464914">
      <w:pPr>
        <w:widowControl w:val="0"/>
        <w:spacing w:line="360" w:lineRule="auto"/>
        <w:ind w:firstLine="560" w:firstLineChars="200"/>
        <w:jc w:val="both"/>
        <w:rPr>
          <w:rFonts w:ascii="宋体" w:hAnsi="宋体" w:eastAsia="宋体"/>
          <w:color w:val="auto"/>
          <w:kern w:val="2"/>
          <w:sz w:val="28"/>
          <w:szCs w:val="28"/>
        </w:rPr>
      </w:pPr>
      <w:r>
        <w:rPr>
          <w:rFonts w:hint="eastAsia" w:ascii="宋体" w:hAnsi="宋体" w:eastAsia="宋体"/>
          <w:color w:val="auto"/>
          <w:kern w:val="2"/>
          <w:sz w:val="28"/>
          <w:szCs w:val="28"/>
        </w:rPr>
        <w:t>乙方供给甲方的实际月度使用光伏电用电量是以供电部门提供的发电计量电表及关口计量电表为计量表计，甲方乙方每月共同确认，甲方每月支付乙方的光伏电费的详细计算公式如下：</w:t>
      </w:r>
    </w:p>
    <w:p w14:paraId="615388A5">
      <w:pPr>
        <w:widowControl w:val="0"/>
        <w:spacing w:line="360" w:lineRule="auto"/>
        <w:ind w:firstLine="560" w:firstLineChars="200"/>
        <w:jc w:val="both"/>
        <w:rPr>
          <w:rFonts w:hint="eastAsia" w:ascii="宋体" w:hAnsi="宋体" w:eastAsia="宋体"/>
          <w:color w:val="auto"/>
          <w:kern w:val="2"/>
          <w:sz w:val="28"/>
          <w:szCs w:val="28"/>
        </w:rPr>
      </w:pPr>
      <w:r>
        <w:rPr>
          <w:rFonts w:hint="eastAsia" w:ascii="宋体" w:hAnsi="宋体" w:eastAsia="宋体"/>
          <w:color w:val="auto"/>
          <w:kern w:val="2"/>
          <w:sz w:val="28"/>
          <w:szCs w:val="28"/>
          <w:lang w:val="en-US" w:eastAsia="zh-CN"/>
        </w:rPr>
        <w:t>1、</w:t>
      </w:r>
      <w:r>
        <w:rPr>
          <w:rFonts w:hint="eastAsia" w:ascii="宋体" w:hAnsi="宋体" w:eastAsia="宋体"/>
          <w:color w:val="auto"/>
          <w:kern w:val="2"/>
          <w:sz w:val="28"/>
          <w:szCs w:val="28"/>
        </w:rPr>
        <w:t>月度甲方所用光伏电量（甲方）  = 光伏发电总表当月总发电量</w:t>
      </w:r>
      <w:r>
        <w:rPr>
          <w:rFonts w:hint="eastAsia" w:ascii="宋体" w:hAnsi="宋体"/>
          <w:color w:val="auto"/>
          <w:kern w:val="2"/>
          <w:sz w:val="28"/>
          <w:szCs w:val="28"/>
          <w:lang w:eastAsia="zh-CN"/>
        </w:rPr>
        <w:t>－</w:t>
      </w:r>
      <w:r>
        <w:rPr>
          <w:rFonts w:hint="eastAsia" w:ascii="宋体" w:hAnsi="宋体" w:eastAsia="宋体"/>
          <w:color w:val="auto"/>
          <w:kern w:val="2"/>
          <w:sz w:val="28"/>
          <w:szCs w:val="28"/>
        </w:rPr>
        <w:t>关口电表当月总上网电量；</w:t>
      </w:r>
    </w:p>
    <w:p w14:paraId="3EF1876B">
      <w:pPr>
        <w:widowControl w:val="0"/>
        <w:spacing w:line="360" w:lineRule="auto"/>
        <w:ind w:firstLine="560" w:firstLineChars="200"/>
        <w:jc w:val="both"/>
        <w:rPr>
          <w:rFonts w:hint="eastAsia" w:ascii="宋体" w:hAnsi="宋体" w:eastAsia="宋体"/>
          <w:color w:val="auto"/>
          <w:kern w:val="2"/>
          <w:sz w:val="28"/>
          <w:szCs w:val="28"/>
        </w:rPr>
      </w:pPr>
      <w:r>
        <w:rPr>
          <w:rFonts w:hint="eastAsia" w:ascii="宋体" w:hAnsi="宋体" w:eastAsia="宋体"/>
          <w:color w:val="auto"/>
          <w:kern w:val="2"/>
          <w:sz w:val="28"/>
          <w:szCs w:val="28"/>
          <w:lang w:val="en-US" w:eastAsia="zh-CN"/>
        </w:rPr>
        <w:t>2、</w:t>
      </w:r>
      <w:r>
        <w:rPr>
          <w:rFonts w:hint="eastAsia" w:ascii="宋体" w:hAnsi="宋体" w:eastAsia="宋体"/>
          <w:color w:val="auto"/>
          <w:kern w:val="2"/>
          <w:sz w:val="28"/>
          <w:szCs w:val="28"/>
        </w:rPr>
        <w:t>月度甲方所用光伏电费  = 月度甲方所用光伏电量 × 甲乙双方约定的协议电价；</w:t>
      </w:r>
    </w:p>
    <w:p w14:paraId="1D961C64">
      <w:pPr>
        <w:widowControl w:val="0"/>
        <w:spacing w:line="360" w:lineRule="auto"/>
        <w:ind w:firstLine="560" w:firstLineChars="200"/>
        <w:jc w:val="both"/>
        <w:rPr>
          <w:rFonts w:hint="eastAsia" w:ascii="宋体" w:hAnsi="宋体" w:eastAsia="宋体"/>
          <w:color w:val="auto"/>
          <w:kern w:val="2"/>
          <w:sz w:val="28"/>
          <w:szCs w:val="28"/>
        </w:rPr>
      </w:pPr>
      <w:r>
        <w:rPr>
          <w:rFonts w:hint="eastAsia" w:ascii="宋体" w:hAnsi="宋体" w:eastAsia="宋体"/>
          <w:color w:val="auto"/>
          <w:kern w:val="2"/>
          <w:sz w:val="28"/>
          <w:szCs w:val="28"/>
          <w:lang w:val="en-US" w:eastAsia="zh-CN"/>
        </w:rPr>
        <w:t>3、</w:t>
      </w:r>
      <w:r>
        <w:rPr>
          <w:rFonts w:hint="eastAsia" w:ascii="宋体" w:hAnsi="宋体" w:eastAsia="宋体"/>
          <w:color w:val="auto"/>
          <w:kern w:val="2"/>
          <w:sz w:val="28"/>
          <w:szCs w:val="28"/>
        </w:rPr>
        <w:t>月度乙方光伏使用甲方能耗电费  = （光伏发电总表当月反向有功总用电量+其他光伏自用表正向有功总用电量） × 能耗电价（具体为当时甲方与供电局结算的电价）；</w:t>
      </w:r>
    </w:p>
    <w:p w14:paraId="5EC63DB1">
      <w:pPr>
        <w:widowControl w:val="0"/>
        <w:spacing w:line="360" w:lineRule="auto"/>
        <w:jc w:val="both"/>
        <w:rPr>
          <w:rFonts w:hint="eastAsia" w:ascii="宋体" w:hAnsi="宋体" w:eastAsia="宋体"/>
          <w:color w:val="auto"/>
          <w:kern w:val="2"/>
          <w:sz w:val="28"/>
          <w:szCs w:val="28"/>
        </w:rPr>
      </w:pPr>
      <w:r>
        <w:rPr>
          <w:rFonts w:hint="eastAsia" w:ascii="宋体" w:hAnsi="宋体" w:eastAsia="宋体"/>
          <w:color w:val="auto"/>
          <w:kern w:val="2"/>
          <w:sz w:val="28"/>
          <w:szCs w:val="28"/>
        </w:rPr>
        <w:t>月度结算执行模板案例参照附件4</w:t>
      </w:r>
      <w:r>
        <w:rPr>
          <w:rFonts w:hint="eastAsia" w:ascii="宋体" w:hAnsi="宋体"/>
          <w:color w:val="auto"/>
          <w:kern w:val="2"/>
          <w:sz w:val="28"/>
          <w:szCs w:val="28"/>
          <w:lang w:eastAsia="zh-CN"/>
        </w:rPr>
        <w:t>－</w:t>
      </w:r>
      <w:r>
        <w:rPr>
          <w:rFonts w:hint="eastAsia" w:ascii="宋体" w:hAnsi="宋体" w:eastAsia="宋体"/>
          <w:color w:val="auto"/>
          <w:kern w:val="2"/>
          <w:sz w:val="28"/>
          <w:szCs w:val="28"/>
        </w:rPr>
        <w:t>附件7。</w:t>
      </w:r>
    </w:p>
    <w:p w14:paraId="33D4A75E">
      <w:pPr>
        <w:pStyle w:val="2"/>
        <w:ind w:left="0" w:leftChars="0" w:firstLine="560" w:firstLineChars="200"/>
        <w:rPr>
          <w:rFonts w:hint="default" w:eastAsia="宋体"/>
          <w:lang w:val="en-US" w:eastAsia="zh-CN"/>
        </w:rPr>
      </w:pPr>
      <w:r>
        <w:rPr>
          <w:rFonts w:hint="eastAsia" w:ascii="宋体" w:hAnsi="宋体" w:eastAsia="宋体"/>
          <w:color w:val="auto"/>
          <w:kern w:val="2"/>
          <w:sz w:val="28"/>
          <w:szCs w:val="28"/>
          <w:lang w:val="en-US" w:eastAsia="zh-CN"/>
        </w:rPr>
        <w:t>4、同评分标准，价格分：光伏电费=（尖时电量*尖电价+峰时电量*峰电价+平时电量+谷时电量*谷电价）*折扣比例，折扣比例72%，得20分，每降0.5个点得1分，最高30分。</w:t>
      </w:r>
    </w:p>
    <w:p w14:paraId="5A958F9E">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97" w:name="_Toc192919775"/>
      <w:bookmarkStart w:id="98" w:name="_Toc518569067"/>
      <w:r>
        <w:rPr>
          <w:rFonts w:hint="eastAsia" w:ascii="黑体" w:hAnsi="黑体" w:eastAsia="黑体"/>
          <w:b/>
          <w:bCs/>
          <w:color w:val="auto"/>
          <w:kern w:val="2"/>
          <w:sz w:val="28"/>
          <w:szCs w:val="28"/>
        </w:rPr>
        <w:t>6．</w:t>
      </w:r>
      <w:bookmarkEnd w:id="97"/>
      <w:r>
        <w:rPr>
          <w:rFonts w:hint="eastAsia" w:ascii="黑体" w:hAnsi="黑体" w:eastAsia="黑体"/>
          <w:b/>
          <w:bCs/>
          <w:color w:val="auto"/>
          <w:kern w:val="2"/>
          <w:sz w:val="28"/>
          <w:szCs w:val="28"/>
        </w:rPr>
        <w:t>用电费用的支付</w:t>
      </w:r>
      <w:bookmarkEnd w:id="98"/>
    </w:p>
    <w:p w14:paraId="0D95B29B">
      <w:pPr>
        <w:widowControl w:val="0"/>
        <w:spacing w:after="60" w:line="360" w:lineRule="auto"/>
        <w:ind w:firstLine="560" w:firstLineChars="200"/>
        <w:jc w:val="both"/>
        <w:rPr>
          <w:rFonts w:ascii="Arial" w:hAnsi="Arial" w:eastAsia="宋体"/>
          <w:color w:val="auto"/>
          <w:sz w:val="28"/>
          <w:szCs w:val="28"/>
        </w:rPr>
      </w:pPr>
      <w:r>
        <w:rPr>
          <w:rFonts w:ascii="宋体" w:hAnsi="宋体" w:eastAsia="宋体"/>
          <w:color w:val="auto"/>
          <w:sz w:val="28"/>
          <w:szCs w:val="28"/>
        </w:rPr>
        <w:t xml:space="preserve">6.1 </w:t>
      </w:r>
      <w:r>
        <w:rPr>
          <w:rFonts w:hint="eastAsia" w:ascii="Arial" w:hAnsi="Arial" w:eastAsia="宋体"/>
          <w:color w:val="auto"/>
          <w:sz w:val="28"/>
          <w:szCs w:val="28"/>
        </w:rPr>
        <w:t>用电费用的支付</w:t>
      </w:r>
    </w:p>
    <w:p w14:paraId="32673414">
      <w:pPr>
        <w:widowControl w:val="0"/>
        <w:spacing w:after="60" w:line="360" w:lineRule="auto"/>
        <w:ind w:firstLine="560" w:firstLineChars="200"/>
        <w:jc w:val="both"/>
        <w:rPr>
          <w:rFonts w:eastAsia="宋体"/>
          <w:color w:val="auto"/>
          <w:kern w:val="2"/>
          <w:sz w:val="28"/>
          <w:szCs w:val="28"/>
        </w:rPr>
      </w:pPr>
      <w:r>
        <w:rPr>
          <w:rFonts w:hint="eastAsia" w:ascii="Arial" w:hAnsi="Arial" w:eastAsia="宋体"/>
          <w:color w:val="auto"/>
          <w:kern w:val="2"/>
          <w:sz w:val="28"/>
          <w:szCs w:val="28"/>
        </w:rPr>
        <w:t>甲乙双方应自光伏发电总表安装之日起，每月结算一次用电费用，</w:t>
      </w:r>
      <w:r>
        <w:rPr>
          <w:rFonts w:hint="eastAsia" w:ascii="Arial" w:hAnsi="Arial" w:eastAsia="宋体"/>
          <w:color w:val="auto"/>
          <w:kern w:val="2"/>
          <w:sz w:val="28"/>
          <w:szCs w:val="28"/>
          <w:lang w:eastAsia="zh-CN"/>
        </w:rPr>
        <w:t>甲乙双方对上月用电费用确认无异议后，乙方需在次</w:t>
      </w:r>
      <w:r>
        <w:rPr>
          <w:rFonts w:hint="eastAsia" w:ascii="Arial" w:hAnsi="Arial" w:eastAsia="宋体"/>
          <w:color w:val="auto"/>
          <w:kern w:val="2"/>
          <w:sz w:val="28"/>
          <w:szCs w:val="28"/>
        </w:rPr>
        <w:t>月10日前</w:t>
      </w:r>
      <w:r>
        <w:rPr>
          <w:rFonts w:hint="eastAsia" w:ascii="Arial" w:hAnsi="Arial" w:eastAsia="宋体"/>
          <w:color w:val="auto"/>
          <w:kern w:val="2"/>
          <w:sz w:val="28"/>
          <w:szCs w:val="28"/>
          <w:lang w:eastAsia="zh-CN"/>
        </w:rPr>
        <w:t>将等额发票</w:t>
      </w:r>
      <w:r>
        <w:rPr>
          <w:rFonts w:hint="eastAsia" w:ascii="Arial" w:hAnsi="Arial" w:eastAsia="宋体"/>
          <w:color w:val="auto"/>
          <w:kern w:val="2"/>
          <w:sz w:val="28"/>
          <w:szCs w:val="28"/>
        </w:rPr>
        <w:t>提交甲方，甲方在</w:t>
      </w:r>
      <w:r>
        <w:rPr>
          <w:rFonts w:hint="eastAsia" w:ascii="Arial" w:hAnsi="Arial" w:eastAsia="宋体"/>
          <w:color w:val="auto"/>
          <w:kern w:val="2"/>
          <w:sz w:val="28"/>
          <w:szCs w:val="28"/>
          <w:lang w:eastAsia="zh-CN"/>
        </w:rPr>
        <w:t>收到发票</w:t>
      </w:r>
      <w:r>
        <w:rPr>
          <w:rFonts w:hint="eastAsia" w:ascii="Arial" w:hAnsi="Arial"/>
          <w:color w:val="auto"/>
          <w:kern w:val="2"/>
          <w:sz w:val="28"/>
          <w:szCs w:val="28"/>
          <w:lang w:eastAsia="zh-CN"/>
        </w:rPr>
        <w:t>后第二个月</w:t>
      </w:r>
      <w:r>
        <w:rPr>
          <w:rFonts w:hint="eastAsia" w:ascii="Arial" w:hAnsi="Arial"/>
          <w:color w:val="auto"/>
          <w:kern w:val="2"/>
          <w:sz w:val="28"/>
          <w:szCs w:val="28"/>
          <w:lang w:val="en-US" w:eastAsia="zh-CN"/>
        </w:rPr>
        <w:t>30日前</w:t>
      </w:r>
      <w:r>
        <w:rPr>
          <w:rFonts w:hint="eastAsia" w:ascii="Arial" w:hAnsi="Arial" w:eastAsia="宋体"/>
          <w:color w:val="auto"/>
          <w:kern w:val="2"/>
          <w:sz w:val="28"/>
          <w:szCs w:val="28"/>
        </w:rPr>
        <w:t>支付电费，通过银行</w:t>
      </w:r>
      <w:r>
        <w:rPr>
          <w:rFonts w:hint="eastAsia" w:eastAsia="宋体"/>
          <w:color w:val="auto"/>
          <w:kern w:val="2"/>
          <w:sz w:val="28"/>
          <w:szCs w:val="28"/>
        </w:rPr>
        <w:t>电汇的方式支付。甲方在未收到乙方等额发票前有权拒绝付款，且无须承担任何责任。</w:t>
      </w:r>
    </w:p>
    <w:p w14:paraId="2E6D64AE">
      <w:pPr>
        <w:widowControl w:val="0"/>
        <w:spacing w:after="60" w:line="360" w:lineRule="auto"/>
        <w:ind w:firstLine="560" w:firstLineChars="200"/>
        <w:jc w:val="both"/>
        <w:rPr>
          <w:rFonts w:asciiTheme="minorEastAsia" w:hAnsiTheme="minorEastAsia" w:eastAsiaTheme="minorEastAsia"/>
          <w:color w:val="auto"/>
          <w:kern w:val="2"/>
          <w:sz w:val="28"/>
          <w:szCs w:val="28"/>
        </w:rPr>
      </w:pPr>
      <w:r>
        <w:rPr>
          <w:rFonts w:hint="eastAsia" w:asciiTheme="minorEastAsia" w:hAnsiTheme="minorEastAsia" w:eastAsiaTheme="minorEastAsia"/>
          <w:color w:val="auto"/>
          <w:kern w:val="2"/>
          <w:sz w:val="28"/>
          <w:szCs w:val="28"/>
        </w:rPr>
        <w:t>6</w:t>
      </w:r>
      <w:r>
        <w:rPr>
          <w:rFonts w:asciiTheme="minorEastAsia" w:hAnsiTheme="minorEastAsia" w:eastAsiaTheme="minorEastAsia"/>
          <w:color w:val="auto"/>
          <w:kern w:val="2"/>
          <w:sz w:val="28"/>
          <w:szCs w:val="28"/>
        </w:rPr>
        <w:t xml:space="preserve">.2 </w:t>
      </w:r>
      <w:r>
        <w:rPr>
          <w:rFonts w:hint="eastAsia" w:asciiTheme="minorEastAsia" w:hAnsiTheme="minorEastAsia" w:eastAsiaTheme="minorEastAsia"/>
          <w:color w:val="auto"/>
          <w:kern w:val="2"/>
          <w:sz w:val="28"/>
          <w:szCs w:val="28"/>
        </w:rPr>
        <w:t>本合同在可能中途解除或期满终止前三个月甲方暂不支付所有电费，作为乙方后续履约的保证金。</w:t>
      </w:r>
    </w:p>
    <w:p w14:paraId="16EC7B67">
      <w:pPr>
        <w:widowControl w:val="0"/>
        <w:numPr>
          <w:ilvl w:val="0"/>
          <w:numId w:val="6"/>
        </w:numPr>
        <w:spacing w:after="60" w:line="360" w:lineRule="auto"/>
        <w:ind w:firstLine="562" w:firstLineChars="200"/>
        <w:jc w:val="both"/>
        <w:rPr>
          <w:rFonts w:ascii="黑体" w:hAnsi="黑体" w:eastAsia="黑体"/>
          <w:b/>
          <w:bCs/>
          <w:color w:val="auto"/>
          <w:kern w:val="2"/>
          <w:sz w:val="28"/>
          <w:szCs w:val="28"/>
        </w:rPr>
      </w:pPr>
      <w:r>
        <w:rPr>
          <w:rFonts w:hint="eastAsia" w:ascii="黑体" w:hAnsi="黑体" w:eastAsia="黑体"/>
          <w:b/>
          <w:bCs/>
          <w:color w:val="auto"/>
          <w:kern w:val="2"/>
          <w:sz w:val="28"/>
          <w:szCs w:val="28"/>
        </w:rPr>
        <w:t>节能项目的回购、买断</w:t>
      </w:r>
    </w:p>
    <w:p w14:paraId="48840F60">
      <w:pPr>
        <w:widowControl w:val="0"/>
        <w:spacing w:after="60" w:line="360" w:lineRule="auto"/>
        <w:jc w:val="both"/>
        <w:rPr>
          <w:rFonts w:ascii="宋体" w:hAnsi="Arial" w:eastAsia="宋体" w:cs="宋体"/>
          <w:color w:val="auto"/>
          <w:sz w:val="28"/>
          <w:szCs w:val="28"/>
          <w:lang w:val="zh-CN"/>
        </w:rPr>
      </w:pPr>
      <w:r>
        <w:rPr>
          <w:rFonts w:hint="eastAsia" w:ascii="黑体" w:hAnsi="黑体" w:eastAsia="黑体" w:cs="黑体"/>
          <w:color w:val="auto"/>
          <w:kern w:val="2"/>
          <w:sz w:val="28"/>
          <w:szCs w:val="28"/>
        </w:rPr>
        <w:t xml:space="preserve">    </w:t>
      </w:r>
      <w:r>
        <w:rPr>
          <w:rFonts w:hint="eastAsia" w:ascii="宋体" w:hAnsi="Arial" w:eastAsia="宋体" w:cs="宋体"/>
          <w:color w:val="auto"/>
          <w:sz w:val="28"/>
          <w:szCs w:val="28"/>
          <w:lang w:val="zh-CN"/>
        </w:rPr>
        <w:t>本节能项目所有权及对应的设备和资产归乙方所有，如乙方转让该节能项目所有权，在同等条件下须优先转让给甲方。</w:t>
      </w:r>
    </w:p>
    <w:p w14:paraId="0E3AE530">
      <w:pPr>
        <w:widowControl w:val="0"/>
        <w:spacing w:after="60" w:line="360" w:lineRule="auto"/>
        <w:ind w:firstLine="560" w:firstLineChars="200"/>
        <w:jc w:val="both"/>
        <w:rPr>
          <w:rFonts w:ascii="Arial" w:hAnsi="Arial" w:eastAsia="宋体"/>
          <w:color w:val="auto"/>
          <w:sz w:val="28"/>
          <w:szCs w:val="28"/>
        </w:rPr>
      </w:pPr>
      <w:r>
        <w:rPr>
          <w:rFonts w:hint="eastAsia" w:ascii="Arial" w:hAnsi="Arial" w:eastAsia="宋体"/>
          <w:color w:val="auto"/>
          <w:sz w:val="28"/>
          <w:szCs w:val="28"/>
        </w:rPr>
        <w:t>节能效益分享期内，在保证甲方用电不受</w:t>
      </w:r>
      <w:r>
        <w:rPr>
          <w:rFonts w:hint="eastAsia" w:ascii="宋体" w:hAnsi="Arial" w:eastAsia="宋体" w:cs="宋体"/>
          <w:color w:val="auto"/>
          <w:sz w:val="28"/>
          <w:szCs w:val="28"/>
          <w:lang w:val="zh-CN"/>
        </w:rPr>
        <w:t>影响及取得甲方书面同意的前提下，第三方可买断节能项目乙方剩余合同期限的收益权，甲方须协助乙方办理项目买断的相关事宜，未经甲方同意，不得变更本合同内容。同等条件下，甲方有优先购买权。</w:t>
      </w:r>
    </w:p>
    <w:p w14:paraId="19487285">
      <w:pPr>
        <w:keepNext/>
        <w:keepLines/>
        <w:widowControl w:val="0"/>
        <w:spacing w:before="120" w:after="120" w:line="360" w:lineRule="auto"/>
        <w:ind w:firstLine="562" w:firstLineChars="200"/>
        <w:jc w:val="both"/>
        <w:outlineLvl w:val="0"/>
        <w:rPr>
          <w:rFonts w:ascii="黑体" w:hAnsi="黑体" w:eastAsia="黑体"/>
          <w:b/>
          <w:bCs/>
          <w:color w:val="auto"/>
          <w:kern w:val="44"/>
          <w:sz w:val="28"/>
          <w:szCs w:val="28"/>
        </w:rPr>
      </w:pPr>
      <w:bookmarkStart w:id="99" w:name="_Toc518569068"/>
      <w:r>
        <w:rPr>
          <w:rFonts w:hint="eastAsia" w:ascii="黑体" w:hAnsi="黑体" w:eastAsia="黑体"/>
          <w:b/>
          <w:bCs/>
          <w:color w:val="auto"/>
          <w:kern w:val="44"/>
          <w:sz w:val="28"/>
          <w:szCs w:val="28"/>
        </w:rPr>
        <w:t>第三部分　权利与义务</w:t>
      </w:r>
      <w:bookmarkEnd w:id="99"/>
    </w:p>
    <w:p w14:paraId="08D196DB">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00" w:name="_Toc192919778"/>
      <w:bookmarkStart w:id="101" w:name="_Toc518569069"/>
      <w:r>
        <w:rPr>
          <w:rFonts w:hint="eastAsia" w:ascii="黑体" w:hAnsi="黑体" w:eastAsia="黑体"/>
          <w:b/>
          <w:bCs/>
          <w:color w:val="auto"/>
          <w:kern w:val="2"/>
          <w:sz w:val="28"/>
          <w:szCs w:val="28"/>
        </w:rPr>
        <w:t>8．</w:t>
      </w:r>
      <w:bookmarkEnd w:id="100"/>
      <w:r>
        <w:rPr>
          <w:rFonts w:hint="eastAsia" w:ascii="黑体" w:hAnsi="黑体" w:eastAsia="黑体"/>
          <w:b/>
          <w:bCs/>
          <w:color w:val="auto"/>
          <w:kern w:val="2"/>
          <w:sz w:val="28"/>
          <w:szCs w:val="28"/>
        </w:rPr>
        <w:t>双方权利义务</w:t>
      </w:r>
      <w:bookmarkEnd w:id="101"/>
    </w:p>
    <w:p w14:paraId="69065BE4">
      <w:pPr>
        <w:widowControl w:val="0"/>
        <w:spacing w:after="60" w:line="360" w:lineRule="auto"/>
        <w:ind w:firstLine="560" w:firstLineChars="200"/>
        <w:jc w:val="both"/>
        <w:rPr>
          <w:rFonts w:ascii="宋体" w:hAnsi="Arial" w:eastAsia="宋体" w:cs="宋体"/>
          <w:color w:val="auto"/>
          <w:sz w:val="28"/>
          <w:szCs w:val="28"/>
          <w:lang w:val="zh-CN"/>
        </w:rPr>
      </w:pPr>
      <w:r>
        <w:rPr>
          <w:rFonts w:ascii="宋体" w:hAnsi="宋体" w:eastAsia="宋体"/>
          <w:color w:val="auto"/>
          <w:sz w:val="28"/>
          <w:szCs w:val="28"/>
        </w:rPr>
        <w:t>8.1</w:t>
      </w:r>
      <w:r>
        <w:rPr>
          <w:rFonts w:hint="eastAsia" w:ascii="Arial" w:hAnsi="Arial" w:eastAsia="宋体"/>
          <w:color w:val="auto"/>
          <w:sz w:val="28"/>
          <w:szCs w:val="28"/>
        </w:rPr>
        <w:t>甲方权利义务</w:t>
      </w:r>
    </w:p>
    <w:p w14:paraId="6EAB331C">
      <w:pPr>
        <w:widowControl w:val="0"/>
        <w:spacing w:after="60" w:line="360" w:lineRule="auto"/>
        <w:ind w:firstLine="560" w:firstLineChars="200"/>
        <w:jc w:val="both"/>
        <w:rPr>
          <w:rFonts w:ascii="宋体" w:hAnsi="宋体" w:eastAsia="宋体" w:cs="宋体"/>
          <w:color w:val="auto"/>
          <w:kern w:val="2"/>
          <w:sz w:val="28"/>
          <w:szCs w:val="28"/>
        </w:rPr>
      </w:pPr>
      <w:r>
        <w:rPr>
          <w:rFonts w:hint="eastAsia" w:ascii="宋体" w:hAnsi="Arial" w:eastAsia="宋体" w:cs="宋体"/>
          <w:color w:val="auto"/>
          <w:sz w:val="28"/>
          <w:szCs w:val="28"/>
          <w:lang w:val="zh-CN"/>
        </w:rPr>
        <w:t>8.1.1合同期内，在不影响甲方正常生产运营的前提下，甲方免费提供本项目安装、检修、运营的场地、通道和设施（包括但不限于：项目范围内的厂房屋顶、搭建节能项目有关建筑物和</w:t>
      </w:r>
      <w:r>
        <w:rPr>
          <w:rFonts w:hint="eastAsia" w:ascii="宋体" w:hAnsi="宋体" w:eastAsia="宋体"/>
          <w:color w:val="auto"/>
          <w:kern w:val="2"/>
          <w:sz w:val="28"/>
          <w:szCs w:val="28"/>
        </w:rPr>
        <w:t>放置相关设备、材料、配件</w:t>
      </w:r>
      <w:r>
        <w:rPr>
          <w:rFonts w:hint="eastAsia" w:ascii="宋体" w:hAnsi="宋体" w:eastAsia="宋体" w:cs="宋体"/>
          <w:color w:val="auto"/>
          <w:sz w:val="28"/>
          <w:szCs w:val="28"/>
        </w:rPr>
        <w:t>必要的地面场地和各种人员、线路通道）供乙方使用</w:t>
      </w:r>
      <w:r>
        <w:rPr>
          <w:rFonts w:hint="eastAsia" w:ascii="宋体" w:hAnsi="宋体" w:eastAsia="宋体" w:cs="宋体"/>
          <w:color w:val="auto"/>
          <w:sz w:val="28"/>
          <w:szCs w:val="28"/>
          <w:lang w:val="zh-CN"/>
        </w:rPr>
        <w:t>，甲方不得将屋面及本项目已占用的地面和各种通道使用权出租给第三方。甲方保证用于合同项目的安装运营场地在合同期内没有产权纠纷或其他影响本合同履行的纠纷</w:t>
      </w:r>
      <w:r>
        <w:rPr>
          <w:rFonts w:hint="eastAsia" w:ascii="宋体" w:hAnsi="宋体" w:eastAsia="宋体" w:cs="宋体"/>
          <w:color w:val="auto"/>
          <w:kern w:val="2"/>
          <w:sz w:val="28"/>
          <w:szCs w:val="28"/>
        </w:rPr>
        <w:t>。如发生上述纠纷的，由甲方负责处理并承担全部责任，并不得影响乙方对屋顶及项目相关用地的使用。如因此造成乙方损失的，甲方应予赔偿。</w:t>
      </w:r>
    </w:p>
    <w:p w14:paraId="70469AA8">
      <w:pPr>
        <w:widowControl w:val="0"/>
        <w:spacing w:after="60" w:line="360" w:lineRule="auto"/>
        <w:ind w:firstLine="560"/>
        <w:jc w:val="both"/>
        <w:rPr>
          <w:rFonts w:ascii="宋体" w:hAnsi="宋体" w:eastAsia="宋体"/>
          <w:color w:val="auto"/>
          <w:kern w:val="2"/>
          <w:sz w:val="28"/>
          <w:szCs w:val="28"/>
        </w:rPr>
      </w:pPr>
      <w:r>
        <w:rPr>
          <w:rFonts w:hint="eastAsia" w:ascii="宋体" w:hAnsi="宋体" w:eastAsia="宋体"/>
          <w:color w:val="auto"/>
          <w:kern w:val="2"/>
          <w:sz w:val="28"/>
          <w:szCs w:val="28"/>
        </w:rPr>
        <w:t>8.1.2 甲方委派与本项目有关的工程管理人员时，将其基本情况（姓名、联系方式、专业、职务等）书面通知乙方，以便乙方及时接洽。</w:t>
      </w:r>
    </w:p>
    <w:p w14:paraId="5E4D8E8D">
      <w:pPr>
        <w:widowControl w:val="0"/>
        <w:spacing w:after="60" w:line="360" w:lineRule="auto"/>
        <w:ind w:firstLine="560"/>
        <w:jc w:val="both"/>
        <w:rPr>
          <w:rFonts w:ascii="宋体" w:hAnsi="Arial" w:eastAsia="宋体" w:cs="宋体"/>
          <w:color w:val="auto"/>
          <w:sz w:val="28"/>
          <w:szCs w:val="28"/>
          <w:lang w:val="zh-CN"/>
        </w:rPr>
      </w:pPr>
      <w:r>
        <w:rPr>
          <w:rFonts w:hint="eastAsia" w:ascii="宋体" w:hAnsi="Arial" w:eastAsia="宋体" w:cs="宋体"/>
          <w:color w:val="auto"/>
          <w:sz w:val="28"/>
          <w:szCs w:val="28"/>
          <w:lang w:val="zh-CN"/>
        </w:rPr>
        <w:t>8.1.</w:t>
      </w:r>
      <w:r>
        <w:rPr>
          <w:rFonts w:ascii="宋体" w:hAnsi="Arial" w:eastAsia="宋体" w:cs="宋体"/>
          <w:color w:val="auto"/>
          <w:sz w:val="28"/>
          <w:szCs w:val="28"/>
          <w:lang w:val="zh-CN"/>
        </w:rPr>
        <w:t>3</w:t>
      </w:r>
      <w:r>
        <w:rPr>
          <w:rFonts w:hint="eastAsia" w:ascii="宋体" w:hAnsi="Arial" w:eastAsia="宋体" w:cs="宋体"/>
          <w:color w:val="auto"/>
          <w:sz w:val="28"/>
          <w:szCs w:val="28"/>
          <w:lang w:val="zh-CN"/>
        </w:rPr>
        <w:t>甲方提供乙方施工期间用水、用电，及效益分享期内清洁维护用水和检修用电，甲方提供乙方用水的价格按甲方与供水单位结算的水价，费用由乙方承担；甲方提供供方水电接口，乙方负责水电接口以后部分的安装和维护。双方共同约定，乙方所产生的水电费用</w:t>
      </w:r>
      <w:r>
        <w:rPr>
          <w:rFonts w:hint="eastAsia" w:ascii="宋体" w:hAnsi="Arial" w:cs="宋体"/>
          <w:color w:val="auto"/>
          <w:sz w:val="28"/>
          <w:szCs w:val="28"/>
          <w:lang w:val="zh-CN"/>
        </w:rPr>
        <w:t>，完成施工后</w:t>
      </w:r>
      <w:r>
        <w:rPr>
          <w:rFonts w:hint="eastAsia" w:ascii="宋体" w:hAnsi="Arial" w:cs="宋体"/>
          <w:color w:val="auto"/>
          <w:sz w:val="28"/>
          <w:szCs w:val="28"/>
          <w:lang w:val="en-US" w:eastAsia="zh-CN"/>
        </w:rPr>
        <w:t>15天内交付甲方账户</w:t>
      </w:r>
      <w:r>
        <w:rPr>
          <w:rFonts w:hint="eastAsia" w:ascii="宋体" w:hAnsi="Arial" w:eastAsia="宋体" w:cs="宋体"/>
          <w:color w:val="auto"/>
          <w:sz w:val="28"/>
          <w:szCs w:val="28"/>
          <w:lang w:val="zh-CN"/>
        </w:rPr>
        <w:t>。</w:t>
      </w:r>
    </w:p>
    <w:p w14:paraId="076751A1">
      <w:pPr>
        <w:widowControl w:val="0"/>
        <w:spacing w:after="60" w:line="360" w:lineRule="auto"/>
        <w:ind w:firstLine="560"/>
        <w:jc w:val="both"/>
        <w:rPr>
          <w:rFonts w:ascii="宋体" w:hAnsi="宋体" w:eastAsia="宋体"/>
          <w:color w:val="auto"/>
          <w:kern w:val="2"/>
          <w:sz w:val="28"/>
          <w:szCs w:val="28"/>
        </w:rPr>
      </w:pPr>
      <w:r>
        <w:rPr>
          <w:rFonts w:hint="eastAsia" w:ascii="宋体" w:hAnsi="宋体" w:eastAsia="宋体"/>
          <w:color w:val="auto"/>
          <w:kern w:val="2"/>
          <w:sz w:val="28"/>
          <w:szCs w:val="28"/>
        </w:rPr>
        <w:t>8.1.</w:t>
      </w:r>
      <w:r>
        <w:rPr>
          <w:rFonts w:ascii="宋体" w:hAnsi="宋体" w:eastAsia="宋体"/>
          <w:color w:val="auto"/>
          <w:kern w:val="2"/>
          <w:sz w:val="28"/>
          <w:szCs w:val="28"/>
        </w:rPr>
        <w:t>4</w:t>
      </w:r>
      <w:r>
        <w:rPr>
          <w:rFonts w:hint="eastAsia" w:ascii="宋体" w:hAnsi="宋体" w:eastAsia="宋体"/>
          <w:color w:val="auto"/>
          <w:kern w:val="2"/>
          <w:sz w:val="28"/>
          <w:szCs w:val="28"/>
        </w:rPr>
        <w:t xml:space="preserve"> 配合乙方按照设备制造商提供的设备操作规程和保养要求对节能系统和设备进行操作。</w:t>
      </w:r>
    </w:p>
    <w:p w14:paraId="3B00AFDB">
      <w:pPr>
        <w:widowControl w:val="0"/>
        <w:spacing w:after="60" w:line="360" w:lineRule="auto"/>
        <w:ind w:firstLine="560"/>
        <w:jc w:val="both"/>
        <w:rPr>
          <w:rFonts w:ascii="宋体" w:hAnsi="宋体" w:eastAsia="宋体" w:cs="宋体"/>
          <w:color w:val="auto"/>
          <w:kern w:val="2"/>
          <w:sz w:val="28"/>
          <w:szCs w:val="28"/>
        </w:rPr>
      </w:pPr>
      <w:r>
        <w:rPr>
          <w:rFonts w:hint="eastAsia" w:ascii="宋体" w:hAnsi="宋体" w:eastAsia="宋体"/>
          <w:color w:val="auto"/>
          <w:kern w:val="2"/>
          <w:sz w:val="28"/>
          <w:szCs w:val="28"/>
        </w:rPr>
        <w:t>8.1.</w:t>
      </w:r>
      <w:r>
        <w:rPr>
          <w:rFonts w:ascii="宋体" w:hAnsi="宋体" w:eastAsia="宋体"/>
          <w:color w:val="auto"/>
          <w:kern w:val="2"/>
          <w:sz w:val="28"/>
          <w:szCs w:val="28"/>
        </w:rPr>
        <w:t>5</w:t>
      </w:r>
      <w:r>
        <w:rPr>
          <w:rFonts w:hint="eastAsia" w:ascii="宋体" w:hAnsi="宋体" w:eastAsia="宋体"/>
          <w:color w:val="auto"/>
          <w:kern w:val="2"/>
          <w:sz w:val="28"/>
          <w:szCs w:val="28"/>
        </w:rPr>
        <w:t xml:space="preserve"> 发现与本项目相关的系统、设备故障，及时通知乙方。如乙方相关设备发生损坏、丢失，则甲方应在得知此情况后及时通知乙方，并</w:t>
      </w:r>
      <w:r>
        <w:rPr>
          <w:rFonts w:hint="eastAsia" w:ascii="宋体" w:hAnsi="宋体" w:eastAsia="宋体" w:cs="宋体"/>
          <w:color w:val="auto"/>
          <w:kern w:val="2"/>
          <w:sz w:val="28"/>
          <w:szCs w:val="28"/>
        </w:rPr>
        <w:t>配合乙方调查和处理。</w:t>
      </w:r>
    </w:p>
    <w:p w14:paraId="52C13DEB">
      <w:pPr>
        <w:widowControl w:val="0"/>
        <w:spacing w:after="60" w:line="360" w:lineRule="auto"/>
        <w:ind w:firstLine="560"/>
        <w:jc w:val="both"/>
        <w:rPr>
          <w:rFonts w:ascii="宋体" w:hAnsi="宋体" w:eastAsia="宋体"/>
          <w:color w:val="auto"/>
          <w:kern w:val="2"/>
          <w:sz w:val="28"/>
          <w:szCs w:val="28"/>
        </w:rPr>
      </w:pPr>
      <w:r>
        <w:rPr>
          <w:rFonts w:hint="eastAsia" w:ascii="宋体" w:hAnsi="宋体" w:eastAsia="宋体"/>
          <w:color w:val="auto"/>
          <w:kern w:val="2"/>
          <w:sz w:val="28"/>
          <w:szCs w:val="28"/>
        </w:rPr>
        <w:t>8.1.</w:t>
      </w:r>
      <w:r>
        <w:rPr>
          <w:rFonts w:ascii="宋体" w:hAnsi="宋体" w:eastAsia="宋体"/>
          <w:color w:val="auto"/>
          <w:kern w:val="2"/>
          <w:sz w:val="28"/>
          <w:szCs w:val="28"/>
        </w:rPr>
        <w:t>6</w:t>
      </w:r>
      <w:r>
        <w:rPr>
          <w:rFonts w:hint="eastAsia" w:ascii="宋体" w:hAnsi="宋体" w:eastAsia="宋体"/>
          <w:color w:val="auto"/>
          <w:kern w:val="2"/>
          <w:sz w:val="28"/>
          <w:szCs w:val="28"/>
        </w:rPr>
        <w:t>为乙方</w:t>
      </w:r>
      <w:r>
        <w:rPr>
          <w:rFonts w:eastAsia="宋体"/>
          <w:color w:val="auto"/>
          <w:kern w:val="2"/>
          <w:sz w:val="28"/>
          <w:szCs w:val="28"/>
        </w:rPr>
        <w:t>运输、安装、</w:t>
      </w:r>
      <w:r>
        <w:rPr>
          <w:rFonts w:hint="eastAsia" w:ascii="宋体" w:hAnsi="宋体" w:eastAsia="宋体"/>
          <w:color w:val="auto"/>
          <w:kern w:val="2"/>
          <w:sz w:val="28"/>
          <w:szCs w:val="28"/>
        </w:rPr>
        <w:t>维护、检测、修理项目设施和设备提供便利。</w:t>
      </w:r>
    </w:p>
    <w:p w14:paraId="3DF87FEC">
      <w:pPr>
        <w:widowControl w:val="0"/>
        <w:spacing w:after="60" w:line="360" w:lineRule="auto"/>
        <w:ind w:firstLine="560"/>
        <w:jc w:val="both"/>
        <w:rPr>
          <w:rFonts w:ascii="宋体" w:hAnsi="宋体" w:eastAsia="宋体"/>
          <w:color w:val="auto"/>
          <w:kern w:val="2"/>
          <w:sz w:val="28"/>
          <w:szCs w:val="28"/>
        </w:rPr>
      </w:pPr>
      <w:r>
        <w:rPr>
          <w:rFonts w:ascii="宋体" w:hAnsi="宋体" w:eastAsia="宋体"/>
          <w:color w:val="auto"/>
          <w:kern w:val="2"/>
          <w:sz w:val="28"/>
          <w:szCs w:val="28"/>
        </w:rPr>
        <w:t>8.1.7</w:t>
      </w:r>
      <w:r>
        <w:rPr>
          <w:rFonts w:ascii="Arial" w:hAnsi="Arial" w:eastAsia="宋体"/>
          <w:color w:val="auto"/>
          <w:kern w:val="2"/>
          <w:sz w:val="28"/>
          <w:szCs w:val="28"/>
          <w:shd w:val="clear" w:color="auto" w:fill="FFFFFF"/>
        </w:rPr>
        <w:t>在项目建设和节能效益分享期间，甲方如在乙方项目所在屋顶</w:t>
      </w:r>
      <w:r>
        <w:rPr>
          <w:rFonts w:hint="eastAsia" w:ascii="Arial" w:hAnsi="Arial" w:eastAsia="宋体"/>
          <w:color w:val="auto"/>
          <w:kern w:val="2"/>
          <w:sz w:val="28"/>
          <w:szCs w:val="28"/>
          <w:shd w:val="clear" w:color="auto" w:fill="FFFFFF"/>
        </w:rPr>
        <w:t>及场地</w:t>
      </w:r>
      <w:r>
        <w:rPr>
          <w:rFonts w:ascii="Arial" w:hAnsi="Arial" w:eastAsia="宋体"/>
          <w:color w:val="auto"/>
          <w:kern w:val="2"/>
          <w:sz w:val="28"/>
          <w:szCs w:val="28"/>
          <w:shd w:val="clear" w:color="auto" w:fill="FFFFFF"/>
        </w:rPr>
        <w:t>进行检查、维护</w:t>
      </w:r>
      <w:r>
        <w:rPr>
          <w:rFonts w:hint="eastAsia" w:ascii="Arial" w:hAnsi="Arial"/>
          <w:color w:val="auto"/>
          <w:kern w:val="2"/>
          <w:sz w:val="28"/>
          <w:szCs w:val="28"/>
          <w:shd w:val="clear" w:color="auto" w:fill="FFFFFF"/>
          <w:lang w:eastAsia="zh-CN"/>
        </w:rPr>
        <w:t>或其他</w:t>
      </w:r>
      <w:r>
        <w:rPr>
          <w:rFonts w:ascii="Arial" w:hAnsi="Arial" w:eastAsia="宋体"/>
          <w:color w:val="auto"/>
          <w:kern w:val="2"/>
          <w:sz w:val="28"/>
          <w:szCs w:val="28"/>
          <w:shd w:val="clear" w:color="auto" w:fill="FFFFFF"/>
        </w:rPr>
        <w:t>作业，须提前通知乙方，由乙方与甲方施工人员做好技术交底或监护后方可进行。甲方或其委托的第三方不得踩踏、坐卧、堆放器具杂物在组件或其他发电设施上，</w:t>
      </w:r>
      <w:r>
        <w:rPr>
          <w:rFonts w:hint="eastAsia" w:ascii="Arial" w:hAnsi="Arial" w:eastAsia="宋体"/>
          <w:color w:val="auto"/>
          <w:kern w:val="2"/>
          <w:sz w:val="28"/>
          <w:szCs w:val="28"/>
          <w:shd w:val="clear" w:color="auto" w:fill="FFFFFF"/>
        </w:rPr>
        <w:t>不得以任何方式损毁、妨碍发电设施的正常运转</w:t>
      </w:r>
      <w:r>
        <w:rPr>
          <w:rFonts w:hint="eastAsia" w:ascii="宋体" w:hAnsi="宋体" w:eastAsia="宋体"/>
          <w:color w:val="auto"/>
          <w:kern w:val="2"/>
          <w:sz w:val="28"/>
          <w:szCs w:val="28"/>
        </w:rPr>
        <w:t>。</w:t>
      </w:r>
    </w:p>
    <w:p w14:paraId="75E347F2">
      <w:pPr>
        <w:widowControl w:val="0"/>
        <w:spacing w:after="60" w:line="360" w:lineRule="auto"/>
        <w:ind w:firstLine="560"/>
        <w:jc w:val="both"/>
        <w:rPr>
          <w:rFonts w:hint="default" w:ascii="宋体" w:hAnsi="宋体" w:eastAsia="宋体"/>
          <w:color w:val="auto"/>
          <w:kern w:val="2"/>
          <w:sz w:val="28"/>
          <w:szCs w:val="28"/>
          <w:lang w:val="en-US" w:eastAsia="zh-CN"/>
        </w:rPr>
      </w:pPr>
      <w:r>
        <w:rPr>
          <w:rFonts w:hint="eastAsia" w:ascii="宋体" w:hAnsi="宋体" w:eastAsia="宋体"/>
          <w:color w:val="auto"/>
          <w:kern w:val="2"/>
          <w:sz w:val="28"/>
          <w:szCs w:val="28"/>
        </w:rPr>
        <w:t>8.1.</w:t>
      </w:r>
      <w:r>
        <w:rPr>
          <w:rFonts w:ascii="宋体" w:hAnsi="宋体" w:eastAsia="宋体"/>
          <w:color w:val="auto"/>
          <w:kern w:val="2"/>
          <w:sz w:val="28"/>
          <w:szCs w:val="28"/>
        </w:rPr>
        <w:t>8</w:t>
      </w:r>
      <w:r>
        <w:rPr>
          <w:rFonts w:hint="eastAsia" w:ascii="宋体" w:hAnsi="宋体" w:eastAsia="宋体"/>
          <w:color w:val="auto"/>
          <w:kern w:val="2"/>
          <w:sz w:val="28"/>
          <w:szCs w:val="28"/>
          <w:lang w:val="en-US" w:eastAsia="zh-CN"/>
        </w:rPr>
        <w:t>本项目甲方使用的光伏发电产生的</w:t>
      </w:r>
      <w:r>
        <w:rPr>
          <w:rFonts w:hint="eastAsia" w:ascii="宋体" w:hAnsi="宋体" w:eastAsia="宋体"/>
          <w:color w:val="auto"/>
          <w:kern w:val="2"/>
          <w:sz w:val="28"/>
          <w:szCs w:val="28"/>
        </w:rPr>
        <w:t>碳排放指标归甲方所有。</w:t>
      </w:r>
    </w:p>
    <w:p w14:paraId="7E4C6361">
      <w:pPr>
        <w:widowControl w:val="0"/>
        <w:spacing w:after="60" w:line="360" w:lineRule="auto"/>
        <w:ind w:firstLine="560"/>
        <w:jc w:val="both"/>
        <w:rPr>
          <w:rFonts w:ascii="宋体" w:hAnsi="宋体" w:eastAsia="宋体"/>
          <w:color w:val="auto"/>
          <w:kern w:val="2"/>
          <w:sz w:val="28"/>
          <w:szCs w:val="28"/>
        </w:rPr>
      </w:pPr>
      <w:r>
        <w:rPr>
          <w:rFonts w:hint="eastAsia" w:ascii="宋体" w:hAnsi="宋体" w:eastAsia="宋体"/>
          <w:color w:val="auto"/>
          <w:kern w:val="2"/>
          <w:sz w:val="28"/>
          <w:szCs w:val="28"/>
        </w:rPr>
        <w:t>8.1.</w:t>
      </w:r>
      <w:r>
        <w:rPr>
          <w:rFonts w:ascii="宋体" w:hAnsi="宋体" w:eastAsia="宋体"/>
          <w:color w:val="auto"/>
          <w:kern w:val="2"/>
          <w:sz w:val="28"/>
          <w:szCs w:val="28"/>
        </w:rPr>
        <w:t>9</w:t>
      </w:r>
      <w:r>
        <w:rPr>
          <w:rFonts w:hint="eastAsia" w:ascii="宋体" w:hAnsi="宋体" w:eastAsia="宋体"/>
          <w:color w:val="auto"/>
          <w:kern w:val="2"/>
          <w:sz w:val="28"/>
          <w:szCs w:val="28"/>
        </w:rPr>
        <w:t>甲方应对本项目全部设计资料承担保密义务。</w:t>
      </w:r>
    </w:p>
    <w:p w14:paraId="41C281D8">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8.2</w:t>
      </w:r>
      <w:r>
        <w:rPr>
          <w:rFonts w:hint="eastAsia" w:ascii="Arial" w:hAnsi="Arial" w:eastAsia="宋体"/>
          <w:color w:val="auto"/>
          <w:sz w:val="28"/>
          <w:szCs w:val="28"/>
        </w:rPr>
        <w:t>乙方权利义务</w:t>
      </w:r>
    </w:p>
    <w:p w14:paraId="4C714C4A">
      <w:pPr>
        <w:widowControl w:val="0"/>
        <w:spacing w:after="60" w:line="360" w:lineRule="auto"/>
        <w:ind w:firstLine="560"/>
        <w:jc w:val="both"/>
        <w:rPr>
          <w:rFonts w:ascii="Arial" w:hAnsi="Arial" w:eastAsia="宋体"/>
          <w:color w:val="auto"/>
          <w:kern w:val="2"/>
          <w:sz w:val="28"/>
          <w:szCs w:val="28"/>
        </w:rPr>
      </w:pPr>
      <w:r>
        <w:rPr>
          <w:rFonts w:hint="eastAsia" w:ascii="宋体" w:hAnsi="宋体" w:eastAsia="宋体"/>
          <w:color w:val="auto"/>
          <w:kern w:val="2"/>
          <w:sz w:val="28"/>
          <w:szCs w:val="28"/>
        </w:rPr>
        <w:t>8.2.1</w:t>
      </w:r>
      <w:r>
        <w:rPr>
          <w:rFonts w:hint="eastAsia" w:ascii="Arial" w:hAnsi="Arial" w:eastAsia="宋体"/>
          <w:color w:val="auto"/>
          <w:kern w:val="2"/>
          <w:sz w:val="28"/>
          <w:szCs w:val="28"/>
        </w:rPr>
        <w:t>乙方委派与本项目有关的工程管理人员时，将其基本情况（姓名、联系方式、专业、职务等）书面通知甲方，以便甲方及时接洽。</w:t>
      </w:r>
    </w:p>
    <w:p w14:paraId="42AD64D5">
      <w:pPr>
        <w:widowControl w:val="0"/>
        <w:spacing w:after="60" w:line="360" w:lineRule="auto"/>
        <w:ind w:firstLine="560"/>
        <w:jc w:val="both"/>
        <w:rPr>
          <w:rFonts w:ascii="Arial" w:hAnsi="Arial" w:eastAsia="宋体"/>
          <w:color w:val="auto"/>
          <w:kern w:val="2"/>
          <w:sz w:val="28"/>
          <w:szCs w:val="28"/>
        </w:rPr>
      </w:pPr>
      <w:r>
        <w:rPr>
          <w:rFonts w:hint="eastAsia" w:ascii="宋体" w:hAnsi="宋体" w:eastAsia="宋体"/>
          <w:color w:val="auto"/>
          <w:kern w:val="2"/>
          <w:sz w:val="28"/>
          <w:szCs w:val="28"/>
        </w:rPr>
        <w:t>8.2.2</w:t>
      </w:r>
      <w:r>
        <w:rPr>
          <w:rFonts w:hint="eastAsia" w:ascii="Arial" w:hAnsi="Arial" w:eastAsia="宋体"/>
          <w:color w:val="auto"/>
          <w:kern w:val="2"/>
          <w:sz w:val="28"/>
          <w:szCs w:val="28"/>
        </w:rPr>
        <w:t>在开工前15个工作日内，将节能项目设计、施工方案及工期进度表提交给甲方，经甲方确认后才能予以实施。</w:t>
      </w:r>
    </w:p>
    <w:p w14:paraId="4B0AB2D6">
      <w:pPr>
        <w:widowControl w:val="0"/>
        <w:spacing w:after="60" w:line="360" w:lineRule="auto"/>
        <w:ind w:firstLine="560"/>
        <w:jc w:val="both"/>
        <w:rPr>
          <w:rFonts w:ascii="Arial" w:hAnsi="Arial" w:eastAsia="宋体"/>
          <w:color w:val="auto"/>
          <w:kern w:val="2"/>
          <w:sz w:val="28"/>
          <w:szCs w:val="28"/>
        </w:rPr>
      </w:pPr>
      <w:r>
        <w:rPr>
          <w:rFonts w:hint="eastAsia" w:ascii="宋体" w:hAnsi="宋体" w:eastAsia="宋体"/>
          <w:color w:val="auto"/>
          <w:kern w:val="2"/>
          <w:sz w:val="28"/>
          <w:szCs w:val="28"/>
        </w:rPr>
        <w:t>8.2.3</w:t>
      </w:r>
      <w:r>
        <w:rPr>
          <w:rFonts w:hint="eastAsia" w:ascii="Arial" w:hAnsi="Arial" w:eastAsia="宋体"/>
          <w:color w:val="auto"/>
          <w:kern w:val="2"/>
          <w:sz w:val="28"/>
          <w:szCs w:val="28"/>
        </w:rPr>
        <w:t>节能项目施工建设和运营过程中因乙方原因对甲方或第三方人身、财产造成的伤害、损坏或破坏，所有责任和赔偿由乙方负责。如甲方现行承担该费用的，甲方有权向乙方进行追偿。</w:t>
      </w:r>
    </w:p>
    <w:p w14:paraId="054707FC">
      <w:pPr>
        <w:widowControl w:val="0"/>
        <w:spacing w:after="60" w:line="360" w:lineRule="auto"/>
        <w:ind w:firstLine="560"/>
        <w:jc w:val="both"/>
        <w:rPr>
          <w:rFonts w:ascii="Arial" w:hAnsi="Arial" w:eastAsia="宋体"/>
          <w:color w:val="auto"/>
          <w:kern w:val="2"/>
          <w:sz w:val="28"/>
          <w:szCs w:val="28"/>
        </w:rPr>
      </w:pPr>
      <w:r>
        <w:rPr>
          <w:rFonts w:hint="eastAsia" w:ascii="宋体" w:hAnsi="宋体" w:eastAsia="宋体"/>
          <w:color w:val="auto"/>
          <w:kern w:val="2"/>
          <w:sz w:val="28"/>
          <w:szCs w:val="28"/>
        </w:rPr>
        <w:t>8.2.</w:t>
      </w:r>
      <w:r>
        <w:rPr>
          <w:rFonts w:ascii="宋体" w:hAnsi="宋体" w:eastAsia="宋体"/>
          <w:color w:val="auto"/>
          <w:kern w:val="2"/>
          <w:sz w:val="28"/>
          <w:szCs w:val="28"/>
        </w:rPr>
        <w:t>4</w:t>
      </w:r>
      <w:r>
        <w:rPr>
          <w:rFonts w:hint="eastAsia" w:ascii="Arial" w:hAnsi="Arial" w:eastAsia="宋体"/>
          <w:color w:val="auto"/>
          <w:kern w:val="2"/>
          <w:sz w:val="28"/>
          <w:szCs w:val="28"/>
        </w:rPr>
        <w:t>确保节能项目正常运行，达到预期节能目标。</w:t>
      </w:r>
    </w:p>
    <w:p w14:paraId="4557992D">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5</w:t>
      </w:r>
      <w:r>
        <w:rPr>
          <w:rFonts w:ascii="宋体" w:hAnsi="宋体" w:eastAsia="宋体" w:cs="宋体"/>
          <w:color w:val="auto"/>
          <w:kern w:val="0"/>
          <w:sz w:val="28"/>
          <w:szCs w:val="28"/>
          <w:lang w:val="zh-TW" w:eastAsia="zh-TW"/>
        </w:rPr>
        <w:t>乙方应按照项目方案文件规定的技术标准和要求以及本合同的规定，聘请有国家认可资质的设计单位按时完成本项目的方案设计，并按设计方案按期完成项目建设。</w:t>
      </w:r>
      <w:r>
        <w:rPr>
          <w:rFonts w:hint="eastAsia" w:ascii="宋体" w:hAnsi="宋体" w:eastAsia="宋体" w:cs="宋体"/>
          <w:color w:val="auto"/>
          <w:kern w:val="0"/>
          <w:sz w:val="28"/>
          <w:szCs w:val="28"/>
          <w:lang w:val="zh-TW" w:eastAsia="zh-TW"/>
        </w:rPr>
        <w:t>项目开工前</w:t>
      </w:r>
      <w:r>
        <w:rPr>
          <w:rFonts w:ascii="宋体" w:hAnsi="宋体" w:eastAsia="宋体" w:cs="宋体"/>
          <w:color w:val="auto"/>
          <w:kern w:val="0"/>
          <w:sz w:val="28"/>
          <w:szCs w:val="28"/>
          <w:lang w:val="zh-TW" w:eastAsia="zh-TW"/>
        </w:rPr>
        <w:t>15</w:t>
      </w:r>
      <w:r>
        <w:rPr>
          <w:rFonts w:hint="eastAsia" w:ascii="宋体" w:hAnsi="宋体" w:eastAsia="宋体" w:cs="宋体"/>
          <w:color w:val="auto"/>
          <w:kern w:val="0"/>
          <w:sz w:val="28"/>
          <w:szCs w:val="28"/>
          <w:lang w:val="zh-TW" w:eastAsia="zh-TW"/>
        </w:rPr>
        <w:t>个工作日内，乙方应向甲方提供项目建设设计方案，制定详细的设计、建设及并网方案及需要甲方配合的措施，同时应全面考虑逆变器布置方式、电缆走向、人行检修步道设置等，符合厂区情况、满足项目和运维需求。项目</w:t>
      </w:r>
      <w:r>
        <w:rPr>
          <w:rFonts w:hint="eastAsia" w:ascii="宋体" w:hAnsi="宋体" w:eastAsia="宋体" w:cs="宋体"/>
          <w:color w:val="auto"/>
          <w:kern w:val="0"/>
          <w:sz w:val="28"/>
          <w:szCs w:val="28"/>
        </w:rPr>
        <w:t>设计</w:t>
      </w:r>
      <w:r>
        <w:rPr>
          <w:rFonts w:hint="eastAsia" w:ascii="宋体" w:hAnsi="宋体" w:eastAsia="宋体" w:cs="宋体"/>
          <w:color w:val="auto"/>
          <w:kern w:val="0"/>
          <w:sz w:val="28"/>
          <w:szCs w:val="28"/>
          <w:lang w:val="zh-TW" w:eastAsia="zh-TW"/>
        </w:rPr>
        <w:t>方案除双方另行同意修改之外，不得修改。</w:t>
      </w:r>
    </w:p>
    <w:p w14:paraId="5E44F14A">
      <w:pPr>
        <w:widowControl w:val="0"/>
        <w:spacing w:after="60" w:line="360" w:lineRule="auto"/>
        <w:ind w:firstLine="560" w:firstLineChars="200"/>
        <w:jc w:val="both"/>
        <w:rPr>
          <w:rFonts w:ascii="Arial" w:hAnsi="Arial" w:eastAsia="宋体"/>
          <w:color w:val="auto"/>
          <w:kern w:val="2"/>
          <w:sz w:val="28"/>
          <w:szCs w:val="28"/>
        </w:rPr>
      </w:pPr>
      <w:r>
        <w:rPr>
          <w:rFonts w:hint="eastAsia" w:ascii="宋体" w:hAnsi="宋体" w:eastAsia="宋体"/>
          <w:color w:val="auto"/>
          <w:kern w:val="2"/>
          <w:sz w:val="28"/>
          <w:szCs w:val="28"/>
        </w:rPr>
        <w:t>8.2.</w:t>
      </w:r>
      <w:r>
        <w:rPr>
          <w:rFonts w:ascii="宋体" w:hAnsi="宋体" w:eastAsia="宋体"/>
          <w:color w:val="auto"/>
          <w:kern w:val="2"/>
          <w:sz w:val="28"/>
          <w:szCs w:val="28"/>
        </w:rPr>
        <w:t>6</w:t>
      </w:r>
      <w:r>
        <w:rPr>
          <w:rFonts w:hint="eastAsia" w:ascii="Arial" w:hAnsi="Arial" w:eastAsia="宋体"/>
          <w:color w:val="auto"/>
          <w:kern w:val="2"/>
          <w:sz w:val="28"/>
          <w:szCs w:val="28"/>
        </w:rPr>
        <w:t>定期检修，确保系统安全、稳定、可靠运行，定期派人检查、监管和记录项目的运行情况，并定期汇总提供给甲方。</w:t>
      </w:r>
    </w:p>
    <w:p w14:paraId="51201A07">
      <w:pPr>
        <w:widowControl w:val="0"/>
        <w:spacing w:after="60" w:line="360" w:lineRule="auto"/>
        <w:ind w:firstLine="560"/>
        <w:jc w:val="both"/>
        <w:rPr>
          <w:rFonts w:ascii="Arial" w:hAnsi="Arial" w:eastAsia="宋体"/>
          <w:color w:val="auto"/>
          <w:kern w:val="2"/>
          <w:sz w:val="28"/>
          <w:szCs w:val="28"/>
        </w:rPr>
      </w:pPr>
      <w:r>
        <w:rPr>
          <w:rFonts w:hint="eastAsia" w:ascii="宋体" w:hAnsi="宋体" w:eastAsia="宋体"/>
          <w:color w:val="auto"/>
          <w:kern w:val="2"/>
          <w:sz w:val="28"/>
          <w:szCs w:val="28"/>
        </w:rPr>
        <w:t>8.2.</w:t>
      </w:r>
      <w:r>
        <w:rPr>
          <w:rFonts w:ascii="宋体" w:hAnsi="宋体" w:eastAsia="宋体"/>
          <w:color w:val="auto"/>
          <w:kern w:val="2"/>
          <w:sz w:val="28"/>
          <w:szCs w:val="28"/>
        </w:rPr>
        <w:t>7</w:t>
      </w:r>
      <w:r>
        <w:rPr>
          <w:rFonts w:hint="eastAsia" w:ascii="Arial" w:hAnsi="Arial" w:eastAsia="宋体"/>
          <w:color w:val="auto"/>
          <w:kern w:val="2"/>
          <w:sz w:val="28"/>
          <w:szCs w:val="28"/>
        </w:rPr>
        <w:t>乙方承诺对节能设备提供节能效益分享期内维修保养服务，并由乙方承担维修保养费用。</w:t>
      </w:r>
    </w:p>
    <w:p w14:paraId="127C28DA">
      <w:pPr>
        <w:widowControl w:val="0"/>
        <w:spacing w:after="60" w:line="360" w:lineRule="auto"/>
        <w:ind w:firstLine="560" w:firstLineChars="200"/>
        <w:jc w:val="both"/>
        <w:rPr>
          <w:rFonts w:ascii="Arial" w:hAnsi="Arial" w:eastAsia="宋体"/>
          <w:color w:val="auto"/>
          <w:kern w:val="2"/>
          <w:sz w:val="28"/>
          <w:szCs w:val="28"/>
        </w:rPr>
      </w:pPr>
      <w:r>
        <w:rPr>
          <w:rFonts w:hint="eastAsia" w:ascii="宋体" w:hAnsi="宋体" w:eastAsia="宋体"/>
          <w:color w:val="auto"/>
          <w:kern w:val="2"/>
          <w:sz w:val="28"/>
          <w:szCs w:val="28"/>
        </w:rPr>
        <w:t>8.2.</w:t>
      </w:r>
      <w:r>
        <w:rPr>
          <w:rFonts w:ascii="宋体" w:hAnsi="宋体" w:eastAsia="宋体"/>
          <w:color w:val="auto"/>
          <w:kern w:val="2"/>
          <w:sz w:val="28"/>
          <w:szCs w:val="28"/>
        </w:rPr>
        <w:t>8</w:t>
      </w:r>
      <w:r>
        <w:rPr>
          <w:rFonts w:hint="eastAsia" w:ascii="Arial" w:hAnsi="Arial" w:eastAsia="宋体"/>
          <w:color w:val="auto"/>
          <w:kern w:val="2"/>
          <w:sz w:val="28"/>
          <w:szCs w:val="28"/>
        </w:rPr>
        <w:t>在电站施工前由甲乙双方确认屋面状况，建设期间施工区域内因乙方原因导致出现漏雨等损坏现象的由乙方负责维修，运营期间光伏组件及其配套系统覆盖范围内的屋面由乙方承担日常养护及日常损坏维修，以上费用由乙方承担。</w:t>
      </w:r>
    </w:p>
    <w:p w14:paraId="0D76319E">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9</w:t>
      </w:r>
      <w:r>
        <w:rPr>
          <w:rFonts w:ascii="宋体" w:hAnsi="宋体" w:eastAsia="宋体" w:cs="宋体"/>
          <w:color w:val="auto"/>
          <w:kern w:val="0"/>
          <w:sz w:val="28"/>
          <w:szCs w:val="28"/>
          <w:lang w:val="zh-TW" w:eastAsia="zh-TW"/>
        </w:rPr>
        <w:t>乙方应当确保其工作人员和其聘请的第三方严格遵守甲方有关施工场地安全和卫生等方面的规定，并听从甲方合理的现场指挥。</w:t>
      </w:r>
    </w:p>
    <w:p w14:paraId="05B3890F">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10</w:t>
      </w:r>
      <w:r>
        <w:rPr>
          <w:rFonts w:ascii="宋体" w:hAnsi="宋体" w:eastAsia="宋体" w:cs="宋体"/>
          <w:color w:val="auto"/>
          <w:kern w:val="0"/>
          <w:sz w:val="28"/>
          <w:szCs w:val="28"/>
          <w:lang w:val="zh-TW" w:eastAsia="zh-TW"/>
        </w:rPr>
        <w:t>乙方应免费对甲方指派的操作人员进行必要的培训，以使其能够配合乙方对节能量进行抄录和验证。</w:t>
      </w:r>
    </w:p>
    <w:p w14:paraId="5FBA531E">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11</w:t>
      </w:r>
      <w:r>
        <w:rPr>
          <w:rFonts w:ascii="宋体" w:hAnsi="宋体" w:eastAsia="宋体" w:cs="宋体"/>
          <w:color w:val="auto"/>
          <w:kern w:val="0"/>
          <w:sz w:val="28"/>
          <w:szCs w:val="28"/>
          <w:lang w:val="zh-TW" w:eastAsia="zh-TW"/>
        </w:rPr>
        <w:t>设备的安装和调试应符合国家、行业或企业有关施工管理条例和与项目相对应的技术标准规范要求以及甲方合理的施工、管理要求。</w:t>
      </w:r>
    </w:p>
    <w:p w14:paraId="7064FFDB">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12</w:t>
      </w:r>
      <w:r>
        <w:rPr>
          <w:color w:val="auto"/>
          <w:kern w:val="0"/>
          <w:sz w:val="28"/>
          <w:szCs w:val="28"/>
        </w:rPr>
        <w:t xml:space="preserve"> </w:t>
      </w:r>
      <w:r>
        <w:rPr>
          <w:rFonts w:ascii="宋体" w:hAnsi="宋体" w:eastAsia="宋体" w:cs="宋体"/>
          <w:color w:val="auto"/>
          <w:kern w:val="0"/>
          <w:sz w:val="28"/>
          <w:szCs w:val="28"/>
          <w:lang w:val="zh-TW" w:eastAsia="zh-TW"/>
        </w:rPr>
        <w:t>在接到甲方关于项目运行故障的通知之后，乙方应及时完成相关维修或设备更换。</w:t>
      </w:r>
    </w:p>
    <w:p w14:paraId="715665D2">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13</w:t>
      </w:r>
      <w:r>
        <w:rPr>
          <w:rFonts w:ascii="宋体" w:hAnsi="宋体" w:eastAsia="宋体" w:cs="宋体"/>
          <w:color w:val="auto"/>
          <w:kern w:val="0"/>
          <w:sz w:val="28"/>
          <w:szCs w:val="28"/>
          <w:lang w:val="zh-TW" w:eastAsia="zh-TW"/>
        </w:rPr>
        <w:t>项目建成后应建立健全项目运行维护管理制度，并严格执行。</w:t>
      </w:r>
    </w:p>
    <w:p w14:paraId="463A7AFB">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14</w:t>
      </w:r>
      <w:r>
        <w:rPr>
          <w:rFonts w:ascii="宋体" w:hAnsi="宋体" w:eastAsia="宋体" w:cs="宋体"/>
          <w:color w:val="auto"/>
          <w:kern w:val="0"/>
          <w:sz w:val="28"/>
          <w:szCs w:val="28"/>
          <w:lang w:val="zh-TW" w:eastAsia="zh-TW"/>
        </w:rPr>
        <w:t>乙方应当确保其工作人员或者其聘请的第三方在项目实施、运行的整个过程中遵守相关法律法规，以及甲方的相关规章制度。</w:t>
      </w:r>
    </w:p>
    <w:p w14:paraId="1973BEC2">
      <w:pPr>
        <w:pStyle w:val="103"/>
        <w:spacing w:line="276" w:lineRule="auto"/>
        <w:ind w:firstLine="560" w:firstLineChars="200"/>
        <w:rPr>
          <w:rFonts w:eastAsia="PMingLiU"/>
          <w:color w:val="0033CC"/>
          <w:kern w:val="0"/>
          <w:sz w:val="28"/>
          <w:szCs w:val="28"/>
          <w:lang w:eastAsia="zh-TW"/>
        </w:rPr>
      </w:pPr>
      <w:r>
        <w:rPr>
          <w:rFonts w:hint="eastAsia" w:ascii="宋体" w:hAnsi="宋体" w:eastAsia="宋体"/>
          <w:color w:val="auto"/>
          <w:sz w:val="28"/>
          <w:szCs w:val="28"/>
        </w:rPr>
        <w:t>8.2.</w:t>
      </w:r>
      <w:r>
        <w:rPr>
          <w:rFonts w:ascii="宋体" w:hAnsi="宋体" w:eastAsia="宋体"/>
          <w:color w:val="auto"/>
          <w:sz w:val="28"/>
          <w:szCs w:val="28"/>
        </w:rPr>
        <w:t>15</w:t>
      </w:r>
      <w:r>
        <w:rPr>
          <w:rFonts w:ascii="宋体" w:hAnsi="宋体" w:eastAsia="宋体" w:cs="宋体"/>
          <w:color w:val="auto"/>
          <w:kern w:val="0"/>
          <w:sz w:val="28"/>
          <w:szCs w:val="28"/>
          <w:lang w:val="zh-TW" w:eastAsia="zh-TW"/>
        </w:rPr>
        <w:t>乙方在项目的施工以及建成后的运营维护中，因乙方原因造成所使用建筑物、设备损坏以及人身伤害时，乙方应负责进行修复、赔偿，所发生费用由乙方承担</w:t>
      </w:r>
      <w:r>
        <w:rPr>
          <w:rFonts w:hint="eastAsia" w:cs="宋体" w:asciiTheme="minorEastAsia" w:hAnsiTheme="minorEastAsia"/>
          <w:color w:val="auto"/>
          <w:kern w:val="0"/>
          <w:sz w:val="28"/>
          <w:szCs w:val="28"/>
          <w:lang w:val="zh-TW" w:eastAsia="zh-TW"/>
        </w:rPr>
        <w:t>。乙方在项目的施工以及建成后的运营维护中，乙方人员的自身安全责任由乙方承担，出现任何安全事故造成人员财产伤害和损失，均由乙方赔偿，乙方保证不会出现人员聚集、闹事等情况影响甲方正常经营，否则一切后果和损失由乙方承担。</w:t>
      </w:r>
    </w:p>
    <w:p w14:paraId="6BE49355">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16</w:t>
      </w:r>
      <w:r>
        <w:rPr>
          <w:rFonts w:ascii="宋体" w:hAnsi="宋体" w:eastAsia="宋体" w:cs="宋体"/>
          <w:color w:val="auto"/>
          <w:kern w:val="0"/>
          <w:sz w:val="28"/>
          <w:szCs w:val="28"/>
          <w:lang w:val="zh-TW" w:eastAsia="zh-TW"/>
        </w:rPr>
        <w:t>系统的接入性能应满足国网公司</w:t>
      </w:r>
      <w:r>
        <w:rPr>
          <w:rFonts w:hint="eastAsia"/>
          <w:color w:val="auto"/>
          <w:kern w:val="0"/>
          <w:sz w:val="28"/>
          <w:szCs w:val="28"/>
        </w:rPr>
        <w:t>现行</w:t>
      </w:r>
      <w:r>
        <w:rPr>
          <w:rFonts w:ascii="宋体" w:hAnsi="宋体" w:eastAsia="宋体" w:cs="宋体"/>
          <w:color w:val="auto"/>
          <w:kern w:val="0"/>
          <w:sz w:val="28"/>
          <w:szCs w:val="28"/>
          <w:lang w:val="zh-TW" w:eastAsia="zh-TW"/>
        </w:rPr>
        <w:t>的《国家电网公司光伏电站接入电网技术规定》要求，保证</w:t>
      </w:r>
      <w:r>
        <w:rPr>
          <w:rFonts w:hint="eastAsia" w:ascii="宋体" w:hAnsi="宋体" w:eastAsia="宋体" w:cs="宋体"/>
          <w:color w:val="auto"/>
          <w:kern w:val="0"/>
          <w:sz w:val="28"/>
          <w:szCs w:val="28"/>
          <w:lang w:val="zh-TW" w:eastAsia="zh-TW"/>
        </w:rPr>
        <w:t>不因光伏系统运行影响</w:t>
      </w:r>
      <w:r>
        <w:rPr>
          <w:rFonts w:ascii="宋体" w:hAnsi="宋体" w:eastAsia="宋体" w:cs="宋体"/>
          <w:color w:val="auto"/>
          <w:kern w:val="0"/>
          <w:sz w:val="28"/>
          <w:szCs w:val="28"/>
          <w:lang w:val="zh-TW" w:eastAsia="zh-TW"/>
        </w:rPr>
        <w:t>甲方用户侧电气设备的安全运行；系统应设置足够的防雷设施，防止雷电感应及雷电波侵入对用户侧电气设备造成危害。</w:t>
      </w:r>
    </w:p>
    <w:p w14:paraId="57F1EF21">
      <w:pPr>
        <w:pStyle w:val="103"/>
        <w:spacing w:line="276" w:lineRule="auto"/>
        <w:ind w:firstLine="560" w:firstLineChars="200"/>
        <w:rPr>
          <w:rFonts w:eastAsia="PMingLiU"/>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17</w:t>
      </w:r>
      <w:r>
        <w:rPr>
          <w:color w:val="auto"/>
          <w:kern w:val="0"/>
          <w:sz w:val="28"/>
          <w:szCs w:val="28"/>
        </w:rPr>
        <w:t xml:space="preserve"> </w:t>
      </w:r>
      <w:r>
        <w:rPr>
          <w:rFonts w:ascii="宋体" w:hAnsi="宋体" w:eastAsia="宋体" w:cs="宋体"/>
          <w:color w:val="auto"/>
          <w:kern w:val="0"/>
          <w:sz w:val="28"/>
          <w:szCs w:val="28"/>
          <w:lang w:val="zh-TW" w:eastAsia="zh-TW"/>
        </w:rPr>
        <w:t>乙方应保证与项目相关的设备、设施的运行符合国家法律法规及产业政策要求，保证与项目相关的设备、设施连续稳定运行且运行状况良好。</w:t>
      </w:r>
    </w:p>
    <w:p w14:paraId="5ADEADB2">
      <w:pPr>
        <w:pStyle w:val="103"/>
        <w:spacing w:line="276" w:lineRule="auto"/>
        <w:ind w:firstLine="560" w:firstLineChars="200"/>
        <w:rPr>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18</w:t>
      </w:r>
      <w:r>
        <w:rPr>
          <w:rFonts w:ascii="宋体" w:hAnsi="宋体" w:eastAsia="宋体" w:cs="宋体"/>
          <w:color w:val="auto"/>
          <w:kern w:val="0"/>
          <w:sz w:val="28"/>
          <w:szCs w:val="28"/>
          <w:lang w:val="zh-TW" w:eastAsia="zh-TW"/>
        </w:rPr>
        <w:t>乙方项目安装调试人员、日常维护管理和运营人员等各种乙方人员，未经甲方允许，不得进入甲方厂房，更不得进入非乙方系统和生产设备所在的厂区。</w:t>
      </w:r>
    </w:p>
    <w:p w14:paraId="65E53D64">
      <w:pPr>
        <w:pStyle w:val="103"/>
        <w:spacing w:line="276" w:lineRule="auto"/>
        <w:ind w:firstLine="560" w:firstLineChars="200"/>
        <w:rPr>
          <w:rFonts w:ascii="宋体" w:hAnsi="宋体" w:eastAsia="宋体" w:cs="宋体"/>
          <w:color w:val="auto"/>
          <w:kern w:val="0"/>
          <w:sz w:val="28"/>
          <w:szCs w:val="28"/>
          <w:lang w:val="zh-TW" w:eastAsia="zh-TW"/>
        </w:rPr>
      </w:pPr>
      <w:r>
        <w:rPr>
          <w:rFonts w:hint="eastAsia" w:ascii="宋体" w:hAnsi="宋体" w:eastAsia="宋体"/>
          <w:color w:val="auto"/>
          <w:sz w:val="28"/>
          <w:szCs w:val="28"/>
        </w:rPr>
        <w:t>8.2.</w:t>
      </w:r>
      <w:r>
        <w:rPr>
          <w:rFonts w:ascii="宋体" w:hAnsi="宋体" w:eastAsia="宋体"/>
          <w:color w:val="auto"/>
          <w:sz w:val="28"/>
          <w:szCs w:val="28"/>
        </w:rPr>
        <w:t>19</w:t>
      </w:r>
      <w:r>
        <w:rPr>
          <w:rFonts w:hint="eastAsia" w:ascii="宋体" w:hAnsi="宋体" w:eastAsia="宋体" w:cs="宋体"/>
          <w:color w:val="auto"/>
          <w:kern w:val="0"/>
          <w:sz w:val="28"/>
          <w:szCs w:val="28"/>
        </w:rPr>
        <w:t>项目建设过程中，乙方应做好施工管理，加固时间、加固方式均应与甲方确认后落实，不得影响甲方正常的生产活动，如因生产活动导致加固工事延迟造成的损失由乙方自行承担。如施工过程中乙方有违反设计方案、施工规范的违章行为甲方或相关方有权中断乙方的施工并责令其整改。如造成建筑物安全隐患不能彻底消除的乙方需对造成的一切损失负责直至合同解除。</w:t>
      </w:r>
    </w:p>
    <w:p w14:paraId="6E13C90E">
      <w:pPr>
        <w:pStyle w:val="103"/>
        <w:spacing w:line="276" w:lineRule="auto"/>
        <w:ind w:firstLine="560" w:firstLineChars="200"/>
        <w:rPr>
          <w:rFonts w:ascii="宋体" w:hAnsi="宋体" w:eastAsia="宋体" w:cs="宋体"/>
          <w:color w:val="auto"/>
          <w:kern w:val="0"/>
          <w:sz w:val="28"/>
          <w:szCs w:val="28"/>
          <w:lang w:val="zh-TW" w:eastAsia="zh-TW"/>
        </w:rPr>
      </w:pPr>
      <w:r>
        <w:rPr>
          <w:rFonts w:hint="eastAsia" w:ascii="宋体" w:hAnsi="宋体" w:eastAsia="宋体"/>
          <w:color w:val="auto"/>
          <w:sz w:val="28"/>
          <w:szCs w:val="28"/>
        </w:rPr>
        <w:t>8.2.</w:t>
      </w:r>
      <w:r>
        <w:rPr>
          <w:rFonts w:ascii="宋体" w:hAnsi="宋体" w:eastAsia="宋体"/>
          <w:color w:val="auto"/>
          <w:sz w:val="28"/>
          <w:szCs w:val="28"/>
        </w:rPr>
        <w:t>20</w:t>
      </w:r>
      <w:r>
        <w:rPr>
          <w:rFonts w:hint="eastAsia" w:ascii="宋体" w:hAnsi="宋体" w:eastAsia="宋体" w:cs="宋体"/>
          <w:color w:val="auto"/>
          <w:kern w:val="0"/>
          <w:sz w:val="28"/>
          <w:szCs w:val="28"/>
          <w:lang w:val="zh-TW" w:eastAsia="zh-TW"/>
        </w:rPr>
        <w:t>建设期间和运营期内乙方应派驻符合国家法律法规规定的管理人员驻场维护。</w:t>
      </w:r>
    </w:p>
    <w:p w14:paraId="0FE6279F">
      <w:pPr>
        <w:pStyle w:val="103"/>
        <w:spacing w:line="276" w:lineRule="auto"/>
        <w:ind w:firstLine="560" w:firstLineChars="200"/>
        <w:rPr>
          <w:rFonts w:ascii="宋体" w:hAnsi="宋体" w:eastAsia="宋体" w:cs="宋体"/>
          <w:color w:val="auto"/>
          <w:kern w:val="0"/>
          <w:sz w:val="28"/>
          <w:szCs w:val="28"/>
        </w:rPr>
      </w:pPr>
      <w:r>
        <w:rPr>
          <w:rFonts w:hint="eastAsia" w:ascii="宋体" w:hAnsi="宋体" w:eastAsia="宋体"/>
          <w:color w:val="auto"/>
          <w:sz w:val="28"/>
          <w:szCs w:val="28"/>
        </w:rPr>
        <w:t>8.2.</w:t>
      </w:r>
      <w:r>
        <w:rPr>
          <w:rFonts w:ascii="宋体" w:hAnsi="宋体" w:eastAsia="宋体"/>
          <w:color w:val="auto"/>
          <w:sz w:val="28"/>
          <w:szCs w:val="28"/>
        </w:rPr>
        <w:t>21</w:t>
      </w:r>
      <w:r>
        <w:rPr>
          <w:rFonts w:hint="eastAsia" w:ascii="宋体" w:hAnsi="宋体" w:eastAsia="宋体" w:cs="宋体"/>
          <w:color w:val="auto"/>
          <w:kern w:val="0"/>
          <w:sz w:val="28"/>
          <w:szCs w:val="28"/>
        </w:rPr>
        <w:t>为保障甲方的厂区安全，乙方承诺在无偿完成所有加固补强工作并由甲方和相关方验收后，才可开始在屋面架设光伏设备。乙方需对加固工程质量负责，乙方应赔偿甲方因加固工程质量导致的实际损失。</w:t>
      </w:r>
    </w:p>
    <w:p w14:paraId="04F14955">
      <w:pPr>
        <w:pStyle w:val="103"/>
        <w:spacing w:line="276" w:lineRule="auto"/>
        <w:ind w:firstLine="560" w:firstLineChars="200"/>
        <w:rPr>
          <w:rFonts w:hint="default" w:ascii="宋体" w:hAnsi="宋体" w:eastAsia="宋体" w:cs="宋体"/>
          <w:color w:val="auto"/>
          <w:kern w:val="0"/>
          <w:sz w:val="28"/>
          <w:szCs w:val="28"/>
          <w:lang w:val="en-US" w:eastAsia="zh-CN"/>
        </w:rPr>
      </w:pPr>
      <w:bookmarkStart w:id="102" w:name="_Hlk87957248"/>
      <w:r>
        <w:rPr>
          <w:rFonts w:hint="eastAsia" w:ascii="宋体" w:hAnsi="宋体" w:eastAsia="宋体"/>
          <w:color w:val="auto"/>
          <w:sz w:val="28"/>
          <w:szCs w:val="28"/>
        </w:rPr>
        <w:t>8.2.</w:t>
      </w:r>
      <w:r>
        <w:rPr>
          <w:rFonts w:ascii="宋体" w:hAnsi="宋体" w:eastAsia="宋体"/>
          <w:color w:val="auto"/>
          <w:sz w:val="28"/>
          <w:szCs w:val="28"/>
        </w:rPr>
        <w:t>2</w:t>
      </w:r>
      <w:bookmarkEnd w:id="102"/>
      <w:r>
        <w:rPr>
          <w:rFonts w:ascii="宋体" w:hAnsi="宋体" w:eastAsia="宋体"/>
          <w:color w:val="auto"/>
          <w:sz w:val="28"/>
          <w:szCs w:val="28"/>
        </w:rPr>
        <w:t>2</w:t>
      </w:r>
      <w:r>
        <w:rPr>
          <w:rFonts w:hint="eastAsia" w:ascii="宋体" w:hAnsi="宋体" w:eastAsia="宋体" w:cs="宋体"/>
          <w:color w:val="auto"/>
          <w:kern w:val="0"/>
          <w:sz w:val="28"/>
          <w:szCs w:val="28"/>
        </w:rPr>
        <w:t>项目实施前，乙方需委托具备建筑工程资质的设计院对厂区安装光伏的屋面进行承载力分析和结构评价，并根据分析结果确定厂房屋面结构加固方案，加固后应确保屋面承载力达到国家最新相关标准要求且不占用原屋面荷载富余能力。</w:t>
      </w:r>
      <w:r>
        <w:rPr>
          <w:rFonts w:hint="eastAsia" w:ascii="宋体" w:hAnsi="宋体" w:eastAsia="宋体" w:cs="宋体"/>
          <w:color w:val="auto"/>
          <w:kern w:val="0"/>
          <w:sz w:val="28"/>
          <w:szCs w:val="28"/>
          <w:lang w:val="en-US" w:eastAsia="zh-CN"/>
        </w:rPr>
        <w:t>如无需加固则由具备建筑资质设计院出具荷载报告即可</w:t>
      </w:r>
    </w:p>
    <w:p w14:paraId="34AAE557">
      <w:pPr>
        <w:pStyle w:val="6"/>
        <w:ind w:firstLine="562" w:firstLineChars="200"/>
        <w:rPr>
          <w:rFonts w:ascii="黑体" w:hAnsi="黑体"/>
          <w:sz w:val="28"/>
          <w:szCs w:val="28"/>
        </w:rPr>
      </w:pPr>
      <w:bookmarkStart w:id="103" w:name="_Toc516658028"/>
      <w:bookmarkStart w:id="104" w:name="_Toc518569070"/>
      <w:r>
        <w:rPr>
          <w:rFonts w:hint="eastAsia" w:ascii="黑体" w:hAnsi="黑体"/>
          <w:sz w:val="28"/>
          <w:szCs w:val="28"/>
        </w:rPr>
        <w:t>9．合同变更、终止时双方的权利义务</w:t>
      </w:r>
      <w:bookmarkEnd w:id="103"/>
      <w:bookmarkEnd w:id="104"/>
    </w:p>
    <w:p w14:paraId="268054E2">
      <w:pPr>
        <w:pStyle w:val="137"/>
        <w:framePr w:wrap="auto" w:vAnchor="margin" w:hAnchor="text" w:yAlign="inline"/>
        <w:ind w:firstLine="560"/>
        <w:rPr>
          <w:rFonts w:hint="eastAsia"/>
          <w:sz w:val="28"/>
          <w:szCs w:val="28"/>
          <w:shd w:val="clear" w:color="auto" w:fill="FFFFFF"/>
        </w:rPr>
      </w:pPr>
      <w:r>
        <w:rPr>
          <w:rFonts w:hint="eastAsia"/>
          <w:sz w:val="28"/>
          <w:szCs w:val="28"/>
          <w:shd w:val="clear" w:color="auto" w:fill="FFFFFF"/>
        </w:rPr>
        <w:t>9.1对本合同及其附件的修改，必须经甲、乙双方签署书面协议才能生效。</w:t>
      </w:r>
    </w:p>
    <w:p w14:paraId="76C41AF2">
      <w:pPr>
        <w:pStyle w:val="137"/>
        <w:framePr w:wrap="auto" w:vAnchor="margin" w:hAnchor="text" w:yAlign="inline"/>
        <w:ind w:firstLine="560"/>
        <w:rPr>
          <w:rFonts w:hint="eastAsia"/>
          <w:sz w:val="28"/>
          <w:szCs w:val="28"/>
          <w:shd w:val="clear" w:color="auto" w:fill="FFFFFF"/>
        </w:rPr>
      </w:pPr>
      <w:r>
        <w:rPr>
          <w:rFonts w:hint="eastAsia"/>
          <w:sz w:val="28"/>
          <w:szCs w:val="28"/>
          <w:shd w:val="clear" w:color="auto" w:fill="FFFFFF"/>
        </w:rPr>
        <w:t>9.2由于不可抗力致使合同无法履行，可以终止合同，免除对方责任。如果不可抗力事件不足以导致合同无法履行，甲、乙双方应根据其对合同履行的影响程度确定延期履行或部分免除责任。</w:t>
      </w:r>
    </w:p>
    <w:p w14:paraId="2B3BE491">
      <w:pPr>
        <w:pStyle w:val="137"/>
        <w:framePr w:wrap="auto" w:vAnchor="margin" w:hAnchor="text" w:yAlign="inline"/>
        <w:ind w:firstLine="560"/>
        <w:rPr>
          <w:rFonts w:hint="eastAsia"/>
          <w:sz w:val="28"/>
          <w:szCs w:val="28"/>
          <w:shd w:val="clear" w:color="auto" w:fill="FFFFFF"/>
        </w:rPr>
      </w:pPr>
      <w:r>
        <w:rPr>
          <w:rFonts w:hint="eastAsia"/>
          <w:sz w:val="28"/>
          <w:szCs w:val="28"/>
          <w:shd w:val="clear" w:color="auto" w:fill="FFFFFF"/>
        </w:rPr>
        <w:t>9.3甲方正常发展，需要进行厂房改造或搬迁，应在搬迁或改造前不少于3个月通知乙方。如甲方同意，改造后或新建的厂房（或其他适合安装光伏发电系统的场地）可以供乙方继续安装光伏系统使用，安装位置与容量应得到甲方的认可，如因改造后或新建的厂房屋面变小造成无法安装的多余设备乙方负责自行回收，光伏设备拆装费用由乙方承担。甲方无需向乙方承担赔偿或补偿责任。</w:t>
      </w:r>
    </w:p>
    <w:p w14:paraId="0ADE934C">
      <w:pPr>
        <w:pStyle w:val="137"/>
        <w:framePr w:wrap="auto" w:vAnchor="margin" w:hAnchor="text" w:yAlign="inline"/>
        <w:ind w:firstLine="560"/>
        <w:rPr>
          <w:rFonts w:hint="eastAsia"/>
          <w:sz w:val="28"/>
          <w:szCs w:val="28"/>
          <w:shd w:val="clear" w:color="auto" w:fill="FFFFFF"/>
        </w:rPr>
      </w:pPr>
      <w:r>
        <w:rPr>
          <w:rFonts w:hint="eastAsia"/>
          <w:sz w:val="28"/>
          <w:szCs w:val="28"/>
          <w:shd w:val="clear" w:color="auto" w:fill="FFFFFF"/>
        </w:rPr>
        <w:t>9.4若甲方发生厂房搬迁、拆除、产权变更、破产停业，甲方协助乙方与政府或第三方进行协调沟通，甲方应尽力维护乙方的权益。但若第三方拒绝合作或不接收乙方设备，甲方也无需向乙方承担赔偿或补偿责任。</w:t>
      </w:r>
    </w:p>
    <w:p w14:paraId="6FD5BA7C">
      <w:pPr>
        <w:pStyle w:val="137"/>
        <w:framePr w:wrap="auto" w:vAnchor="margin" w:hAnchor="text" w:yAlign="inline"/>
        <w:ind w:firstLine="560"/>
        <w:rPr>
          <w:rFonts w:hint="eastAsia"/>
          <w:sz w:val="28"/>
          <w:szCs w:val="28"/>
          <w:shd w:val="clear" w:color="auto" w:fill="FFFFFF"/>
        </w:rPr>
      </w:pPr>
      <w:bookmarkStart w:id="105" w:name="_Hlk104544287"/>
      <w:r>
        <w:rPr>
          <w:rFonts w:hint="eastAsia"/>
          <w:sz w:val="28"/>
          <w:szCs w:val="28"/>
          <w:shd w:val="clear" w:color="auto" w:fill="FFFFFF"/>
        </w:rPr>
        <w:t xml:space="preserve">9.5 </w:t>
      </w:r>
      <w:bookmarkEnd w:id="105"/>
      <w:r>
        <w:rPr>
          <w:rFonts w:hint="eastAsia"/>
          <w:sz w:val="28"/>
          <w:szCs w:val="28"/>
          <w:shd w:val="clear" w:color="auto" w:fill="FFFFFF"/>
        </w:rPr>
        <w:t>在签订合同后若委托的设计单位经核验厂房结构或屋面强度等不能满足光伏设备安装要求而导致项目无法实施时，双方同意本合同自动解除，乙方此前为履行本合同产生的设计及其他一切费用由乙方承担。</w:t>
      </w:r>
    </w:p>
    <w:p w14:paraId="0D46DEA7">
      <w:pPr>
        <w:pStyle w:val="137"/>
        <w:framePr w:wrap="auto" w:vAnchor="margin" w:hAnchor="text" w:yAlign="inline"/>
        <w:ind w:firstLine="560"/>
        <w:rPr>
          <w:sz w:val="28"/>
          <w:szCs w:val="28"/>
          <w:shd w:val="clear" w:color="auto" w:fill="FFFFFF"/>
        </w:rPr>
      </w:pPr>
      <w:r>
        <w:rPr>
          <w:rFonts w:hint="eastAsia"/>
          <w:sz w:val="28"/>
          <w:szCs w:val="28"/>
          <w:shd w:val="clear" w:color="auto" w:fill="FFFFFF"/>
        </w:rPr>
        <w:t>9.6 在合作期内，乙方对项目资产和附属权利进行转让、抵押、质押、担保、置换，或以其他方式进行处分时，</w:t>
      </w:r>
      <w:bookmarkStart w:id="106" w:name="_Toc518569071"/>
      <w:bookmarkStart w:id="107" w:name="_Toc516658029"/>
      <w:r>
        <w:rPr>
          <w:rFonts w:hint="eastAsia"/>
          <w:sz w:val="28"/>
          <w:szCs w:val="28"/>
          <w:shd w:val="clear" w:color="auto" w:fill="FFFFFF"/>
        </w:rPr>
        <w:t>应取得甲方书面同意且不得损害甲方的利益和影响本合同的履行，否则按照</w:t>
      </w:r>
      <w:r>
        <w:rPr>
          <w:sz w:val="28"/>
          <w:szCs w:val="28"/>
          <w:shd w:val="clear" w:color="auto" w:fill="FFFFFF"/>
        </w:rPr>
        <w:t>13.2</w:t>
      </w:r>
      <w:r>
        <w:rPr>
          <w:rFonts w:hint="eastAsia"/>
          <w:sz w:val="28"/>
          <w:szCs w:val="28"/>
          <w:shd w:val="clear" w:color="auto" w:fill="FFFFFF"/>
        </w:rPr>
        <w:t>条乙方违约处理，甲方有权解除合同。</w:t>
      </w:r>
    </w:p>
    <w:p w14:paraId="511A51C9">
      <w:pPr>
        <w:pStyle w:val="137"/>
        <w:framePr w:wrap="auto" w:vAnchor="margin" w:hAnchor="text" w:yAlign="inline"/>
        <w:ind w:firstLine="562"/>
        <w:rPr>
          <w:rFonts w:ascii="黑体" w:hAnsi="黑体" w:eastAsia="黑体"/>
          <w:b/>
          <w:bCs/>
          <w:kern w:val="44"/>
          <w:sz w:val="28"/>
          <w:szCs w:val="28"/>
        </w:rPr>
      </w:pPr>
      <w:r>
        <w:rPr>
          <w:rFonts w:hint="eastAsia" w:ascii="黑体" w:hAnsi="黑体" w:eastAsia="黑体"/>
          <w:b/>
          <w:bCs/>
          <w:kern w:val="44"/>
          <w:sz w:val="28"/>
          <w:szCs w:val="28"/>
        </w:rPr>
        <w:t>第四部分　节能项目的改进及停止运行</w:t>
      </w:r>
      <w:bookmarkEnd w:id="106"/>
      <w:bookmarkEnd w:id="107"/>
    </w:p>
    <w:p w14:paraId="5860B515">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08" w:name="_Toc516658030"/>
      <w:bookmarkStart w:id="109" w:name="_Toc518569072"/>
      <w:r>
        <w:rPr>
          <w:rFonts w:hint="eastAsia" w:ascii="黑体" w:hAnsi="黑体" w:eastAsia="黑体"/>
          <w:b/>
          <w:bCs/>
          <w:color w:val="auto"/>
          <w:kern w:val="2"/>
          <w:sz w:val="28"/>
          <w:szCs w:val="28"/>
        </w:rPr>
        <w:t>10．项目改进及相关设备的拆除、损坏</w:t>
      </w:r>
      <w:bookmarkEnd w:id="108"/>
      <w:bookmarkEnd w:id="109"/>
    </w:p>
    <w:p w14:paraId="5EFFA390">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 xml:space="preserve">10.1 </w:t>
      </w:r>
      <w:r>
        <w:rPr>
          <w:rFonts w:hint="eastAsia" w:ascii="Arial" w:hAnsi="Arial" w:eastAsia="宋体"/>
          <w:color w:val="auto"/>
          <w:sz w:val="28"/>
          <w:szCs w:val="28"/>
        </w:rPr>
        <w:t>系统及设备的改进</w:t>
      </w:r>
    </w:p>
    <w:p w14:paraId="6CD5FDF4">
      <w:pPr>
        <w:widowControl w:val="0"/>
        <w:tabs>
          <w:tab w:val="left" w:pos="8610"/>
        </w:tabs>
        <w:spacing w:after="60" w:line="360" w:lineRule="auto"/>
        <w:ind w:firstLine="560" w:firstLineChars="200"/>
        <w:jc w:val="both"/>
        <w:rPr>
          <w:rFonts w:ascii="Arial" w:hAnsi="Arial" w:eastAsia="宋体"/>
          <w:color w:val="auto"/>
          <w:sz w:val="28"/>
          <w:szCs w:val="28"/>
        </w:rPr>
      </w:pPr>
      <w:r>
        <w:rPr>
          <w:rFonts w:hint="eastAsia" w:ascii="Arial" w:hAnsi="Arial" w:eastAsia="宋体"/>
          <w:color w:val="auto"/>
          <w:sz w:val="28"/>
          <w:szCs w:val="28"/>
        </w:rPr>
        <w:t>在不降低服务标准及不影响甲方正常经营的前提下，为改善项目设备的运</w:t>
      </w:r>
      <w:r>
        <w:rPr>
          <w:rFonts w:hint="eastAsia" w:ascii="宋体" w:hAnsi="Arial" w:eastAsia="宋体" w:cs="宋体"/>
          <w:color w:val="auto"/>
          <w:sz w:val="28"/>
          <w:szCs w:val="28"/>
          <w:lang w:val="zh-CN"/>
        </w:rPr>
        <w:t>行状况和提高经济效益，乙方在本合同有效期内可就项目设备或有关程序进行技术改进，甲方同意并予以积极支持，但乙方应提前一个月书面通知甲方，改造费用由乙方承担。</w:t>
      </w:r>
    </w:p>
    <w:p w14:paraId="28511C5C">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10.2</w:t>
      </w:r>
      <w:r>
        <w:rPr>
          <w:rFonts w:hint="eastAsia" w:ascii="Arial" w:hAnsi="Arial" w:eastAsia="宋体"/>
          <w:color w:val="auto"/>
          <w:sz w:val="28"/>
          <w:szCs w:val="28"/>
        </w:rPr>
        <w:t>系统及设备的拆除</w:t>
      </w:r>
    </w:p>
    <w:p w14:paraId="4D1FF07B">
      <w:pPr>
        <w:widowControl w:val="0"/>
        <w:spacing w:after="60" w:line="360" w:lineRule="auto"/>
        <w:ind w:firstLine="560" w:firstLineChars="200"/>
        <w:jc w:val="both"/>
        <w:rPr>
          <w:rFonts w:ascii="Arial" w:hAnsi="Arial" w:eastAsia="宋体"/>
          <w:color w:val="auto"/>
          <w:sz w:val="28"/>
          <w:szCs w:val="28"/>
        </w:rPr>
      </w:pPr>
      <w:r>
        <w:rPr>
          <w:rFonts w:hint="eastAsia" w:ascii="Arial" w:hAnsi="Arial" w:eastAsia="宋体"/>
          <w:color w:val="auto"/>
          <w:sz w:val="28"/>
          <w:szCs w:val="28"/>
        </w:rPr>
        <w:t>除</w:t>
      </w:r>
      <w:r>
        <w:rPr>
          <w:rFonts w:hint="eastAsia" w:ascii="宋体" w:hAnsi="宋体" w:eastAsia="宋体" w:cs="宋体"/>
          <w:color w:val="auto"/>
          <w:sz w:val="28"/>
          <w:szCs w:val="28"/>
        </w:rPr>
        <w:t>本合同解除、终止或</w:t>
      </w:r>
      <w:r>
        <w:rPr>
          <w:rFonts w:hint="eastAsia" w:ascii="Arial" w:hAnsi="Arial" w:eastAsia="宋体"/>
          <w:color w:val="auto"/>
          <w:sz w:val="28"/>
          <w:szCs w:val="28"/>
        </w:rPr>
        <w:t>乙方技术改进、升级、运营维护所需以及本合同约定的相关情形之外，未经一方书面同意，另一方不得自行或委托他人拆除节能项目的设备或者进行实质性改动。如果一方未经另一方书面同意而拆除设备或进行实质性改动，另一方有权立即解除合同，并可视为对方违约，由对方按本合同第</w:t>
      </w:r>
      <w:r>
        <w:rPr>
          <w:rFonts w:hint="eastAsia" w:ascii="宋体" w:hAnsi="宋体" w:eastAsia="宋体"/>
          <w:color w:val="auto"/>
          <w:sz w:val="28"/>
          <w:szCs w:val="28"/>
        </w:rPr>
        <w:t>13</w:t>
      </w:r>
      <w:r>
        <w:rPr>
          <w:rFonts w:hint="eastAsia" w:ascii="Arial" w:hAnsi="Arial" w:eastAsia="宋体"/>
          <w:color w:val="auto"/>
          <w:sz w:val="28"/>
          <w:szCs w:val="28"/>
        </w:rPr>
        <w:t>条约定承担违约责任。</w:t>
      </w:r>
    </w:p>
    <w:p w14:paraId="43FD334A">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10" w:name="_Toc518569073"/>
      <w:bookmarkStart w:id="111" w:name="_Toc516658031"/>
      <w:r>
        <w:rPr>
          <w:rFonts w:hint="eastAsia" w:ascii="黑体" w:hAnsi="黑体" w:eastAsia="黑体"/>
          <w:b/>
          <w:bCs/>
          <w:color w:val="auto"/>
          <w:kern w:val="2"/>
          <w:sz w:val="28"/>
          <w:szCs w:val="28"/>
        </w:rPr>
        <w:t>11．设备停止运行、关闭</w:t>
      </w:r>
      <w:bookmarkEnd w:id="110"/>
      <w:bookmarkEnd w:id="111"/>
    </w:p>
    <w:p w14:paraId="19908334">
      <w:pPr>
        <w:widowControl w:val="0"/>
        <w:spacing w:after="60" w:line="360" w:lineRule="auto"/>
        <w:ind w:firstLine="560" w:firstLineChars="200"/>
        <w:jc w:val="both"/>
        <w:rPr>
          <w:rFonts w:ascii="宋体" w:hAnsi="宋体" w:eastAsia="宋体"/>
          <w:color w:val="auto"/>
          <w:sz w:val="28"/>
          <w:szCs w:val="28"/>
        </w:rPr>
      </w:pPr>
      <w:r>
        <w:rPr>
          <w:rFonts w:hint="eastAsia" w:ascii="宋体" w:hAnsi="宋体" w:eastAsia="宋体"/>
          <w:color w:val="auto"/>
          <w:sz w:val="28"/>
          <w:szCs w:val="28"/>
        </w:rPr>
        <w:t>11.1 因节能项目继续运行将影响甲方安全的，甲方有权不经通知乙方立即停止相关设备运行。甲方应在关停设备后将安全隐患和关停事由通知乙方。</w:t>
      </w:r>
    </w:p>
    <w:p w14:paraId="42D4D529">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11.2</w:t>
      </w:r>
      <w:r>
        <w:rPr>
          <w:rFonts w:ascii="Arial" w:hAnsi="Arial" w:eastAsia="宋体"/>
          <w:color w:val="auto"/>
          <w:sz w:val="28"/>
          <w:szCs w:val="28"/>
        </w:rPr>
        <w:t xml:space="preserve"> </w:t>
      </w:r>
      <w:r>
        <w:rPr>
          <w:rFonts w:hint="eastAsia" w:ascii="Arial" w:hAnsi="Arial" w:eastAsia="宋体"/>
          <w:color w:val="auto"/>
          <w:sz w:val="28"/>
          <w:szCs w:val="28"/>
        </w:rPr>
        <w:t>合同履行期间，非因乙方违约而解除合同的，乙方有权停止运行、关闭或拆除设备。</w:t>
      </w:r>
    </w:p>
    <w:p w14:paraId="7C46FEB6">
      <w:pPr>
        <w:keepNext/>
        <w:keepLines/>
        <w:widowControl w:val="0"/>
        <w:spacing w:before="120" w:after="120" w:line="360" w:lineRule="auto"/>
        <w:ind w:firstLine="562" w:firstLineChars="200"/>
        <w:jc w:val="both"/>
        <w:outlineLvl w:val="0"/>
        <w:rPr>
          <w:rFonts w:ascii="黑体" w:hAnsi="黑体" w:eastAsia="黑体"/>
          <w:b/>
          <w:bCs/>
          <w:color w:val="auto"/>
          <w:kern w:val="44"/>
          <w:sz w:val="28"/>
          <w:szCs w:val="28"/>
        </w:rPr>
      </w:pPr>
      <w:r>
        <w:rPr>
          <w:rFonts w:hint="eastAsia" w:ascii="黑体" w:hAnsi="黑体" w:eastAsia="黑体"/>
          <w:b/>
          <w:bCs/>
          <w:color w:val="auto"/>
          <w:kern w:val="44"/>
          <w:sz w:val="28"/>
          <w:szCs w:val="28"/>
        </w:rPr>
        <w:t>第五部分　乙方的服务保障</w:t>
      </w:r>
    </w:p>
    <w:p w14:paraId="4D02B024">
      <w:pPr>
        <w:pStyle w:val="6"/>
        <w:ind w:firstLine="562" w:firstLineChars="200"/>
        <w:rPr>
          <w:rFonts w:ascii="黑体" w:hAnsi="黑体"/>
          <w:sz w:val="28"/>
          <w:szCs w:val="28"/>
        </w:rPr>
      </w:pPr>
      <w:bookmarkStart w:id="112" w:name="_Toc518569075"/>
      <w:bookmarkStart w:id="113" w:name="_Toc516658033"/>
      <w:r>
        <w:rPr>
          <w:rFonts w:hint="eastAsia" w:ascii="黑体" w:hAnsi="黑体"/>
          <w:sz w:val="28"/>
          <w:szCs w:val="28"/>
        </w:rPr>
        <w:t>12．乙方的服务标准</w:t>
      </w:r>
      <w:bookmarkEnd w:id="112"/>
      <w:bookmarkEnd w:id="113"/>
    </w:p>
    <w:p w14:paraId="777073FB">
      <w:pPr>
        <w:pStyle w:val="137"/>
        <w:framePr w:wrap="auto" w:vAnchor="margin" w:hAnchor="text" w:yAlign="inline"/>
        <w:ind w:firstLine="560"/>
        <w:rPr>
          <w:kern w:val="0"/>
          <w:sz w:val="28"/>
          <w:szCs w:val="28"/>
        </w:rPr>
      </w:pPr>
      <w:r>
        <w:rPr>
          <w:rFonts w:hint="eastAsia" w:ascii="宋体" w:hAnsi="宋体"/>
          <w:kern w:val="0"/>
          <w:sz w:val="28"/>
          <w:szCs w:val="28"/>
        </w:rPr>
        <w:t>12.1</w:t>
      </w:r>
      <w:r>
        <w:rPr>
          <w:rFonts w:hint="eastAsia"/>
          <w:kern w:val="0"/>
          <w:sz w:val="28"/>
          <w:szCs w:val="28"/>
        </w:rPr>
        <w:t>在本合同期限内，乙方应履行本合同所规定的义务和职责，保质、保量完成项目建设和运行过程中的工作，客观实际地测量节能效果和计算节能收益。对甲方提出且在本合同项下的合理要求，乙方需给予考虑；保持与甲方良好的合作关系，尊重甲方的工作人员及其合理化建议，爱护甲方的设备和</w:t>
      </w:r>
      <w:r>
        <w:rPr>
          <w:rFonts w:hint="eastAsia"/>
          <w:kern w:val="0"/>
          <w:sz w:val="28"/>
          <w:szCs w:val="28"/>
          <w:lang w:eastAsia="zh-CN"/>
        </w:rPr>
        <w:t>其他</w:t>
      </w:r>
      <w:r>
        <w:rPr>
          <w:rFonts w:hint="eastAsia"/>
          <w:kern w:val="0"/>
          <w:sz w:val="28"/>
          <w:szCs w:val="28"/>
        </w:rPr>
        <w:t>财产；在甲方的场地从事节能项目的安装工作时，遵守国家相关法律法规、行业相关规范标准以及甲方工作场地的有关规章制度。</w:t>
      </w:r>
    </w:p>
    <w:p w14:paraId="40A97EF4">
      <w:pPr>
        <w:pStyle w:val="137"/>
        <w:framePr w:wrap="auto" w:vAnchor="margin" w:hAnchor="text" w:yAlign="inline"/>
        <w:ind w:firstLine="560"/>
        <w:rPr>
          <w:rFonts w:hint="default"/>
          <w:kern w:val="0"/>
          <w:sz w:val="28"/>
          <w:szCs w:val="28"/>
          <w:lang w:val="en-US" w:eastAsia="zh-CN"/>
        </w:rPr>
      </w:pPr>
      <w:r>
        <w:rPr>
          <w:rFonts w:ascii="宋体" w:hAnsi="宋体"/>
          <w:kern w:val="0"/>
          <w:sz w:val="28"/>
          <w:szCs w:val="28"/>
        </w:rPr>
        <w:t>12.2</w:t>
      </w:r>
      <w:r>
        <w:rPr>
          <w:rFonts w:hint="eastAsia"/>
          <w:kern w:val="0"/>
          <w:sz w:val="28"/>
          <w:szCs w:val="28"/>
        </w:rPr>
        <w:t>在项目建设和运行期间确保不出现因安装屋面光伏系统而造成厂房损坏漏雨以及运行故障影响甲方正常生产的情况发生，如出现异常要及时进行处置。乙方在接到甲方维修通知之时起后4小时内派工程技术人员赶到维修现场，有特殊情况的最迟不晚于24小时内到场。到场后乙方需在</w:t>
      </w:r>
      <w:r>
        <w:rPr>
          <w:rFonts w:hint="eastAsia"/>
          <w:kern w:val="0"/>
          <w:sz w:val="28"/>
          <w:szCs w:val="28"/>
          <w:lang w:val="en-US" w:eastAsia="zh-CN"/>
        </w:rPr>
        <w:t>24</w:t>
      </w:r>
      <w:r>
        <w:rPr>
          <w:rFonts w:hint="eastAsia"/>
          <w:kern w:val="0"/>
          <w:sz w:val="28"/>
          <w:szCs w:val="28"/>
        </w:rPr>
        <w:t>小时内完成维修工作。如乙方未能按时到场或到场后未能按时完成维修工作，每逾期一次乙方应向甲方支付</w:t>
      </w:r>
      <w:r>
        <w:rPr>
          <w:rFonts w:hint="eastAsia"/>
          <w:kern w:val="0"/>
          <w:sz w:val="28"/>
          <w:szCs w:val="28"/>
          <w:lang w:val="en-US" w:eastAsia="zh-CN"/>
        </w:rPr>
        <w:t>5000</w:t>
      </w:r>
      <w:r>
        <w:rPr>
          <w:rFonts w:hint="eastAsia"/>
          <w:kern w:val="0"/>
          <w:sz w:val="28"/>
          <w:szCs w:val="28"/>
        </w:rPr>
        <w:t>元作为违约金。</w:t>
      </w:r>
    </w:p>
    <w:p w14:paraId="72BFC3A7">
      <w:pPr>
        <w:pStyle w:val="50"/>
        <w:framePr w:wrap="around" w:vAnchor="margin" w:hAnchor="text" w:y="1"/>
        <w:ind w:firstLine="200"/>
      </w:pPr>
    </w:p>
    <w:p w14:paraId="42AD730F">
      <w:pPr>
        <w:pStyle w:val="50"/>
        <w:framePr w:wrap="around" w:vAnchor="margin" w:hAnchor="text" w:y="1"/>
        <w:ind w:firstLine="200"/>
      </w:pPr>
    </w:p>
    <w:p w14:paraId="37799F73">
      <w:pPr>
        <w:keepNext/>
        <w:keepLines/>
        <w:widowControl w:val="0"/>
        <w:spacing w:before="120" w:after="120" w:line="360" w:lineRule="auto"/>
        <w:ind w:firstLine="562" w:firstLineChars="200"/>
        <w:jc w:val="both"/>
        <w:outlineLvl w:val="0"/>
        <w:rPr>
          <w:rFonts w:ascii="黑体" w:hAnsi="黑体" w:eastAsia="黑体"/>
          <w:b/>
          <w:bCs/>
          <w:color w:val="auto"/>
          <w:kern w:val="44"/>
          <w:sz w:val="28"/>
          <w:szCs w:val="28"/>
        </w:rPr>
      </w:pPr>
      <w:bookmarkStart w:id="114" w:name="_Toc518569076"/>
      <w:bookmarkStart w:id="115" w:name="_Toc516658034"/>
      <w:r>
        <w:rPr>
          <w:rFonts w:hint="eastAsia" w:ascii="黑体" w:hAnsi="黑体" w:eastAsia="黑体"/>
          <w:b/>
          <w:bCs/>
          <w:color w:val="auto"/>
          <w:kern w:val="44"/>
          <w:sz w:val="28"/>
          <w:szCs w:val="28"/>
        </w:rPr>
        <w:t>第六部分　违约责任</w:t>
      </w:r>
      <w:bookmarkEnd w:id="114"/>
      <w:bookmarkEnd w:id="115"/>
    </w:p>
    <w:p w14:paraId="72759D16">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16" w:name="_Toc518569077"/>
      <w:bookmarkStart w:id="117" w:name="_Toc516658035"/>
      <w:r>
        <w:rPr>
          <w:rFonts w:hint="eastAsia" w:ascii="黑体" w:hAnsi="黑体" w:eastAsia="黑体"/>
          <w:b/>
          <w:bCs/>
          <w:color w:val="auto"/>
          <w:kern w:val="2"/>
          <w:sz w:val="28"/>
          <w:szCs w:val="28"/>
        </w:rPr>
        <w:t>13．甲乙双方的违约责任</w:t>
      </w:r>
      <w:bookmarkEnd w:id="116"/>
      <w:bookmarkEnd w:id="117"/>
    </w:p>
    <w:p w14:paraId="3C2E66D7">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13.1</w:t>
      </w:r>
      <w:r>
        <w:rPr>
          <w:rFonts w:hint="eastAsia" w:ascii="Arial" w:hAnsi="Arial" w:eastAsia="宋体"/>
          <w:color w:val="auto"/>
          <w:sz w:val="28"/>
          <w:szCs w:val="28"/>
        </w:rPr>
        <w:t>甲方的违约责任</w:t>
      </w:r>
    </w:p>
    <w:p w14:paraId="35FFF25D">
      <w:pPr>
        <w:widowControl w:val="0"/>
        <w:spacing w:after="60" w:line="360" w:lineRule="auto"/>
        <w:ind w:firstLine="560" w:firstLineChars="200"/>
        <w:jc w:val="both"/>
        <w:rPr>
          <w:rFonts w:hint="eastAsia" w:ascii="Arial" w:hAnsi="Arial" w:eastAsia="宋体"/>
          <w:color w:val="auto"/>
          <w:sz w:val="28"/>
          <w:szCs w:val="28"/>
          <w:lang w:val="zh-CN"/>
        </w:rPr>
      </w:pPr>
      <w:r>
        <w:rPr>
          <w:rFonts w:hint="eastAsia" w:ascii="宋体" w:hAnsi="宋体" w:eastAsia="宋体"/>
          <w:color w:val="auto"/>
          <w:sz w:val="28"/>
          <w:szCs w:val="28"/>
        </w:rPr>
        <w:t>13.1.1</w:t>
      </w:r>
      <w:r>
        <w:rPr>
          <w:rFonts w:hint="eastAsia" w:ascii="Arial" w:hAnsi="Arial" w:eastAsia="宋体"/>
          <w:color w:val="auto"/>
          <w:sz w:val="28"/>
          <w:szCs w:val="28"/>
        </w:rPr>
        <w:t>除本合同另有约定外，在合同期内，甲方违约解除本合同</w:t>
      </w:r>
      <w:r>
        <w:rPr>
          <w:rFonts w:hint="eastAsia" w:ascii="宋体" w:hAnsi="Arial" w:eastAsia="宋体" w:cs="宋体"/>
          <w:color w:val="auto"/>
          <w:sz w:val="28"/>
          <w:szCs w:val="28"/>
          <w:lang w:val="zh-CN"/>
        </w:rPr>
        <w:t>，甲方需向乙方赔偿相应损失</w:t>
      </w:r>
      <w:r>
        <w:rPr>
          <w:rFonts w:hint="eastAsia" w:ascii="Arial" w:hAnsi="Arial" w:eastAsia="宋体"/>
          <w:color w:val="auto"/>
          <w:sz w:val="28"/>
          <w:szCs w:val="28"/>
          <w:lang w:val="en-US" w:eastAsia="zh-CN"/>
        </w:rPr>
        <w:t>及</w:t>
      </w:r>
      <w:r>
        <w:rPr>
          <w:rFonts w:hint="eastAsia" w:ascii="Arial" w:hAnsi="Arial" w:eastAsia="宋体"/>
          <w:color w:val="auto"/>
          <w:sz w:val="28"/>
          <w:szCs w:val="28"/>
          <w:lang w:val="zh-CN"/>
        </w:rPr>
        <w:t>支付本合同约定的剩余预期收益总额【剩余预期收益总额为：合同期内目标电量×（峰段市电电价+平段市电电价）/2×电价折扣</w:t>
      </w:r>
      <w:r>
        <w:rPr>
          <w:rFonts w:hint="eastAsia" w:ascii="Arial" w:hAnsi="Arial"/>
          <w:color w:val="auto"/>
          <w:sz w:val="28"/>
          <w:szCs w:val="28"/>
          <w:lang w:val="zh-CN"/>
        </w:rPr>
        <w:t>－</w:t>
      </w:r>
      <w:r>
        <w:rPr>
          <w:rFonts w:hint="eastAsia" w:ascii="Arial" w:hAnsi="Arial" w:eastAsia="宋体"/>
          <w:color w:val="auto"/>
          <w:sz w:val="28"/>
          <w:szCs w:val="28"/>
          <w:lang w:val="zh-CN"/>
        </w:rPr>
        <w:t>甲方已支付的用电费用总额】×</w:t>
      </w:r>
      <w:r>
        <w:rPr>
          <w:rFonts w:hint="eastAsia" w:ascii="Arial" w:hAnsi="Arial"/>
          <w:color w:val="auto"/>
          <w:sz w:val="28"/>
          <w:szCs w:val="28"/>
          <w:lang w:val="en-US" w:eastAsia="zh-CN"/>
        </w:rPr>
        <w:t>2</w:t>
      </w:r>
      <w:r>
        <w:rPr>
          <w:rFonts w:hint="eastAsia" w:ascii="Arial" w:hAnsi="Arial" w:eastAsia="宋体"/>
          <w:color w:val="auto"/>
          <w:sz w:val="28"/>
          <w:szCs w:val="28"/>
          <w:lang w:val="zh-CN"/>
        </w:rPr>
        <w:t>0%的违约金。峰段和平段市</w:t>
      </w:r>
      <w:r>
        <w:rPr>
          <w:rFonts w:hint="eastAsia" w:ascii="Arial" w:hAnsi="Arial"/>
          <w:color w:val="auto"/>
          <w:sz w:val="28"/>
          <w:szCs w:val="28"/>
          <w:lang w:val="zh-CN"/>
        </w:rPr>
        <w:t>电</w:t>
      </w:r>
      <w:r>
        <w:rPr>
          <w:rFonts w:hint="eastAsia" w:ascii="Arial" w:hAnsi="Arial" w:eastAsia="宋体"/>
          <w:color w:val="auto"/>
          <w:sz w:val="28"/>
          <w:szCs w:val="28"/>
          <w:lang w:val="zh-CN"/>
        </w:rPr>
        <w:t>价以合同签订时的市场化零售结算分时电度电价为准。</w:t>
      </w:r>
    </w:p>
    <w:p w14:paraId="4BF986B1">
      <w:pPr>
        <w:widowControl w:val="0"/>
        <w:spacing w:after="60" w:line="360" w:lineRule="auto"/>
        <w:ind w:firstLine="560" w:firstLineChars="200"/>
        <w:jc w:val="both"/>
        <w:rPr>
          <w:rFonts w:ascii="Arial" w:hAnsi="Arial" w:eastAsia="宋体"/>
          <w:color w:val="auto"/>
          <w:sz w:val="28"/>
          <w:szCs w:val="28"/>
        </w:rPr>
      </w:pPr>
      <w:r>
        <w:rPr>
          <w:rFonts w:hint="eastAsia" w:ascii="宋体" w:hAnsi="Arial" w:eastAsia="宋体" w:cs="宋体"/>
          <w:color w:val="auto"/>
          <w:sz w:val="28"/>
          <w:szCs w:val="28"/>
          <w:lang w:val="zh-CN"/>
        </w:rPr>
        <w:t>13.1.2因甲方正常设</w:t>
      </w:r>
      <w:r>
        <w:rPr>
          <w:rFonts w:hint="eastAsia" w:ascii="Arial" w:hAnsi="Arial" w:eastAsia="宋体"/>
          <w:color w:val="auto"/>
          <w:sz w:val="28"/>
          <w:szCs w:val="28"/>
        </w:rPr>
        <w:t>备或建筑检修</w:t>
      </w:r>
      <w:r>
        <w:rPr>
          <w:rFonts w:hint="eastAsia" w:ascii="Arial" w:hAnsi="Arial"/>
          <w:color w:val="auto"/>
          <w:sz w:val="28"/>
          <w:szCs w:val="28"/>
          <w:lang w:eastAsia="zh-CN"/>
        </w:rPr>
        <w:t>或其他</w:t>
      </w:r>
      <w:r>
        <w:rPr>
          <w:rFonts w:hint="eastAsia" w:ascii="Arial" w:hAnsi="Arial" w:eastAsia="宋体"/>
          <w:color w:val="auto"/>
          <w:sz w:val="28"/>
          <w:szCs w:val="28"/>
        </w:rPr>
        <w:t>甲方原因，导致乙方光伏项目全部停运的，一年内累计停运时间超过</w:t>
      </w:r>
      <w:r>
        <w:rPr>
          <w:rFonts w:ascii="Arial" w:hAnsi="Arial" w:eastAsia="宋体"/>
          <w:color w:val="auto"/>
          <w:sz w:val="28"/>
          <w:szCs w:val="28"/>
        </w:rPr>
        <w:t>2</w:t>
      </w:r>
      <w:r>
        <w:rPr>
          <w:rFonts w:hint="eastAsia" w:ascii="Arial" w:hAnsi="Arial" w:eastAsia="宋体"/>
          <w:color w:val="auto"/>
          <w:sz w:val="28"/>
          <w:szCs w:val="28"/>
        </w:rPr>
        <w:t>0天的，应按停运时间顺延双方合同节能效益分享期。</w:t>
      </w:r>
    </w:p>
    <w:p w14:paraId="5EBD99CB">
      <w:pPr>
        <w:widowControl w:val="0"/>
        <w:spacing w:after="60" w:line="360" w:lineRule="auto"/>
        <w:ind w:firstLine="560" w:firstLineChars="200"/>
        <w:jc w:val="both"/>
        <w:rPr>
          <w:rFonts w:ascii="Arial" w:hAnsi="Arial" w:eastAsia="宋体"/>
          <w:color w:val="auto"/>
          <w:sz w:val="28"/>
          <w:szCs w:val="28"/>
        </w:rPr>
      </w:pPr>
      <w:r>
        <w:rPr>
          <w:rFonts w:hint="eastAsia" w:ascii="Arial" w:hAnsi="Arial" w:eastAsia="宋体"/>
          <w:color w:val="auto"/>
          <w:sz w:val="28"/>
          <w:szCs w:val="28"/>
        </w:rPr>
        <w:t>因甲方正常设备检修原因，需要停电，乙方需积极配合，并在检修完毕后</w:t>
      </w:r>
      <w:r>
        <w:rPr>
          <w:rFonts w:ascii="Arial" w:hAnsi="Arial" w:eastAsia="宋体"/>
          <w:color w:val="auto"/>
          <w:sz w:val="28"/>
          <w:szCs w:val="28"/>
          <w:u w:val="single"/>
        </w:rPr>
        <w:t>24</w:t>
      </w:r>
      <w:r>
        <w:rPr>
          <w:rFonts w:hint="eastAsia" w:ascii="Arial" w:hAnsi="Arial" w:eastAsia="宋体"/>
          <w:color w:val="auto"/>
          <w:sz w:val="28"/>
          <w:szCs w:val="28"/>
        </w:rPr>
        <w:t>小时内，恢复光伏设备运行。</w:t>
      </w:r>
    </w:p>
    <w:p w14:paraId="02B17F1F">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13.2</w:t>
      </w:r>
      <w:r>
        <w:rPr>
          <w:rFonts w:hint="eastAsia" w:ascii="Arial" w:hAnsi="Arial" w:eastAsia="宋体"/>
          <w:color w:val="auto"/>
          <w:sz w:val="28"/>
          <w:szCs w:val="28"/>
        </w:rPr>
        <w:t>乙方的违约责任</w:t>
      </w:r>
    </w:p>
    <w:p w14:paraId="1A951B21">
      <w:pPr>
        <w:widowControl w:val="0"/>
        <w:spacing w:after="60" w:line="360" w:lineRule="auto"/>
        <w:ind w:firstLine="560" w:firstLineChars="200"/>
        <w:jc w:val="both"/>
        <w:rPr>
          <w:rFonts w:ascii="宋体" w:hAnsi="Arial" w:eastAsia="宋体" w:cs="宋体"/>
          <w:color w:val="auto"/>
          <w:sz w:val="28"/>
          <w:szCs w:val="28"/>
          <w:lang w:val="zh-CN"/>
        </w:rPr>
      </w:pPr>
      <w:r>
        <w:rPr>
          <w:rFonts w:hint="eastAsia" w:ascii="宋体" w:hAnsi="宋体" w:eastAsia="宋体"/>
          <w:color w:val="auto"/>
          <w:sz w:val="28"/>
          <w:szCs w:val="28"/>
        </w:rPr>
        <w:t>13.2.1</w:t>
      </w:r>
      <w:r>
        <w:rPr>
          <w:rFonts w:hint="eastAsia" w:ascii="Arial" w:hAnsi="Arial" w:eastAsia="宋体"/>
          <w:color w:val="auto"/>
          <w:sz w:val="28"/>
          <w:szCs w:val="28"/>
        </w:rPr>
        <w:t>除本合同另有约定外，在本合同期内，乙方违约解除本合同或因乙方原因、甲方根据本合同约定或法律规定解除合同的，应向甲方赔</w:t>
      </w:r>
      <w:r>
        <w:rPr>
          <w:rFonts w:hint="eastAsia" w:ascii="宋体" w:hAnsi="Arial" w:eastAsia="宋体" w:cs="宋体"/>
          <w:color w:val="auto"/>
          <w:sz w:val="28"/>
          <w:szCs w:val="28"/>
          <w:lang w:val="zh-CN"/>
        </w:rPr>
        <w:t>偿相应损失及支付本合同规定的甲方剩余预期收益总额【剩余预期收益总额为：合同期内目标电量×（峰段市电电价+平段市电电价）/2×（1</w:t>
      </w:r>
      <w:r>
        <w:rPr>
          <w:rFonts w:hint="eastAsia" w:ascii="宋体" w:hAnsi="Arial" w:cs="宋体"/>
          <w:color w:val="auto"/>
          <w:sz w:val="28"/>
          <w:szCs w:val="28"/>
          <w:lang w:val="zh-CN"/>
        </w:rPr>
        <w:t>－</w:t>
      </w:r>
      <w:r>
        <w:rPr>
          <w:rFonts w:hint="eastAsia" w:ascii="宋体" w:hAnsi="Arial" w:eastAsia="宋体" w:cs="宋体"/>
          <w:color w:val="auto"/>
          <w:sz w:val="28"/>
          <w:szCs w:val="28"/>
          <w:lang w:val="zh-CN"/>
        </w:rPr>
        <w:t>电价折扣）</w:t>
      </w:r>
      <w:r>
        <w:rPr>
          <w:rFonts w:hint="eastAsia" w:ascii="宋体" w:hAnsi="Arial" w:cs="宋体"/>
          <w:color w:val="auto"/>
          <w:sz w:val="28"/>
          <w:szCs w:val="28"/>
          <w:lang w:val="zh-CN"/>
        </w:rPr>
        <w:t>－</w:t>
      </w:r>
      <w:r>
        <w:rPr>
          <w:rFonts w:hint="eastAsia" w:ascii="宋体" w:hAnsi="Arial" w:eastAsia="宋体" w:cs="宋体"/>
          <w:color w:val="auto"/>
          <w:sz w:val="28"/>
          <w:szCs w:val="28"/>
          <w:lang w:val="zh-CN"/>
        </w:rPr>
        <w:t>甲方已消纳电量节省的用电费用总额】×20%的违约金。</w:t>
      </w:r>
    </w:p>
    <w:p w14:paraId="4DEADBB9">
      <w:pPr>
        <w:widowControl w:val="0"/>
        <w:spacing w:after="60" w:line="360" w:lineRule="auto"/>
        <w:ind w:firstLine="560" w:firstLineChars="200"/>
        <w:jc w:val="both"/>
        <w:rPr>
          <w:rFonts w:ascii="宋体" w:hAnsi="Arial" w:eastAsia="宋体" w:cs="宋体"/>
          <w:color w:val="auto"/>
          <w:sz w:val="28"/>
          <w:szCs w:val="28"/>
          <w:lang w:val="zh-CN"/>
        </w:rPr>
      </w:pPr>
      <w:r>
        <w:rPr>
          <w:rFonts w:ascii="宋体" w:hAnsi="Arial" w:eastAsia="宋体" w:cs="宋体"/>
          <w:color w:val="auto"/>
          <w:sz w:val="28"/>
          <w:szCs w:val="28"/>
          <w:lang w:val="zh-CN"/>
        </w:rPr>
        <w:t>13.2.2</w:t>
      </w:r>
      <w:r>
        <w:rPr>
          <w:rFonts w:hint="eastAsia" w:ascii="宋体" w:hAnsi="Arial" w:eastAsia="宋体" w:cs="宋体"/>
          <w:color w:val="auto"/>
          <w:sz w:val="28"/>
          <w:szCs w:val="28"/>
          <w:lang w:val="zh-CN"/>
        </w:rPr>
        <w:t>乙方未能在合同约定的期限内完成验收及并网送电的，每逾期一日乙方应向甲方支付</w:t>
      </w:r>
      <w:r>
        <w:rPr>
          <w:rFonts w:ascii="宋体" w:hAnsi="Arial" w:eastAsia="宋体" w:cs="宋体"/>
          <w:color w:val="auto"/>
          <w:sz w:val="28"/>
          <w:szCs w:val="28"/>
          <w:lang w:val="zh-CN"/>
        </w:rPr>
        <w:t xml:space="preserve">   </w:t>
      </w:r>
      <w:r>
        <w:rPr>
          <w:rFonts w:hint="eastAsia" w:ascii="宋体" w:hAnsi="Arial" w:eastAsia="宋体" w:cs="宋体"/>
          <w:color w:val="auto"/>
          <w:sz w:val="28"/>
          <w:szCs w:val="28"/>
          <w:lang w:val="zh-CN"/>
        </w:rPr>
        <w:t>元违约金，逾期超过</w:t>
      </w:r>
      <w:r>
        <w:rPr>
          <w:rFonts w:ascii="宋体" w:hAnsi="Arial" w:eastAsia="宋体" w:cs="宋体"/>
          <w:color w:val="auto"/>
          <w:sz w:val="28"/>
          <w:szCs w:val="28"/>
          <w:lang w:val="zh-CN"/>
        </w:rPr>
        <w:t xml:space="preserve">  </w:t>
      </w:r>
      <w:r>
        <w:rPr>
          <w:rFonts w:hint="eastAsia" w:ascii="宋体" w:hAnsi="Arial" w:eastAsia="宋体" w:cs="宋体"/>
          <w:color w:val="auto"/>
          <w:sz w:val="28"/>
          <w:szCs w:val="28"/>
          <w:lang w:val="zh-CN"/>
        </w:rPr>
        <w:t>日的，甲方有权单方解除本合同，乙方需向甲方一次性支付</w:t>
      </w:r>
      <w:r>
        <w:rPr>
          <w:rFonts w:ascii="宋体" w:hAnsi="Arial" w:eastAsia="宋体" w:cs="宋体"/>
          <w:color w:val="auto"/>
          <w:sz w:val="28"/>
          <w:szCs w:val="28"/>
          <w:lang w:val="zh-CN"/>
        </w:rPr>
        <w:t xml:space="preserve">    </w:t>
      </w:r>
      <w:r>
        <w:rPr>
          <w:rFonts w:hint="eastAsia" w:ascii="宋体" w:hAnsi="Arial" w:eastAsia="宋体" w:cs="宋体"/>
          <w:color w:val="auto"/>
          <w:sz w:val="28"/>
          <w:szCs w:val="28"/>
          <w:lang w:val="zh-CN"/>
        </w:rPr>
        <w:t>元违约金，且需赔偿甲方因此造成的一切经济损失。</w:t>
      </w:r>
    </w:p>
    <w:p w14:paraId="0556DF7A">
      <w:pPr>
        <w:widowControl w:val="0"/>
        <w:spacing w:after="60" w:line="360" w:lineRule="auto"/>
        <w:ind w:firstLine="560" w:firstLineChars="200"/>
        <w:jc w:val="both"/>
        <w:rPr>
          <w:rFonts w:ascii="Arial" w:hAnsi="Arial" w:eastAsia="宋体"/>
          <w:color w:val="auto"/>
          <w:sz w:val="28"/>
          <w:szCs w:val="28"/>
        </w:rPr>
      </w:pPr>
      <w:bookmarkStart w:id="118" w:name="_Hlk105577481"/>
      <w:r>
        <w:rPr>
          <w:rFonts w:hint="eastAsia" w:ascii="宋体" w:hAnsi="Arial" w:eastAsia="宋体" w:cs="宋体"/>
          <w:color w:val="auto"/>
          <w:sz w:val="28"/>
          <w:szCs w:val="28"/>
          <w:lang w:val="zh-CN"/>
        </w:rPr>
        <w:t>13.2.</w:t>
      </w:r>
      <w:bookmarkEnd w:id="118"/>
      <w:r>
        <w:rPr>
          <w:rFonts w:ascii="宋体" w:hAnsi="Arial" w:eastAsia="宋体" w:cs="宋体"/>
          <w:color w:val="auto"/>
          <w:sz w:val="28"/>
          <w:szCs w:val="28"/>
          <w:lang w:val="zh-CN"/>
        </w:rPr>
        <w:t>3</w:t>
      </w:r>
      <w:r>
        <w:rPr>
          <w:rFonts w:hint="eastAsia" w:ascii="宋体" w:hAnsi="Arial" w:eastAsia="宋体" w:cs="宋体"/>
          <w:color w:val="auto"/>
          <w:sz w:val="28"/>
          <w:szCs w:val="28"/>
          <w:lang w:val="zh-CN"/>
        </w:rPr>
        <w:t>在合同期内，</w:t>
      </w:r>
      <w:r>
        <w:rPr>
          <w:rFonts w:hint="eastAsia" w:ascii="Arial" w:hAnsi="Arial" w:eastAsia="宋体"/>
          <w:color w:val="auto"/>
          <w:sz w:val="28"/>
          <w:szCs w:val="28"/>
        </w:rPr>
        <w:t>如乙方在接到甲方通知后未能及时、完整地履行节能设备和工程的维护、保养导致节能设备和工程不能正常运行，则应补偿由此给甲方造成的节能收益损失（参照不能正常运行前一月的用电量计算）。逾期超过</w:t>
      </w:r>
      <w:r>
        <w:rPr>
          <w:rFonts w:ascii="Arial" w:hAnsi="Arial" w:eastAsia="宋体"/>
          <w:color w:val="auto"/>
          <w:sz w:val="28"/>
          <w:szCs w:val="28"/>
          <w:u w:val="single"/>
        </w:rPr>
        <w:t>30</w:t>
      </w:r>
      <w:r>
        <w:rPr>
          <w:rFonts w:hint="eastAsia" w:ascii="Arial" w:hAnsi="Arial" w:eastAsia="宋体"/>
          <w:color w:val="auto"/>
          <w:sz w:val="28"/>
          <w:szCs w:val="28"/>
        </w:rPr>
        <w:t>日仍不履行合同不能正常供电的，甲方可以解除本合同。</w:t>
      </w:r>
    </w:p>
    <w:p w14:paraId="52EC4084">
      <w:pPr>
        <w:widowControl w:val="0"/>
        <w:spacing w:after="60" w:line="360" w:lineRule="auto"/>
        <w:ind w:firstLine="560" w:firstLineChars="200"/>
        <w:jc w:val="both"/>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w:t>
      </w:r>
      <w:r>
        <w:rPr>
          <w:rFonts w:asciiTheme="minorEastAsia" w:hAnsiTheme="minorEastAsia" w:eastAsiaTheme="minorEastAsia"/>
          <w:color w:val="auto"/>
          <w:sz w:val="28"/>
          <w:szCs w:val="28"/>
        </w:rPr>
        <w:t xml:space="preserve">3.2.4 </w:t>
      </w:r>
      <w:r>
        <w:rPr>
          <w:rFonts w:hint="eastAsia" w:asciiTheme="minorEastAsia" w:hAnsiTheme="minorEastAsia" w:eastAsiaTheme="minorEastAsia"/>
          <w:color w:val="auto"/>
          <w:sz w:val="28"/>
          <w:szCs w:val="28"/>
        </w:rPr>
        <w:t>在合同期内，如乙方未能及时、完整地履行对甲方资产的维护、保养、应急服务承诺，甲方有权延期支付电费，直至乙方兑现承诺为止。</w:t>
      </w:r>
    </w:p>
    <w:p w14:paraId="44C803A7">
      <w:pPr>
        <w:widowControl w:val="0"/>
        <w:spacing w:after="60" w:line="360" w:lineRule="auto"/>
        <w:ind w:firstLine="560" w:firstLineChars="200"/>
        <w:jc w:val="both"/>
        <w:rPr>
          <w:rFonts w:ascii="Arial" w:hAnsi="Arial" w:eastAsia="宋体"/>
          <w:color w:val="auto"/>
          <w:kern w:val="2"/>
          <w:sz w:val="28"/>
          <w:szCs w:val="28"/>
        </w:rPr>
      </w:pPr>
      <w:r>
        <w:rPr>
          <w:rFonts w:hint="eastAsia" w:ascii="宋体" w:hAnsi="宋体" w:eastAsia="宋体"/>
          <w:color w:val="auto"/>
          <w:kern w:val="2"/>
          <w:sz w:val="28"/>
          <w:szCs w:val="28"/>
        </w:rPr>
        <w:t>13.</w:t>
      </w:r>
      <w:r>
        <w:rPr>
          <w:rFonts w:ascii="宋体" w:hAnsi="宋体" w:eastAsia="宋体"/>
          <w:color w:val="auto"/>
          <w:kern w:val="2"/>
          <w:sz w:val="28"/>
          <w:szCs w:val="28"/>
        </w:rPr>
        <w:t>3</w:t>
      </w:r>
      <w:r>
        <w:rPr>
          <w:rFonts w:hint="eastAsia" w:ascii="Arial" w:hAnsi="Arial" w:eastAsia="宋体"/>
          <w:color w:val="auto"/>
          <w:kern w:val="2"/>
          <w:sz w:val="28"/>
          <w:szCs w:val="28"/>
        </w:rPr>
        <w:t>在违约引发的诉讼或仲裁程序中，违约方应赔偿守约方因诉讼或仲裁产生的不高于政府收费指导标准的律师费及为维权支出</w:t>
      </w:r>
      <w:r>
        <w:rPr>
          <w:rFonts w:hint="eastAsia" w:ascii="Arial" w:hAnsi="Arial"/>
          <w:color w:val="auto"/>
          <w:kern w:val="2"/>
          <w:sz w:val="28"/>
          <w:szCs w:val="28"/>
          <w:lang w:eastAsia="zh-CN"/>
        </w:rPr>
        <w:t>的其他</w:t>
      </w:r>
      <w:r>
        <w:rPr>
          <w:rFonts w:hint="eastAsia" w:ascii="Arial" w:hAnsi="Arial" w:eastAsia="宋体"/>
          <w:color w:val="auto"/>
          <w:kern w:val="2"/>
          <w:sz w:val="28"/>
          <w:szCs w:val="28"/>
        </w:rPr>
        <w:t>合理费用。</w:t>
      </w:r>
    </w:p>
    <w:p w14:paraId="160CD44E">
      <w:pPr>
        <w:widowControl w:val="0"/>
        <w:spacing w:after="60" w:line="360" w:lineRule="auto"/>
        <w:ind w:firstLine="560" w:firstLineChars="200"/>
        <w:jc w:val="both"/>
        <w:rPr>
          <w:rFonts w:ascii="Arial" w:hAnsi="Arial" w:eastAsia="宋体"/>
          <w:color w:val="auto"/>
          <w:kern w:val="2"/>
          <w:sz w:val="28"/>
          <w:szCs w:val="28"/>
        </w:rPr>
      </w:pPr>
      <w:r>
        <w:rPr>
          <w:rFonts w:asciiTheme="minorEastAsia" w:hAnsiTheme="minorEastAsia" w:eastAsiaTheme="minorEastAsia"/>
          <w:color w:val="auto"/>
          <w:kern w:val="2"/>
          <w:sz w:val="28"/>
          <w:szCs w:val="28"/>
        </w:rPr>
        <w:t>13.4</w:t>
      </w:r>
      <w:r>
        <w:rPr>
          <w:rFonts w:hint="eastAsia" w:ascii="Arial" w:hAnsi="Arial" w:eastAsia="宋体"/>
          <w:color w:val="auto"/>
          <w:kern w:val="2"/>
          <w:sz w:val="28"/>
          <w:szCs w:val="28"/>
        </w:rPr>
        <w:t>本合同不论因任何原因解除或终止后，乙方应在解除或终止之日起</w:t>
      </w:r>
      <w:r>
        <w:rPr>
          <w:rFonts w:ascii="Arial" w:hAnsi="Arial" w:eastAsia="宋体"/>
          <w:color w:val="auto"/>
          <w:kern w:val="2"/>
          <w:sz w:val="28"/>
          <w:szCs w:val="28"/>
        </w:rPr>
        <w:t>30</w:t>
      </w:r>
      <w:r>
        <w:rPr>
          <w:rFonts w:hint="eastAsia" w:ascii="Arial" w:hAnsi="Arial" w:eastAsia="宋体"/>
          <w:color w:val="auto"/>
          <w:kern w:val="2"/>
          <w:sz w:val="28"/>
          <w:szCs w:val="28"/>
        </w:rPr>
        <w:t>日内拆除所有光伏设备和附属设施并搬离，恢复屋面至正常使用状态，所有费用均由乙方自行承担。逾期未搬离的物品视为乙方放弃物品所有权，甲方有权自行处置，产生相关费用由乙方承担，不足部分由乙方补足，且乙方应向甲方支付逾期搬离期间每日</w:t>
      </w:r>
      <w:r>
        <w:rPr>
          <w:rFonts w:hint="eastAsia" w:ascii="Arial" w:hAnsi="Arial" w:eastAsia="宋体"/>
          <w:color w:val="auto"/>
          <w:kern w:val="2"/>
          <w:sz w:val="28"/>
          <w:szCs w:val="28"/>
          <w:lang w:val="en-US" w:eastAsia="zh-CN"/>
        </w:rPr>
        <w:t>5000</w:t>
      </w:r>
      <w:r>
        <w:rPr>
          <w:rFonts w:hint="eastAsia" w:ascii="Arial" w:hAnsi="Arial" w:eastAsia="宋体"/>
          <w:color w:val="auto"/>
          <w:kern w:val="2"/>
          <w:sz w:val="28"/>
          <w:szCs w:val="28"/>
        </w:rPr>
        <w:t>元屋面使用费。</w:t>
      </w:r>
    </w:p>
    <w:p w14:paraId="34F6CC0B">
      <w:pPr>
        <w:keepNext/>
        <w:keepLines/>
        <w:widowControl w:val="0"/>
        <w:spacing w:before="120" w:after="120" w:line="360" w:lineRule="auto"/>
        <w:ind w:firstLine="562" w:firstLineChars="200"/>
        <w:jc w:val="both"/>
        <w:outlineLvl w:val="0"/>
        <w:rPr>
          <w:rFonts w:ascii="黑体" w:hAnsi="黑体" w:eastAsia="黑体"/>
          <w:b/>
          <w:bCs/>
          <w:color w:val="auto"/>
          <w:kern w:val="44"/>
          <w:sz w:val="28"/>
          <w:szCs w:val="28"/>
        </w:rPr>
      </w:pPr>
      <w:bookmarkStart w:id="119" w:name="_Toc516658036"/>
      <w:bookmarkStart w:id="120" w:name="_Toc518569078"/>
      <w:r>
        <w:rPr>
          <w:rFonts w:hint="eastAsia" w:ascii="黑体" w:hAnsi="黑体" w:eastAsia="黑体"/>
          <w:b/>
          <w:bCs/>
          <w:color w:val="auto"/>
          <w:kern w:val="44"/>
          <w:sz w:val="28"/>
          <w:szCs w:val="28"/>
        </w:rPr>
        <w:t xml:space="preserve">第七部分 </w:t>
      </w:r>
      <w:r>
        <w:rPr>
          <w:rFonts w:hint="eastAsia" w:ascii="黑体" w:hAnsi="黑体" w:eastAsia="黑体"/>
          <w:b/>
          <w:bCs/>
          <w:color w:val="auto"/>
          <w:kern w:val="44"/>
          <w:sz w:val="28"/>
          <w:szCs w:val="28"/>
          <w:lang w:eastAsia="zh-CN"/>
        </w:rPr>
        <w:t>其他条款</w:t>
      </w:r>
      <w:bookmarkEnd w:id="119"/>
      <w:bookmarkEnd w:id="120"/>
    </w:p>
    <w:p w14:paraId="674F2C9A">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21" w:name="_Toc516658037"/>
      <w:bookmarkStart w:id="122" w:name="_Toc518569079"/>
      <w:r>
        <w:rPr>
          <w:rFonts w:hint="eastAsia" w:ascii="黑体" w:hAnsi="黑体" w:eastAsia="黑体"/>
          <w:b/>
          <w:bCs/>
          <w:color w:val="auto"/>
          <w:kern w:val="2"/>
          <w:sz w:val="28"/>
          <w:szCs w:val="28"/>
        </w:rPr>
        <w:t>14．保密</w:t>
      </w:r>
      <w:bookmarkEnd w:id="121"/>
      <w:bookmarkEnd w:id="122"/>
    </w:p>
    <w:p w14:paraId="278C9105">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14.1</w:t>
      </w:r>
      <w:r>
        <w:rPr>
          <w:rFonts w:hint="eastAsia" w:ascii="Arial" w:hAnsi="Arial" w:eastAsia="宋体"/>
          <w:color w:val="auto"/>
          <w:sz w:val="28"/>
          <w:szCs w:val="28"/>
        </w:rPr>
        <w:t>对于项目所涉及的属于合同一方的设计方案、施工方案及其他商业秘密，除为履行合同必须向第三方披露并要求该第三方承担同样的保密义务外，合同对方应对第三方予以保密，不得披露、使用或者允许他人使用，但按法律、法规规定并应有权国家机关的要求予以披露的除外。此义务不因合同无效、解除或终止而消灭或免除，直至上述商业秘密成为公开信息。</w:t>
      </w:r>
    </w:p>
    <w:p w14:paraId="5A7BE5A6">
      <w:pPr>
        <w:widowControl w:val="0"/>
        <w:spacing w:after="60" w:line="360"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14.2</w:t>
      </w:r>
      <w:r>
        <w:rPr>
          <w:rFonts w:hint="eastAsia" w:ascii="Arial" w:hAnsi="Arial" w:eastAsia="宋体"/>
          <w:color w:val="auto"/>
          <w:sz w:val="28"/>
          <w:szCs w:val="28"/>
        </w:rPr>
        <w:t>本项目的节能方案、工程设计方案、施工图纸等关键性技术信息，甲方不得直接或间接用于其分公司、子公司</w:t>
      </w:r>
      <w:r>
        <w:rPr>
          <w:rFonts w:hint="eastAsia" w:ascii="Arial" w:hAnsi="Arial"/>
          <w:color w:val="auto"/>
          <w:sz w:val="28"/>
          <w:szCs w:val="28"/>
          <w:lang w:eastAsia="zh-CN"/>
        </w:rPr>
        <w:t>等其他</w:t>
      </w:r>
      <w:r>
        <w:rPr>
          <w:rFonts w:hint="eastAsia" w:ascii="Arial" w:hAnsi="Arial" w:eastAsia="宋体"/>
          <w:color w:val="auto"/>
          <w:sz w:val="28"/>
          <w:szCs w:val="28"/>
        </w:rPr>
        <w:t>关联企业或任何第三方的节能技术改造项目中。</w:t>
      </w:r>
    </w:p>
    <w:p w14:paraId="042EEB6C">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23" w:name="_Toc516658038"/>
      <w:bookmarkStart w:id="124" w:name="_Toc518569080"/>
      <w:r>
        <w:rPr>
          <w:rFonts w:hint="eastAsia" w:ascii="黑体" w:hAnsi="黑体" w:eastAsia="黑体"/>
          <w:b/>
          <w:bCs/>
          <w:color w:val="auto"/>
          <w:kern w:val="2"/>
          <w:sz w:val="28"/>
          <w:szCs w:val="28"/>
        </w:rPr>
        <w:t>15．保险</w:t>
      </w:r>
      <w:bookmarkEnd w:id="123"/>
      <w:bookmarkEnd w:id="124"/>
    </w:p>
    <w:p w14:paraId="6301C08D">
      <w:pPr>
        <w:widowControl w:val="0"/>
        <w:spacing w:after="60" w:line="360" w:lineRule="auto"/>
        <w:ind w:firstLine="560" w:firstLineChars="200"/>
        <w:jc w:val="both"/>
        <w:rPr>
          <w:rFonts w:ascii="Arial" w:hAnsi="Arial" w:eastAsia="宋体"/>
          <w:color w:val="auto"/>
          <w:kern w:val="2"/>
          <w:sz w:val="28"/>
          <w:szCs w:val="28"/>
        </w:rPr>
      </w:pPr>
      <w:r>
        <w:rPr>
          <w:rFonts w:hint="eastAsia" w:ascii="Arial" w:hAnsi="Arial" w:eastAsia="宋体"/>
          <w:color w:val="auto"/>
          <w:kern w:val="2"/>
          <w:sz w:val="28"/>
          <w:szCs w:val="28"/>
        </w:rPr>
        <w:t>乙方在合同履行期间负责投保与项目有关的公众责任保险、机器损坏险和财产一切险，并承担保险费。财产保险投保数额应不少于投保财产的实际价值，乙方为被保险人。保险赔偿金应优先用于甲方财产损失的相关赔付。</w:t>
      </w:r>
    </w:p>
    <w:p w14:paraId="30D0A436">
      <w:pPr>
        <w:keepNext/>
        <w:keepLines/>
        <w:widowControl w:val="0"/>
        <w:numPr>
          <w:ilvl w:val="0"/>
          <w:numId w:val="7"/>
        </w:numPr>
        <w:spacing w:before="120" w:after="120" w:line="360" w:lineRule="auto"/>
        <w:ind w:firstLine="562" w:firstLineChars="200"/>
        <w:jc w:val="both"/>
        <w:outlineLvl w:val="1"/>
        <w:rPr>
          <w:rFonts w:ascii="黑体" w:hAnsi="黑体" w:eastAsia="黑体"/>
          <w:b/>
          <w:bCs/>
          <w:color w:val="auto"/>
          <w:kern w:val="2"/>
          <w:sz w:val="28"/>
          <w:szCs w:val="28"/>
        </w:rPr>
      </w:pPr>
      <w:bookmarkStart w:id="125" w:name="_Toc516658039"/>
      <w:bookmarkStart w:id="126" w:name="_Toc518569081"/>
      <w:r>
        <w:rPr>
          <w:rFonts w:hint="eastAsia" w:ascii="黑体" w:hAnsi="黑体" w:eastAsia="黑体"/>
          <w:b/>
          <w:bCs/>
          <w:color w:val="auto"/>
          <w:kern w:val="2"/>
          <w:sz w:val="28"/>
          <w:szCs w:val="28"/>
        </w:rPr>
        <w:t>税费</w:t>
      </w:r>
      <w:bookmarkEnd w:id="125"/>
      <w:bookmarkEnd w:id="126"/>
    </w:p>
    <w:p w14:paraId="5C8FA590">
      <w:pPr>
        <w:widowControl w:val="0"/>
        <w:tabs>
          <w:tab w:val="left" w:pos="180"/>
          <w:tab w:val="left" w:pos="360"/>
        </w:tabs>
        <w:jc w:val="both"/>
        <w:rPr>
          <w:rFonts w:ascii="Arial" w:hAnsi="Arial" w:eastAsia="宋体"/>
          <w:color w:val="auto"/>
          <w:kern w:val="2"/>
          <w:sz w:val="28"/>
          <w:szCs w:val="28"/>
        </w:rPr>
      </w:pPr>
      <w:r>
        <w:rPr>
          <w:rFonts w:hint="eastAsia" w:ascii="黑体" w:hAnsi="黑体" w:eastAsia="黑体"/>
          <w:color w:val="auto"/>
          <w:kern w:val="2"/>
          <w:sz w:val="28"/>
          <w:szCs w:val="28"/>
        </w:rPr>
        <w:t xml:space="preserve"> </w:t>
      </w:r>
      <w:r>
        <w:rPr>
          <w:rFonts w:hint="eastAsia" w:ascii="Arial" w:hAnsi="Arial" w:eastAsia="宋体"/>
          <w:color w:val="auto"/>
          <w:kern w:val="2"/>
          <w:sz w:val="28"/>
          <w:szCs w:val="28"/>
        </w:rPr>
        <w:t xml:space="preserve">   由甲方支付给乙方的用电费用及乙方支付给甲方的水电费，均为已含税费用。</w:t>
      </w:r>
    </w:p>
    <w:p w14:paraId="53E8636A">
      <w:pPr>
        <w:widowControl w:val="0"/>
        <w:tabs>
          <w:tab w:val="left" w:pos="180"/>
          <w:tab w:val="left" w:pos="360"/>
        </w:tabs>
        <w:ind w:firstLine="562" w:firstLineChars="200"/>
        <w:jc w:val="both"/>
        <w:rPr>
          <w:rFonts w:asciiTheme="majorEastAsia" w:hAnsiTheme="majorEastAsia" w:eastAsiaTheme="majorEastAsia"/>
          <w:b/>
          <w:bCs/>
          <w:color w:val="auto"/>
          <w:kern w:val="2"/>
          <w:sz w:val="28"/>
          <w:szCs w:val="28"/>
        </w:rPr>
      </w:pPr>
      <w:r>
        <w:rPr>
          <w:rFonts w:asciiTheme="majorEastAsia" w:hAnsiTheme="majorEastAsia" w:eastAsiaTheme="majorEastAsia"/>
          <w:b/>
          <w:bCs/>
          <w:color w:val="auto"/>
          <w:kern w:val="2"/>
          <w:sz w:val="28"/>
          <w:szCs w:val="28"/>
        </w:rPr>
        <w:t>17</w:t>
      </w:r>
      <w:r>
        <w:rPr>
          <w:rFonts w:hint="eastAsia" w:asciiTheme="majorEastAsia" w:hAnsiTheme="majorEastAsia" w:eastAsiaTheme="majorEastAsia"/>
          <w:b/>
          <w:bCs/>
          <w:color w:val="auto"/>
          <w:kern w:val="2"/>
          <w:sz w:val="28"/>
          <w:szCs w:val="28"/>
        </w:rPr>
        <w:t>．遵守法律的约定</w:t>
      </w:r>
    </w:p>
    <w:p w14:paraId="5AFABFED">
      <w:pPr>
        <w:pStyle w:val="103"/>
        <w:spacing w:line="276" w:lineRule="auto"/>
        <w:ind w:firstLine="560" w:firstLineChars="200"/>
        <w:rPr>
          <w:rFonts w:asciiTheme="majorEastAsia" w:hAnsiTheme="majorEastAsia" w:eastAsiaTheme="majorEastAsia"/>
          <w:b/>
          <w:bCs/>
          <w:color w:val="auto"/>
          <w:sz w:val="28"/>
          <w:szCs w:val="28"/>
        </w:rPr>
      </w:pPr>
      <w:r>
        <w:rPr>
          <w:rFonts w:ascii="宋体" w:hAnsi="宋体" w:eastAsia="宋体"/>
          <w:color w:val="auto"/>
          <w:sz w:val="28"/>
          <w:szCs w:val="28"/>
        </w:rPr>
        <w:t xml:space="preserve">17.1 </w:t>
      </w:r>
      <w:r>
        <w:rPr>
          <w:rFonts w:hint="eastAsia" w:ascii="宋体" w:hAnsi="宋体" w:eastAsia="宋体"/>
          <w:color w:val="auto"/>
          <w:sz w:val="28"/>
          <w:szCs w:val="28"/>
        </w:rPr>
        <w:t>关于排除反社会势力、反贿赂、反洗钱与反恐怖融资等遵守法律的约定，甲乙双方另行签订附件的《合规协议》，遵从协议内容。</w:t>
      </w:r>
    </w:p>
    <w:p w14:paraId="30B78507">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27" w:name="_Toc516658040"/>
      <w:bookmarkStart w:id="128" w:name="_Toc518569082"/>
      <w:r>
        <w:rPr>
          <w:rFonts w:hint="eastAsia" w:ascii="黑体" w:hAnsi="黑体" w:eastAsia="黑体"/>
          <w:b/>
          <w:bCs/>
          <w:color w:val="auto"/>
          <w:kern w:val="2"/>
          <w:sz w:val="28"/>
          <w:szCs w:val="28"/>
        </w:rPr>
        <w:t>1</w:t>
      </w:r>
      <w:r>
        <w:rPr>
          <w:rFonts w:ascii="黑体" w:hAnsi="黑体" w:eastAsia="黑体"/>
          <w:b/>
          <w:bCs/>
          <w:color w:val="auto"/>
          <w:kern w:val="2"/>
          <w:sz w:val="28"/>
          <w:szCs w:val="28"/>
        </w:rPr>
        <w:t>8</w:t>
      </w:r>
      <w:r>
        <w:rPr>
          <w:rFonts w:hint="eastAsia" w:ascii="黑体" w:hAnsi="黑体" w:eastAsia="黑体"/>
          <w:b/>
          <w:bCs/>
          <w:color w:val="auto"/>
          <w:kern w:val="2"/>
          <w:sz w:val="28"/>
          <w:szCs w:val="28"/>
        </w:rPr>
        <w:t>．不可抗力</w:t>
      </w:r>
      <w:bookmarkEnd w:id="127"/>
      <w:bookmarkEnd w:id="128"/>
    </w:p>
    <w:p w14:paraId="1A902F35">
      <w:pPr>
        <w:pStyle w:val="103"/>
        <w:spacing w:line="276" w:lineRule="auto"/>
        <w:ind w:firstLine="560" w:firstLineChars="200"/>
        <w:rPr>
          <w:color w:val="auto"/>
          <w:kern w:val="0"/>
          <w:sz w:val="28"/>
          <w:szCs w:val="28"/>
        </w:rPr>
      </w:pPr>
      <w:r>
        <w:rPr>
          <w:rFonts w:hint="eastAsia" w:ascii="宋体" w:hAnsi="宋体" w:eastAsia="宋体"/>
          <w:color w:val="auto"/>
          <w:sz w:val="28"/>
          <w:szCs w:val="28"/>
        </w:rPr>
        <w:t>1</w:t>
      </w:r>
      <w:r>
        <w:rPr>
          <w:rFonts w:ascii="宋体" w:hAnsi="宋体" w:eastAsia="宋体"/>
          <w:color w:val="auto"/>
          <w:sz w:val="28"/>
          <w:szCs w:val="28"/>
        </w:rPr>
        <w:t>8</w:t>
      </w:r>
      <w:r>
        <w:rPr>
          <w:rFonts w:hint="eastAsia" w:ascii="宋体" w:hAnsi="宋体" w:eastAsia="宋体"/>
          <w:color w:val="auto"/>
          <w:sz w:val="28"/>
          <w:szCs w:val="28"/>
        </w:rPr>
        <w:t>.1</w:t>
      </w:r>
      <w:r>
        <w:rPr>
          <w:rFonts w:hint="eastAsia" w:ascii="Arial" w:hAnsi="Arial" w:eastAsia="宋体"/>
          <w:color w:val="auto"/>
          <w:sz w:val="28"/>
          <w:szCs w:val="28"/>
        </w:rPr>
        <w:t>不可抗力是指合同订立时不能预见、不能避免并不能克服的客观情况。包括自然灾害，如台风、地震、洪水、冰雹；政府行为，如政策、征收、征用、</w:t>
      </w:r>
      <w:r>
        <w:rPr>
          <w:rFonts w:hint="eastAsia" w:ascii="Arial" w:hAnsi="Arial" w:eastAsia="宋体"/>
          <w:color w:val="000000" w:themeColor="text1"/>
          <w:sz w:val="28"/>
          <w:szCs w:val="28"/>
          <w14:textFill>
            <w14:solidFill>
              <w14:schemeClr w14:val="tx1"/>
            </w14:solidFill>
          </w14:textFill>
        </w:rPr>
        <w:t>政府指摘、环境影响；</w:t>
      </w:r>
      <w:r>
        <w:rPr>
          <w:rFonts w:hint="eastAsia" w:ascii="Arial" w:hAnsi="Arial" w:eastAsia="宋体"/>
          <w:color w:val="auto"/>
          <w:sz w:val="28"/>
          <w:szCs w:val="28"/>
        </w:rPr>
        <w:t>社会异常事件，如罢工、骚乱三方面。因不可抗力而违约的不追究违约责任。但在发生不可抗力的情况下，遇有不可抗力事件的一方应立即将详细情况告知另一方，并随后提供事件详情的有效证明文件。根据不可抗力事件对履行合同的影响程度，由甲、乙双方协商确定延期履行、部分免除履行或终止本合同。</w:t>
      </w:r>
    </w:p>
    <w:p w14:paraId="7D859F64">
      <w:pPr>
        <w:widowControl w:val="0"/>
        <w:spacing w:after="60" w:line="276" w:lineRule="auto"/>
        <w:ind w:firstLine="560" w:firstLineChars="200"/>
        <w:jc w:val="both"/>
        <w:rPr>
          <w:rFonts w:ascii="Arial" w:hAnsi="Arial"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8</w:t>
      </w:r>
      <w:r>
        <w:rPr>
          <w:rFonts w:hint="eastAsia" w:ascii="宋体" w:hAnsi="宋体" w:eastAsia="宋体"/>
          <w:color w:val="auto"/>
          <w:sz w:val="28"/>
          <w:szCs w:val="28"/>
        </w:rPr>
        <w:t>.2</w:t>
      </w:r>
      <w:r>
        <w:rPr>
          <w:rFonts w:hint="eastAsia" w:ascii="Arial" w:hAnsi="Arial" w:eastAsia="宋体"/>
          <w:color w:val="auto"/>
          <w:sz w:val="28"/>
          <w:szCs w:val="28"/>
        </w:rPr>
        <w:t>遇有不可抗力事件的一方应及时通知对方，并采取措施避免扩大损失。</w:t>
      </w:r>
    </w:p>
    <w:p w14:paraId="6E8EF85E">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29" w:name="_Toc516658041"/>
      <w:bookmarkStart w:id="130" w:name="_Toc518569083"/>
      <w:r>
        <w:rPr>
          <w:rFonts w:hint="eastAsia" w:ascii="黑体" w:hAnsi="黑体" w:eastAsia="黑体"/>
          <w:b/>
          <w:bCs/>
          <w:color w:val="auto"/>
          <w:kern w:val="2"/>
          <w:sz w:val="28"/>
          <w:szCs w:val="28"/>
        </w:rPr>
        <w:t>1</w:t>
      </w:r>
      <w:r>
        <w:rPr>
          <w:rFonts w:ascii="黑体" w:hAnsi="黑体" w:eastAsia="黑体"/>
          <w:b/>
          <w:bCs/>
          <w:color w:val="auto"/>
          <w:kern w:val="2"/>
          <w:sz w:val="28"/>
          <w:szCs w:val="28"/>
        </w:rPr>
        <w:t>9</w:t>
      </w:r>
      <w:r>
        <w:rPr>
          <w:rFonts w:hint="eastAsia" w:ascii="黑体" w:hAnsi="黑体" w:eastAsia="黑体"/>
          <w:b/>
          <w:bCs/>
          <w:color w:val="auto"/>
          <w:kern w:val="2"/>
          <w:sz w:val="28"/>
          <w:szCs w:val="28"/>
        </w:rPr>
        <w:t>．争议的解决</w:t>
      </w:r>
      <w:bookmarkEnd w:id="129"/>
      <w:bookmarkEnd w:id="130"/>
    </w:p>
    <w:p w14:paraId="09A81A7D">
      <w:pPr>
        <w:widowControl w:val="0"/>
        <w:spacing w:after="60" w:line="360" w:lineRule="auto"/>
        <w:ind w:firstLine="560" w:firstLineChars="200"/>
        <w:jc w:val="both"/>
        <w:rPr>
          <w:rFonts w:ascii="Arial" w:hAnsi="Arial" w:eastAsia="宋体"/>
          <w:color w:val="auto"/>
          <w:sz w:val="28"/>
          <w:szCs w:val="28"/>
        </w:rPr>
      </w:pPr>
      <w:r>
        <w:rPr>
          <w:rFonts w:hint="eastAsia" w:ascii="Arial" w:hAnsi="Arial" w:eastAsia="宋体"/>
          <w:color w:val="auto"/>
          <w:sz w:val="28"/>
          <w:szCs w:val="28"/>
        </w:rPr>
        <w:t>因本合同引起或与本合同有关的争议，合同双方应友好协商解决，协商不成的，任一方可向</w:t>
      </w:r>
      <w:r>
        <w:rPr>
          <w:rFonts w:hint="eastAsia" w:ascii="宋体" w:hAnsi="宋体" w:eastAsia="宋体" w:cs="宋体"/>
          <w:color w:val="auto"/>
          <w:kern w:val="2"/>
          <w:sz w:val="28"/>
          <w:szCs w:val="28"/>
          <w:u w:val="single"/>
        </w:rPr>
        <w:t xml:space="preserve"> 甲方住所地 </w:t>
      </w:r>
      <w:r>
        <w:rPr>
          <w:rFonts w:hint="eastAsia" w:ascii="宋体" w:hAnsi="宋体" w:eastAsia="宋体" w:cs="宋体"/>
          <w:color w:val="auto"/>
          <w:kern w:val="2"/>
          <w:sz w:val="28"/>
          <w:szCs w:val="28"/>
        </w:rPr>
        <w:t>人民法院提起诉讼</w:t>
      </w:r>
      <w:r>
        <w:rPr>
          <w:rFonts w:hint="eastAsia" w:ascii="Arial" w:hAnsi="Arial" w:eastAsia="宋体"/>
          <w:color w:val="auto"/>
          <w:sz w:val="28"/>
          <w:szCs w:val="28"/>
        </w:rPr>
        <w:t>。</w:t>
      </w:r>
    </w:p>
    <w:p w14:paraId="5ED96019">
      <w:pPr>
        <w:keepNext/>
        <w:keepLines/>
        <w:widowControl w:val="0"/>
        <w:spacing w:before="120" w:after="120" w:line="360" w:lineRule="auto"/>
        <w:ind w:firstLine="562" w:firstLineChars="200"/>
        <w:jc w:val="both"/>
        <w:outlineLvl w:val="1"/>
        <w:rPr>
          <w:rFonts w:ascii="黑体" w:hAnsi="黑体" w:eastAsia="黑体"/>
          <w:b/>
          <w:bCs/>
          <w:color w:val="auto"/>
          <w:kern w:val="2"/>
          <w:sz w:val="28"/>
          <w:szCs w:val="28"/>
        </w:rPr>
      </w:pPr>
      <w:bookmarkStart w:id="131" w:name="_Toc518569084"/>
      <w:bookmarkStart w:id="132" w:name="_Toc516658042"/>
      <w:r>
        <w:rPr>
          <w:rFonts w:ascii="黑体" w:hAnsi="黑体" w:eastAsia="黑体"/>
          <w:b/>
          <w:bCs/>
          <w:color w:val="auto"/>
          <w:kern w:val="2"/>
          <w:sz w:val="28"/>
          <w:szCs w:val="28"/>
        </w:rPr>
        <w:t>20</w:t>
      </w:r>
      <w:r>
        <w:rPr>
          <w:rFonts w:hint="eastAsia" w:ascii="黑体" w:hAnsi="黑体" w:eastAsia="黑体"/>
          <w:b/>
          <w:bCs/>
          <w:color w:val="auto"/>
          <w:kern w:val="2"/>
          <w:sz w:val="28"/>
          <w:szCs w:val="28"/>
        </w:rPr>
        <w:t>．</w:t>
      </w:r>
      <w:r>
        <w:rPr>
          <w:rFonts w:hint="eastAsia" w:ascii="黑体" w:hAnsi="黑体" w:eastAsia="黑体"/>
          <w:b/>
          <w:bCs/>
          <w:color w:val="auto"/>
          <w:kern w:val="2"/>
          <w:sz w:val="28"/>
          <w:szCs w:val="28"/>
          <w:lang w:eastAsia="zh-CN"/>
        </w:rPr>
        <w:t>其他约定</w:t>
      </w:r>
      <w:bookmarkEnd w:id="131"/>
      <w:bookmarkEnd w:id="132"/>
    </w:p>
    <w:p w14:paraId="706BCCB0">
      <w:pPr>
        <w:widowControl w:val="0"/>
        <w:spacing w:after="60" w:line="360" w:lineRule="auto"/>
        <w:ind w:firstLine="560" w:firstLineChars="200"/>
        <w:jc w:val="both"/>
        <w:rPr>
          <w:rFonts w:ascii="Arial" w:hAnsi="Arial" w:eastAsia="宋体"/>
          <w:color w:val="auto"/>
          <w:sz w:val="28"/>
          <w:szCs w:val="28"/>
        </w:rPr>
      </w:pPr>
      <w:r>
        <w:rPr>
          <w:rFonts w:ascii="宋体" w:hAnsi="宋体" w:eastAsia="宋体"/>
          <w:color w:val="auto"/>
          <w:sz w:val="28"/>
          <w:szCs w:val="28"/>
        </w:rPr>
        <w:t>20</w:t>
      </w:r>
      <w:r>
        <w:rPr>
          <w:rFonts w:hint="eastAsia" w:ascii="宋体" w:hAnsi="宋体" w:eastAsia="宋体"/>
          <w:color w:val="auto"/>
          <w:sz w:val="28"/>
          <w:szCs w:val="28"/>
        </w:rPr>
        <w:t>.</w:t>
      </w:r>
      <w:r>
        <w:rPr>
          <w:rFonts w:ascii="宋体" w:hAnsi="宋体" w:eastAsia="宋体"/>
          <w:color w:val="auto"/>
          <w:sz w:val="28"/>
          <w:szCs w:val="28"/>
        </w:rPr>
        <w:t>1</w:t>
      </w:r>
      <w:r>
        <w:rPr>
          <w:rFonts w:hint="eastAsia" w:ascii="Arial" w:hAnsi="Arial" w:eastAsia="宋体"/>
          <w:color w:val="auto"/>
          <w:sz w:val="28"/>
          <w:szCs w:val="28"/>
        </w:rPr>
        <w:t>本合同自双方签字盖章后生效。合同正本一式2份，双方各执1份，副本一式4份，双方各执2份，具有同等法律效力。</w:t>
      </w:r>
    </w:p>
    <w:p w14:paraId="121FF013">
      <w:pPr>
        <w:widowControl w:val="0"/>
        <w:spacing w:line="360" w:lineRule="auto"/>
        <w:ind w:firstLine="562" w:firstLineChars="200"/>
        <w:jc w:val="both"/>
        <w:rPr>
          <w:rFonts w:ascii="宋体" w:hAnsi="宋体" w:eastAsia="宋体"/>
          <w:b/>
          <w:color w:val="auto"/>
          <w:kern w:val="2"/>
          <w:sz w:val="28"/>
          <w:szCs w:val="28"/>
        </w:rPr>
      </w:pPr>
      <w:r>
        <w:rPr>
          <w:rFonts w:hint="eastAsia" w:ascii="宋体" w:hAnsi="宋体" w:eastAsia="宋体"/>
          <w:b/>
          <w:color w:val="auto"/>
          <w:kern w:val="2"/>
          <w:sz w:val="28"/>
          <w:szCs w:val="28"/>
        </w:rPr>
        <w:t>（以下无正文）</w:t>
      </w:r>
      <w:r>
        <w:rPr>
          <w:rFonts w:ascii="宋体" w:hAnsi="宋体" w:eastAsia="宋体"/>
          <w:b/>
          <w:color w:val="auto"/>
          <w:kern w:val="2"/>
          <w:sz w:val="28"/>
          <w:szCs w:val="28"/>
        </w:rPr>
        <w:br w:type="page"/>
      </w:r>
    </w:p>
    <w:p w14:paraId="0AF6F020">
      <w:pPr>
        <w:widowControl w:val="0"/>
        <w:spacing w:line="360" w:lineRule="auto"/>
        <w:jc w:val="both"/>
        <w:rPr>
          <w:rFonts w:ascii="宋体" w:hAnsi="宋体" w:eastAsia="宋体"/>
          <w:b/>
          <w:color w:val="auto"/>
          <w:kern w:val="2"/>
          <w:sz w:val="28"/>
          <w:szCs w:val="28"/>
        </w:rPr>
      </w:pPr>
      <w:r>
        <w:rPr>
          <w:rFonts w:hint="eastAsia" w:ascii="宋体" w:hAnsi="宋体" w:eastAsia="宋体"/>
          <w:b/>
          <w:color w:val="auto"/>
          <w:kern w:val="2"/>
          <w:sz w:val="28"/>
          <w:szCs w:val="28"/>
        </w:rPr>
        <w:t>（签署页）</w:t>
      </w:r>
    </w:p>
    <w:p w14:paraId="2DBAA8CC">
      <w:pPr>
        <w:widowControl w:val="0"/>
        <w:spacing w:line="360" w:lineRule="auto"/>
        <w:jc w:val="both"/>
        <w:rPr>
          <w:rFonts w:ascii="宋体" w:hAnsi="宋体" w:eastAsia="宋体"/>
          <w:b/>
          <w:color w:val="auto"/>
          <w:kern w:val="2"/>
          <w:sz w:val="28"/>
          <w:szCs w:val="28"/>
        </w:rPr>
      </w:pPr>
    </w:p>
    <w:p w14:paraId="29C2413D">
      <w:pPr>
        <w:widowControl w:val="0"/>
        <w:spacing w:line="360" w:lineRule="auto"/>
        <w:jc w:val="both"/>
        <w:rPr>
          <w:rFonts w:ascii="Arial" w:hAnsi="Arial" w:eastAsia="宋体"/>
          <w:bCs/>
          <w:color w:val="auto"/>
          <w:kern w:val="2"/>
          <w:sz w:val="28"/>
          <w:szCs w:val="28"/>
        </w:rPr>
      </w:pPr>
      <w:r>
        <w:rPr>
          <w:rFonts w:hint="eastAsia" w:ascii="Arial" w:hAnsi="Arial" w:eastAsia="宋体"/>
          <w:color w:val="auto"/>
          <w:sz w:val="28"/>
          <w:szCs w:val="28"/>
        </w:rPr>
        <w:t>甲方（盖章）：</w:t>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 xml:space="preserve">  </w:t>
      </w:r>
    </w:p>
    <w:p w14:paraId="222C3ACF">
      <w:pPr>
        <w:widowControl w:val="0"/>
        <w:spacing w:line="360" w:lineRule="auto"/>
        <w:jc w:val="both"/>
        <w:rPr>
          <w:rFonts w:ascii="Arial" w:hAnsi="Arial" w:eastAsia="宋体"/>
          <w:color w:val="auto"/>
          <w:sz w:val="28"/>
          <w:szCs w:val="28"/>
        </w:rPr>
      </w:pPr>
    </w:p>
    <w:p w14:paraId="30FB6061">
      <w:pPr>
        <w:widowControl w:val="0"/>
        <w:spacing w:line="360" w:lineRule="auto"/>
        <w:jc w:val="both"/>
        <w:rPr>
          <w:rFonts w:ascii="Arial" w:hAnsi="Arial" w:eastAsia="宋体"/>
          <w:color w:val="auto"/>
          <w:sz w:val="28"/>
          <w:szCs w:val="28"/>
        </w:rPr>
      </w:pPr>
      <w:r>
        <w:rPr>
          <w:rFonts w:hint="eastAsia" w:ascii="Arial" w:hAnsi="Arial" w:eastAsia="宋体"/>
          <w:color w:val="auto"/>
          <w:sz w:val="28"/>
          <w:szCs w:val="28"/>
        </w:rPr>
        <w:t>法定代表人或授权代表（签字）：</w:t>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 xml:space="preserve">  </w:t>
      </w:r>
    </w:p>
    <w:p w14:paraId="2B98FFCF">
      <w:pPr>
        <w:widowControl w:val="0"/>
        <w:spacing w:line="360" w:lineRule="auto"/>
        <w:jc w:val="both"/>
        <w:rPr>
          <w:rFonts w:ascii="Arial" w:hAnsi="Arial" w:eastAsia="宋体"/>
          <w:color w:val="auto"/>
          <w:sz w:val="28"/>
          <w:szCs w:val="28"/>
        </w:rPr>
      </w:pPr>
    </w:p>
    <w:p w14:paraId="717428EB">
      <w:pPr>
        <w:widowControl w:val="0"/>
        <w:spacing w:line="360" w:lineRule="auto"/>
        <w:jc w:val="both"/>
        <w:rPr>
          <w:rFonts w:ascii="Arial" w:hAnsi="Arial" w:eastAsia="宋体"/>
          <w:color w:val="auto"/>
          <w:sz w:val="28"/>
          <w:szCs w:val="28"/>
        </w:rPr>
      </w:pPr>
      <w:r>
        <w:rPr>
          <w:rFonts w:hint="eastAsia" w:ascii="Arial" w:hAnsi="Arial" w:eastAsia="宋体"/>
          <w:color w:val="auto"/>
          <w:sz w:val="28"/>
          <w:szCs w:val="28"/>
        </w:rPr>
        <w:t>签订时间：</w:t>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ab/>
      </w:r>
      <w:r>
        <w:rPr>
          <w:rFonts w:hint="eastAsia" w:ascii="Arial" w:hAnsi="Arial" w:eastAsia="宋体"/>
          <w:color w:val="auto"/>
          <w:sz w:val="28"/>
          <w:szCs w:val="28"/>
        </w:rPr>
        <w:t xml:space="preserve">   </w:t>
      </w:r>
    </w:p>
    <w:p w14:paraId="0C188BBB">
      <w:pPr>
        <w:widowControl w:val="0"/>
        <w:jc w:val="both"/>
        <w:rPr>
          <w:rFonts w:ascii="仿宋_GB2312" w:eastAsia="仿宋_GB2312"/>
          <w:color w:val="auto"/>
          <w:kern w:val="2"/>
          <w:sz w:val="28"/>
          <w:szCs w:val="28"/>
        </w:rPr>
      </w:pPr>
    </w:p>
    <w:p w14:paraId="2EC4014B">
      <w:pPr>
        <w:widowControl w:val="0"/>
        <w:jc w:val="both"/>
        <w:rPr>
          <w:rFonts w:ascii="仿宋_GB2312" w:eastAsia="仿宋_GB2312"/>
          <w:color w:val="auto"/>
          <w:kern w:val="2"/>
          <w:sz w:val="28"/>
          <w:szCs w:val="28"/>
        </w:rPr>
      </w:pPr>
    </w:p>
    <w:p w14:paraId="5671AFC9">
      <w:pPr>
        <w:widowControl w:val="0"/>
        <w:jc w:val="both"/>
        <w:rPr>
          <w:rFonts w:ascii="仿宋_GB2312" w:eastAsia="仿宋_GB2312"/>
          <w:color w:val="auto"/>
          <w:kern w:val="2"/>
          <w:sz w:val="28"/>
          <w:szCs w:val="28"/>
        </w:rPr>
      </w:pPr>
    </w:p>
    <w:p w14:paraId="340ED20C">
      <w:pPr>
        <w:widowControl w:val="0"/>
        <w:jc w:val="both"/>
        <w:rPr>
          <w:rFonts w:ascii="仿宋_GB2312" w:eastAsia="仿宋_GB2312"/>
          <w:color w:val="auto"/>
          <w:kern w:val="2"/>
          <w:sz w:val="28"/>
          <w:szCs w:val="28"/>
        </w:rPr>
      </w:pPr>
    </w:p>
    <w:p w14:paraId="281675E1">
      <w:pPr>
        <w:widowControl w:val="0"/>
        <w:jc w:val="both"/>
        <w:rPr>
          <w:rFonts w:ascii="仿宋_GB2312" w:eastAsia="宋体"/>
          <w:color w:val="auto"/>
          <w:kern w:val="2"/>
          <w:sz w:val="28"/>
          <w:szCs w:val="28"/>
        </w:rPr>
      </w:pPr>
      <w:r>
        <w:rPr>
          <w:rFonts w:hint="eastAsia" w:eastAsia="宋体"/>
          <w:color w:val="auto"/>
          <w:sz w:val="28"/>
          <w:szCs w:val="28"/>
        </w:rPr>
        <w:t>乙方（盖章）：</w:t>
      </w:r>
      <w:r>
        <w:rPr>
          <w:rFonts w:hint="eastAsia" w:eastAsia="宋体" w:cs="宋体"/>
          <w:color w:val="auto"/>
          <w:sz w:val="28"/>
          <w:szCs w:val="28"/>
        </w:rPr>
        <w:t>x</w:t>
      </w:r>
      <w:r>
        <w:rPr>
          <w:rFonts w:eastAsia="宋体" w:cs="宋体"/>
          <w:color w:val="auto"/>
          <w:sz w:val="28"/>
          <w:szCs w:val="28"/>
        </w:rPr>
        <w:t>xxxxxxx</w:t>
      </w:r>
      <w:r>
        <w:rPr>
          <w:rFonts w:hint="eastAsia" w:eastAsia="宋体" w:cs="宋体"/>
          <w:color w:val="auto"/>
          <w:sz w:val="28"/>
          <w:szCs w:val="28"/>
        </w:rPr>
        <w:t>公司</w:t>
      </w:r>
    </w:p>
    <w:p w14:paraId="3DB8DA0A">
      <w:pPr>
        <w:widowControl w:val="0"/>
        <w:jc w:val="both"/>
        <w:rPr>
          <w:rFonts w:ascii="仿宋_GB2312" w:eastAsia="仿宋_GB2312"/>
          <w:color w:val="auto"/>
          <w:kern w:val="2"/>
          <w:sz w:val="28"/>
          <w:szCs w:val="28"/>
        </w:rPr>
      </w:pPr>
    </w:p>
    <w:p w14:paraId="11A80C96">
      <w:pPr>
        <w:widowControl w:val="0"/>
        <w:jc w:val="both"/>
        <w:rPr>
          <w:rFonts w:ascii="仿宋_GB2312" w:eastAsia="仿宋_GB2312"/>
          <w:color w:val="auto"/>
          <w:kern w:val="2"/>
          <w:sz w:val="28"/>
          <w:szCs w:val="28"/>
        </w:rPr>
      </w:pPr>
      <w:r>
        <w:rPr>
          <w:rFonts w:hint="eastAsia" w:eastAsia="宋体"/>
          <w:color w:val="auto"/>
          <w:sz w:val="28"/>
          <w:szCs w:val="28"/>
        </w:rPr>
        <w:t>法定代表人或授权代表（签字）：</w:t>
      </w:r>
    </w:p>
    <w:p w14:paraId="2BE710E6">
      <w:pPr>
        <w:widowControl w:val="0"/>
        <w:jc w:val="both"/>
        <w:rPr>
          <w:rFonts w:ascii="仿宋_GB2312" w:eastAsia="仿宋_GB2312"/>
          <w:color w:val="auto"/>
          <w:kern w:val="2"/>
          <w:sz w:val="28"/>
          <w:szCs w:val="28"/>
        </w:rPr>
      </w:pPr>
    </w:p>
    <w:p w14:paraId="753B4DAD">
      <w:pPr>
        <w:widowControl w:val="0"/>
        <w:jc w:val="both"/>
        <w:rPr>
          <w:rFonts w:ascii="仿宋_GB2312" w:eastAsia="仿宋_GB2312"/>
          <w:color w:val="auto"/>
          <w:kern w:val="2"/>
          <w:sz w:val="28"/>
          <w:szCs w:val="28"/>
        </w:rPr>
      </w:pPr>
      <w:r>
        <w:rPr>
          <w:rFonts w:hint="eastAsia" w:eastAsia="宋体"/>
          <w:color w:val="auto"/>
          <w:sz w:val="28"/>
          <w:szCs w:val="28"/>
        </w:rPr>
        <w:t>签订时间：</w:t>
      </w:r>
    </w:p>
    <w:p w14:paraId="26A69FE8">
      <w:pPr>
        <w:widowControl w:val="0"/>
        <w:jc w:val="both"/>
        <w:rPr>
          <w:rFonts w:ascii="仿宋_GB2312" w:eastAsia="仿宋_GB2312"/>
          <w:color w:val="auto"/>
          <w:kern w:val="2"/>
          <w:sz w:val="28"/>
          <w:szCs w:val="28"/>
        </w:rPr>
      </w:pPr>
    </w:p>
    <w:p w14:paraId="2188CB3E">
      <w:pPr>
        <w:widowControl w:val="0"/>
        <w:jc w:val="both"/>
        <w:rPr>
          <w:rFonts w:ascii="仿宋_GB2312" w:eastAsia="仿宋_GB2312"/>
          <w:color w:val="auto"/>
          <w:kern w:val="2"/>
          <w:sz w:val="28"/>
          <w:szCs w:val="28"/>
        </w:rPr>
      </w:pPr>
    </w:p>
    <w:p w14:paraId="166A2F42">
      <w:pPr>
        <w:widowControl w:val="0"/>
        <w:spacing w:after="60" w:line="360" w:lineRule="auto"/>
        <w:ind w:firstLine="560" w:firstLineChars="200"/>
        <w:jc w:val="both"/>
        <w:rPr>
          <w:rFonts w:ascii="Arial" w:hAnsi="Arial" w:eastAsia="宋体"/>
          <w:color w:val="auto"/>
          <w:sz w:val="28"/>
          <w:szCs w:val="28"/>
        </w:rPr>
      </w:pPr>
    </w:p>
    <w:p w14:paraId="097ABC1C">
      <w:pPr>
        <w:widowControl w:val="0"/>
        <w:spacing w:after="60" w:line="360" w:lineRule="auto"/>
        <w:ind w:firstLine="560" w:firstLineChars="200"/>
        <w:jc w:val="both"/>
        <w:rPr>
          <w:rFonts w:ascii="Arial" w:hAnsi="Arial" w:eastAsia="宋体"/>
          <w:color w:val="auto"/>
          <w:sz w:val="28"/>
          <w:szCs w:val="28"/>
        </w:rPr>
      </w:pPr>
    </w:p>
    <w:p w14:paraId="3EFB928F">
      <w:pPr>
        <w:widowControl w:val="0"/>
        <w:spacing w:after="60" w:line="360" w:lineRule="auto"/>
        <w:ind w:firstLine="560" w:firstLineChars="200"/>
        <w:jc w:val="both"/>
        <w:rPr>
          <w:rFonts w:ascii="Arial" w:hAnsi="Arial" w:eastAsia="宋体"/>
          <w:color w:val="auto"/>
          <w:sz w:val="28"/>
          <w:szCs w:val="28"/>
        </w:rPr>
      </w:pPr>
    </w:p>
    <w:p w14:paraId="50CB6F15">
      <w:pPr>
        <w:spacing w:line="360" w:lineRule="auto"/>
        <w:rPr>
          <w:rFonts w:ascii="宋体" w:hAnsi="宋体"/>
        </w:rPr>
      </w:pPr>
    </w:p>
    <w:p w14:paraId="18688214">
      <w:pPr>
        <w:pStyle w:val="2"/>
      </w:pPr>
    </w:p>
    <w:p w14:paraId="6E6D84F8">
      <w:pPr>
        <w:pStyle w:val="2"/>
      </w:pPr>
    </w:p>
    <w:p w14:paraId="5BF14979">
      <w:pPr>
        <w:pStyle w:val="2"/>
      </w:pPr>
    </w:p>
    <w:p w14:paraId="08B67A98">
      <w:pPr>
        <w:pStyle w:val="2"/>
      </w:pPr>
    </w:p>
    <w:p w14:paraId="03FCEE51">
      <w:pPr>
        <w:pStyle w:val="2"/>
      </w:pPr>
    </w:p>
    <w:p w14:paraId="7C355869">
      <w:pPr>
        <w:pStyle w:val="2"/>
      </w:pPr>
    </w:p>
    <w:p w14:paraId="0FACE66A">
      <w:pPr>
        <w:pStyle w:val="2"/>
      </w:pPr>
    </w:p>
    <w:p w14:paraId="6F26A5D4">
      <w:pPr>
        <w:pStyle w:val="2"/>
        <w:ind w:left="0" w:leftChars="0" w:firstLine="0" w:firstLineChars="0"/>
      </w:pPr>
    </w:p>
    <w:p w14:paraId="773E9EC8">
      <w:pPr>
        <w:pStyle w:val="2"/>
      </w:pPr>
    </w:p>
    <w:p w14:paraId="57373335">
      <w:pPr>
        <w:pStyle w:val="2"/>
      </w:pPr>
    </w:p>
    <w:p w14:paraId="30744E03">
      <w:pPr>
        <w:spacing w:line="360" w:lineRule="auto"/>
        <w:jc w:val="center"/>
      </w:pPr>
      <w:r>
        <w:rPr>
          <w:rFonts w:hint="eastAsia"/>
        </w:rPr>
        <w:t xml:space="preserve"> </w:t>
      </w:r>
    </w:p>
    <w:p w14:paraId="33526694">
      <w:pPr>
        <w:pStyle w:val="6"/>
        <w:spacing w:before="0" w:after="0" w:line="360" w:lineRule="auto"/>
        <w:rPr>
          <w:rFonts w:ascii="宋体" w:hAnsi="宋体" w:eastAsia="宋体"/>
          <w:color w:val="000000"/>
          <w:sz w:val="36"/>
        </w:rPr>
      </w:pPr>
      <w:bookmarkStart w:id="133" w:name="_Toc23556"/>
      <w:r>
        <w:rPr>
          <w:rFonts w:hint="eastAsia" w:ascii="宋体" w:hAnsi="宋体" w:eastAsia="宋体"/>
          <w:color w:val="000000"/>
          <w:sz w:val="36"/>
        </w:rPr>
        <w:t>第七章 投标文件格式</w:t>
      </w:r>
      <w:bookmarkEnd w:id="76"/>
      <w:bookmarkEnd w:id="133"/>
    </w:p>
    <w:p w14:paraId="74035522">
      <w:pPr>
        <w:spacing w:line="360" w:lineRule="auto"/>
        <w:jc w:val="right"/>
        <w:rPr>
          <w:rFonts w:ascii="宋体" w:hAnsi="宋体"/>
          <w:b/>
          <w:color w:val="000000"/>
          <w:sz w:val="36"/>
          <w:szCs w:val="36"/>
        </w:rPr>
      </w:pPr>
      <w:r>
        <w:rPr>
          <w:rFonts w:hint="eastAsia" w:ascii="宋体" w:hAnsi="宋体"/>
          <w:b/>
          <w:color w:val="000000"/>
          <w:sz w:val="36"/>
          <w:szCs w:val="30"/>
        </w:rPr>
        <w:t>【正本/副本】</w:t>
      </w:r>
    </w:p>
    <w:p w14:paraId="12AE1604">
      <w:pPr>
        <w:spacing w:line="360" w:lineRule="auto"/>
        <w:jc w:val="center"/>
        <w:rPr>
          <w:rFonts w:ascii="宋体" w:hAnsi="宋体"/>
          <w:b/>
          <w:sz w:val="40"/>
          <w:szCs w:val="36"/>
        </w:rPr>
      </w:pPr>
      <w:r>
        <w:rPr>
          <w:rFonts w:hint="eastAsia" w:ascii="宋体" w:hAnsi="宋体"/>
          <w:b/>
          <w:sz w:val="40"/>
          <w:szCs w:val="36"/>
        </w:rPr>
        <w:t>安徽省第二人民医院</w:t>
      </w:r>
      <w:r>
        <w:rPr>
          <w:rFonts w:hint="eastAsia" w:ascii="宋体" w:hAnsi="宋体"/>
          <w:b/>
          <w:sz w:val="40"/>
          <w:szCs w:val="36"/>
          <w:lang w:val="en-US" w:eastAsia="zh-CN"/>
        </w:rPr>
        <w:t>分布式光伏发电服务</w:t>
      </w:r>
      <w:r>
        <w:rPr>
          <w:rFonts w:hint="eastAsia" w:ascii="宋体" w:hAnsi="宋体"/>
          <w:b/>
          <w:sz w:val="40"/>
          <w:szCs w:val="36"/>
        </w:rPr>
        <w:t>项目</w:t>
      </w:r>
    </w:p>
    <w:p w14:paraId="3DF0702E">
      <w:pPr>
        <w:spacing w:line="360" w:lineRule="auto"/>
        <w:jc w:val="center"/>
        <w:rPr>
          <w:rFonts w:ascii="宋体" w:hAnsi="宋体"/>
          <w:b/>
          <w:color w:val="000000"/>
          <w:sz w:val="36"/>
          <w:szCs w:val="36"/>
        </w:rPr>
      </w:pPr>
      <w:r>
        <w:rPr>
          <w:rFonts w:hint="eastAsia" w:ascii="宋体" w:hAnsi="宋体"/>
          <w:b/>
          <w:color w:val="000000"/>
          <w:sz w:val="36"/>
          <w:szCs w:val="36"/>
        </w:rPr>
        <w:t>项目编号：</w:t>
      </w:r>
    </w:p>
    <w:p w14:paraId="74F3D226">
      <w:pPr>
        <w:spacing w:line="360" w:lineRule="auto"/>
        <w:rPr>
          <w:rFonts w:ascii="宋体" w:hAnsi="宋体"/>
          <w:b/>
          <w:color w:val="000000"/>
          <w:sz w:val="36"/>
          <w:szCs w:val="36"/>
        </w:rPr>
      </w:pPr>
    </w:p>
    <w:p w14:paraId="04BB6B9F">
      <w:pPr>
        <w:spacing w:line="360" w:lineRule="auto"/>
        <w:jc w:val="center"/>
        <w:rPr>
          <w:rFonts w:ascii="宋体" w:hAnsi="宋体"/>
          <w:color w:val="000000"/>
          <w:sz w:val="72"/>
        </w:rPr>
      </w:pPr>
      <w:r>
        <w:rPr>
          <w:rFonts w:hint="eastAsia" w:ascii="宋体" w:hAnsi="宋体"/>
          <w:color w:val="000000"/>
          <w:sz w:val="72"/>
        </w:rPr>
        <w:t>投</w:t>
      </w:r>
    </w:p>
    <w:p w14:paraId="7A9EA215">
      <w:pPr>
        <w:spacing w:line="360" w:lineRule="auto"/>
        <w:jc w:val="center"/>
        <w:rPr>
          <w:rFonts w:ascii="宋体" w:hAnsi="宋体"/>
          <w:color w:val="000000"/>
          <w:sz w:val="72"/>
        </w:rPr>
      </w:pPr>
      <w:r>
        <w:rPr>
          <w:rFonts w:hint="eastAsia" w:ascii="宋体" w:hAnsi="宋体"/>
          <w:color w:val="000000"/>
          <w:sz w:val="72"/>
        </w:rPr>
        <w:t>标</w:t>
      </w:r>
    </w:p>
    <w:p w14:paraId="6CFBB664">
      <w:pPr>
        <w:spacing w:line="360" w:lineRule="auto"/>
        <w:jc w:val="center"/>
        <w:rPr>
          <w:rFonts w:ascii="宋体" w:hAnsi="宋体"/>
          <w:color w:val="000000"/>
          <w:sz w:val="72"/>
        </w:rPr>
      </w:pPr>
      <w:r>
        <w:rPr>
          <w:rFonts w:hint="eastAsia" w:ascii="宋体" w:hAnsi="宋体"/>
          <w:color w:val="000000"/>
          <w:sz w:val="72"/>
        </w:rPr>
        <w:t>文</w:t>
      </w:r>
    </w:p>
    <w:p w14:paraId="54C04E48">
      <w:pPr>
        <w:spacing w:line="360" w:lineRule="auto"/>
        <w:jc w:val="center"/>
        <w:rPr>
          <w:rFonts w:hint="eastAsia" w:ascii="宋体" w:hAnsi="宋体"/>
          <w:color w:val="000000"/>
          <w:sz w:val="72"/>
        </w:rPr>
      </w:pPr>
      <w:r>
        <w:rPr>
          <w:rFonts w:hint="eastAsia" w:ascii="宋体" w:hAnsi="宋体"/>
          <w:color w:val="000000"/>
          <w:sz w:val="72"/>
        </w:rPr>
        <w:t>件</w:t>
      </w:r>
    </w:p>
    <w:p w14:paraId="32EEEB5E">
      <w:pPr>
        <w:pStyle w:val="2"/>
        <w:rPr>
          <w:rFonts w:hint="eastAsia"/>
        </w:rPr>
      </w:pPr>
    </w:p>
    <w:p w14:paraId="0ED6C4DC">
      <w:pPr>
        <w:pStyle w:val="2"/>
      </w:pPr>
    </w:p>
    <w:p w14:paraId="0A0B2FBE">
      <w:pPr>
        <w:pStyle w:val="2"/>
      </w:pPr>
    </w:p>
    <w:p w14:paraId="4C8313A0">
      <w:pPr>
        <w:spacing w:after="120" w:afterLines="50" w:line="360" w:lineRule="auto"/>
        <w:jc w:val="center"/>
        <w:rPr>
          <w:rFonts w:ascii="宋体" w:hAnsi="宋体"/>
          <w:b/>
          <w:color w:val="000000"/>
          <w:sz w:val="32"/>
          <w:u w:val="single"/>
        </w:rPr>
      </w:pPr>
      <w:r>
        <w:rPr>
          <w:rFonts w:hint="eastAsia" w:ascii="宋体" w:hAnsi="宋体"/>
          <w:b/>
          <w:color w:val="000000"/>
          <w:sz w:val="32"/>
        </w:rPr>
        <w:t>投标人：</w:t>
      </w:r>
      <w:r>
        <w:rPr>
          <w:rFonts w:hint="eastAsia" w:ascii="宋体" w:hAnsi="宋体"/>
          <w:b/>
          <w:color w:val="000000"/>
          <w:sz w:val="32"/>
          <w:u w:val="single"/>
        </w:rPr>
        <w:t xml:space="preserve">                   </w:t>
      </w:r>
      <w:r>
        <w:rPr>
          <w:rFonts w:hint="eastAsia" w:ascii="宋体" w:hAnsi="宋体"/>
          <w:b/>
          <w:color w:val="000000"/>
          <w:sz w:val="24"/>
        </w:rPr>
        <w:t>（全称+公章）</w:t>
      </w:r>
    </w:p>
    <w:p w14:paraId="6EAB0EAD">
      <w:pPr>
        <w:spacing w:after="120" w:afterLines="50" w:line="360" w:lineRule="auto"/>
        <w:jc w:val="center"/>
        <w:rPr>
          <w:rFonts w:ascii="宋体" w:hAnsi="宋体"/>
          <w:b/>
          <w:color w:val="000000"/>
          <w:sz w:val="32"/>
        </w:rPr>
      </w:pPr>
      <w:r>
        <w:rPr>
          <w:rFonts w:hint="eastAsia" w:ascii="宋体" w:hAnsi="宋体"/>
          <w:b/>
          <w:color w:val="000000"/>
          <w:sz w:val="32"/>
          <w:u w:val="single"/>
        </w:rPr>
        <w:t>____</w:t>
      </w:r>
      <w:r>
        <w:rPr>
          <w:rFonts w:hint="eastAsia" w:ascii="宋体" w:hAnsi="宋体"/>
          <w:b/>
          <w:color w:val="000000"/>
          <w:sz w:val="32"/>
        </w:rPr>
        <w:t>年</w:t>
      </w:r>
      <w:r>
        <w:rPr>
          <w:rFonts w:hint="eastAsia" w:ascii="宋体" w:hAnsi="宋体"/>
          <w:b/>
          <w:color w:val="000000"/>
          <w:sz w:val="32"/>
          <w:u w:val="single"/>
        </w:rPr>
        <w:t>____</w:t>
      </w:r>
      <w:r>
        <w:rPr>
          <w:rFonts w:hint="eastAsia" w:ascii="宋体" w:hAnsi="宋体"/>
          <w:b/>
          <w:color w:val="000000"/>
          <w:sz w:val="32"/>
        </w:rPr>
        <w:t>月</w:t>
      </w:r>
      <w:r>
        <w:rPr>
          <w:rFonts w:hint="eastAsia" w:ascii="宋体" w:hAnsi="宋体"/>
          <w:b/>
          <w:color w:val="000000"/>
          <w:sz w:val="32"/>
          <w:u w:val="single"/>
        </w:rPr>
        <w:t>____</w:t>
      </w:r>
      <w:r>
        <w:rPr>
          <w:rFonts w:hint="eastAsia" w:ascii="宋体" w:hAnsi="宋体"/>
          <w:b/>
          <w:color w:val="000000"/>
          <w:sz w:val="32"/>
        </w:rPr>
        <w:t>日</w:t>
      </w:r>
      <w:bookmarkStart w:id="134" w:name="_Hlt519068595"/>
      <w:bookmarkEnd w:id="134"/>
      <w:bookmarkStart w:id="135" w:name="_Hlt519045470"/>
      <w:bookmarkEnd w:id="135"/>
      <w:bookmarkStart w:id="136" w:name="_Hlt533408877"/>
      <w:bookmarkEnd w:id="136"/>
      <w:bookmarkStart w:id="137" w:name="_Hlt50174972"/>
      <w:bookmarkEnd w:id="137"/>
      <w:bookmarkStart w:id="138" w:name="_Hlt50174708"/>
      <w:bookmarkEnd w:id="138"/>
      <w:bookmarkStart w:id="139" w:name="_Hlt50174722"/>
      <w:bookmarkEnd w:id="139"/>
      <w:bookmarkStart w:id="140" w:name="_Toc282517740"/>
      <w:bookmarkStart w:id="141" w:name="_Toc269135708"/>
      <w:bookmarkStart w:id="142" w:name="_Toc197934561"/>
      <w:bookmarkStart w:id="143" w:name="_Hlt519045391"/>
      <w:bookmarkStart w:id="144" w:name="_Hlt509738521"/>
      <w:bookmarkStart w:id="145" w:name="_Hlt509738509"/>
    </w:p>
    <w:p w14:paraId="522DA1C3">
      <w:pPr>
        <w:widowControl/>
        <w:spacing w:line="360" w:lineRule="auto"/>
        <w:jc w:val="center"/>
        <w:rPr>
          <w:rFonts w:hAnsi="宋体"/>
          <w:b/>
          <w:color w:val="000000"/>
          <w:sz w:val="36"/>
          <w:szCs w:val="32"/>
        </w:rPr>
      </w:pPr>
    </w:p>
    <w:p w14:paraId="28677D95">
      <w:pPr>
        <w:pStyle w:val="2"/>
        <w:ind w:firstLine="723"/>
        <w:rPr>
          <w:rFonts w:hAnsi="宋体"/>
          <w:b/>
          <w:color w:val="000000"/>
          <w:sz w:val="36"/>
          <w:szCs w:val="32"/>
        </w:rPr>
      </w:pPr>
    </w:p>
    <w:p w14:paraId="69EAD633">
      <w:pPr>
        <w:pStyle w:val="2"/>
        <w:ind w:firstLine="723"/>
        <w:rPr>
          <w:rFonts w:hAnsi="宋体"/>
          <w:b/>
          <w:color w:val="000000"/>
          <w:sz w:val="36"/>
          <w:szCs w:val="32"/>
        </w:rPr>
      </w:pPr>
    </w:p>
    <w:p w14:paraId="616FAC16">
      <w:pPr>
        <w:widowControl/>
        <w:spacing w:line="360" w:lineRule="auto"/>
        <w:jc w:val="center"/>
        <w:rPr>
          <w:rFonts w:hAnsi="宋体"/>
          <w:b/>
          <w:color w:val="000000"/>
          <w:sz w:val="36"/>
          <w:szCs w:val="32"/>
        </w:rPr>
      </w:pPr>
      <w:r>
        <w:rPr>
          <w:rFonts w:hint="eastAsia" w:hAnsi="宋体"/>
          <w:b/>
          <w:color w:val="000000"/>
          <w:sz w:val="36"/>
          <w:szCs w:val="32"/>
        </w:rPr>
        <w:t>目  录</w:t>
      </w:r>
    </w:p>
    <w:p w14:paraId="5372CBAB">
      <w:pPr>
        <w:spacing w:line="360" w:lineRule="auto"/>
        <w:ind w:firstLine="480" w:firstLineChars="200"/>
        <w:rPr>
          <w:rFonts w:hAnsi="宋体"/>
          <w:color w:val="000000"/>
          <w:sz w:val="24"/>
        </w:rPr>
      </w:pPr>
    </w:p>
    <w:p w14:paraId="7C5B3097">
      <w:pPr>
        <w:spacing w:line="360" w:lineRule="auto"/>
        <w:ind w:firstLine="480" w:firstLineChars="200"/>
        <w:rPr>
          <w:rFonts w:ascii="宋体" w:hAnsi="宋体"/>
          <w:color w:val="000000"/>
          <w:sz w:val="24"/>
        </w:rPr>
      </w:pPr>
      <w:r>
        <w:rPr>
          <w:rFonts w:hint="eastAsia" w:ascii="宋体" w:hAnsi="宋体"/>
          <w:color w:val="000000"/>
          <w:sz w:val="24"/>
        </w:rPr>
        <w:t>一、开标一览表…………………………………………………………………x</w:t>
      </w:r>
      <w:r>
        <w:rPr>
          <w:rFonts w:ascii="宋体" w:hAnsi="宋体"/>
          <w:color w:val="000000"/>
          <w:sz w:val="24"/>
        </w:rPr>
        <w:t>x</w:t>
      </w:r>
      <w:r>
        <w:rPr>
          <w:rFonts w:hint="eastAsia" w:ascii="宋体" w:hAnsi="宋体"/>
          <w:color w:val="000000"/>
          <w:sz w:val="24"/>
        </w:rPr>
        <w:t>页</w:t>
      </w:r>
    </w:p>
    <w:p w14:paraId="1A7C3827">
      <w:pPr>
        <w:spacing w:line="360" w:lineRule="auto"/>
        <w:ind w:firstLine="480" w:firstLineChars="200"/>
        <w:rPr>
          <w:rFonts w:ascii="宋体" w:hAnsi="宋体"/>
          <w:color w:val="000000"/>
          <w:sz w:val="24"/>
        </w:rPr>
      </w:pPr>
      <w:r>
        <w:rPr>
          <w:rFonts w:hint="eastAsia" w:ascii="宋体" w:hAnsi="宋体"/>
          <w:color w:val="000000"/>
          <w:sz w:val="24"/>
        </w:rPr>
        <w:t>二、投标函………………………………………………………………………x</w:t>
      </w:r>
      <w:r>
        <w:rPr>
          <w:rFonts w:ascii="宋体" w:hAnsi="宋体"/>
          <w:color w:val="000000"/>
          <w:sz w:val="24"/>
        </w:rPr>
        <w:t>x</w:t>
      </w:r>
      <w:r>
        <w:rPr>
          <w:rFonts w:hint="eastAsia" w:ascii="宋体" w:hAnsi="宋体"/>
          <w:color w:val="000000"/>
          <w:sz w:val="24"/>
        </w:rPr>
        <w:t>页</w:t>
      </w:r>
    </w:p>
    <w:p w14:paraId="36E913F9">
      <w:pPr>
        <w:spacing w:line="360" w:lineRule="auto"/>
        <w:ind w:firstLine="480" w:firstLineChars="200"/>
        <w:rPr>
          <w:rFonts w:ascii="宋体" w:hAnsi="宋体"/>
          <w:color w:val="000000"/>
          <w:sz w:val="24"/>
        </w:rPr>
      </w:pPr>
      <w:r>
        <w:rPr>
          <w:rFonts w:hint="eastAsia" w:ascii="宋体" w:hAnsi="宋体"/>
          <w:color w:val="000000"/>
          <w:sz w:val="24"/>
        </w:rPr>
        <w:t>三、承诺书………………………………………………………………………x</w:t>
      </w:r>
      <w:r>
        <w:rPr>
          <w:rFonts w:ascii="宋体" w:hAnsi="宋体"/>
          <w:color w:val="000000"/>
          <w:sz w:val="24"/>
        </w:rPr>
        <w:t>x</w:t>
      </w:r>
      <w:r>
        <w:rPr>
          <w:rFonts w:hint="eastAsia" w:ascii="宋体" w:hAnsi="宋体"/>
          <w:color w:val="000000"/>
          <w:sz w:val="24"/>
        </w:rPr>
        <w:t>页</w:t>
      </w:r>
    </w:p>
    <w:p w14:paraId="0E1E2ECA">
      <w:pPr>
        <w:spacing w:line="360" w:lineRule="auto"/>
        <w:ind w:firstLine="480" w:firstLineChars="200"/>
        <w:rPr>
          <w:rFonts w:ascii="宋体" w:hAnsi="宋体"/>
          <w:color w:val="000000"/>
          <w:sz w:val="24"/>
        </w:rPr>
      </w:pPr>
      <w:r>
        <w:rPr>
          <w:rFonts w:hint="eastAsia" w:ascii="宋体" w:hAnsi="宋体"/>
          <w:color w:val="000000"/>
          <w:sz w:val="24"/>
        </w:rPr>
        <w:t>四、法人</w:t>
      </w:r>
      <w:r>
        <w:rPr>
          <w:rFonts w:ascii="宋体" w:hAnsi="宋体"/>
          <w:color w:val="000000"/>
          <w:sz w:val="24"/>
        </w:rPr>
        <w:t>身份证明和</w:t>
      </w:r>
      <w:r>
        <w:rPr>
          <w:rFonts w:hint="eastAsia" w:ascii="宋体" w:hAnsi="宋体"/>
          <w:color w:val="000000"/>
          <w:sz w:val="24"/>
        </w:rPr>
        <w:t>授权委托书………………………………………………x</w:t>
      </w:r>
      <w:r>
        <w:rPr>
          <w:rFonts w:ascii="宋体" w:hAnsi="宋体"/>
          <w:color w:val="000000"/>
          <w:sz w:val="24"/>
        </w:rPr>
        <w:t>x</w:t>
      </w:r>
      <w:r>
        <w:rPr>
          <w:rFonts w:hint="eastAsia" w:ascii="宋体" w:hAnsi="宋体"/>
          <w:color w:val="000000"/>
          <w:sz w:val="24"/>
        </w:rPr>
        <w:t>页</w:t>
      </w:r>
    </w:p>
    <w:p w14:paraId="3A241DD8">
      <w:pPr>
        <w:spacing w:line="360" w:lineRule="auto"/>
        <w:ind w:firstLine="480" w:firstLineChars="200"/>
        <w:rPr>
          <w:rFonts w:ascii="宋体" w:hAnsi="宋体"/>
          <w:color w:val="000000"/>
          <w:sz w:val="24"/>
        </w:rPr>
      </w:pPr>
      <w:r>
        <w:rPr>
          <w:rFonts w:hint="eastAsia" w:ascii="宋体" w:hAnsi="宋体"/>
          <w:color w:val="000000"/>
          <w:sz w:val="24"/>
        </w:rPr>
        <w:t>五、技术规格响应表……………………………………………………………x</w:t>
      </w:r>
      <w:r>
        <w:rPr>
          <w:rFonts w:ascii="宋体" w:hAnsi="宋体"/>
          <w:color w:val="000000"/>
          <w:sz w:val="24"/>
        </w:rPr>
        <w:t>x</w:t>
      </w:r>
      <w:r>
        <w:rPr>
          <w:rFonts w:hint="eastAsia" w:ascii="宋体" w:hAnsi="宋体"/>
          <w:color w:val="000000"/>
          <w:sz w:val="24"/>
        </w:rPr>
        <w:t>页</w:t>
      </w:r>
    </w:p>
    <w:p w14:paraId="7F12F093">
      <w:pPr>
        <w:spacing w:line="360" w:lineRule="auto"/>
        <w:ind w:firstLine="480" w:firstLineChars="200"/>
        <w:rPr>
          <w:rFonts w:ascii="宋体" w:hAnsi="宋体"/>
          <w:color w:val="000000"/>
          <w:sz w:val="24"/>
        </w:rPr>
      </w:pPr>
      <w:r>
        <w:rPr>
          <w:rFonts w:hint="eastAsia" w:ascii="宋体" w:hAnsi="宋体"/>
          <w:color w:val="000000"/>
          <w:sz w:val="24"/>
        </w:rPr>
        <w:t>六、资格审查和技术评审文件…………………………………………………x</w:t>
      </w:r>
      <w:r>
        <w:rPr>
          <w:rFonts w:ascii="宋体" w:hAnsi="宋体"/>
          <w:color w:val="000000"/>
          <w:sz w:val="24"/>
        </w:rPr>
        <w:t>x</w:t>
      </w:r>
      <w:r>
        <w:rPr>
          <w:rFonts w:hint="eastAsia" w:ascii="宋体" w:hAnsi="宋体"/>
          <w:color w:val="000000"/>
          <w:sz w:val="24"/>
        </w:rPr>
        <w:t>页</w:t>
      </w:r>
    </w:p>
    <w:p w14:paraId="38599941">
      <w:pPr>
        <w:spacing w:line="360" w:lineRule="auto"/>
        <w:ind w:firstLine="480" w:firstLineChars="200"/>
        <w:rPr>
          <w:rFonts w:ascii="宋体" w:hAnsi="宋体"/>
          <w:color w:val="000000"/>
          <w:sz w:val="24"/>
        </w:rPr>
      </w:pPr>
      <w:r>
        <w:rPr>
          <w:rFonts w:hint="eastAsia" w:ascii="宋体" w:hAnsi="宋体"/>
          <w:color w:val="000000"/>
          <w:sz w:val="24"/>
        </w:rPr>
        <w:t>七、投标人认为需要说明的其他内容 …………………………………………x</w:t>
      </w:r>
      <w:r>
        <w:rPr>
          <w:rFonts w:ascii="宋体" w:hAnsi="宋体"/>
          <w:color w:val="000000"/>
          <w:sz w:val="24"/>
        </w:rPr>
        <w:t>x</w:t>
      </w:r>
      <w:r>
        <w:rPr>
          <w:rFonts w:hint="eastAsia" w:ascii="宋体" w:hAnsi="宋体"/>
          <w:color w:val="000000"/>
          <w:sz w:val="24"/>
        </w:rPr>
        <w:t>页</w:t>
      </w:r>
    </w:p>
    <w:p w14:paraId="6571B9F8">
      <w:pPr>
        <w:spacing w:line="360" w:lineRule="auto"/>
        <w:ind w:firstLine="480" w:firstLineChars="200"/>
        <w:rPr>
          <w:rFonts w:ascii="宋体" w:hAnsi="宋体"/>
          <w:color w:val="000000"/>
          <w:sz w:val="24"/>
        </w:rPr>
      </w:pPr>
    </w:p>
    <w:p w14:paraId="534EE176">
      <w:pPr>
        <w:spacing w:line="360" w:lineRule="auto"/>
        <w:ind w:firstLine="480" w:firstLineChars="200"/>
        <w:rPr>
          <w:rFonts w:ascii="宋体" w:hAnsi="宋体"/>
          <w:color w:val="000000"/>
          <w:sz w:val="24"/>
        </w:rPr>
      </w:pPr>
    </w:p>
    <w:p w14:paraId="6ED18D6F">
      <w:pPr>
        <w:spacing w:line="360" w:lineRule="auto"/>
        <w:ind w:firstLine="480" w:firstLineChars="200"/>
        <w:rPr>
          <w:rFonts w:ascii="宋体" w:hAnsi="宋体"/>
          <w:color w:val="000000"/>
          <w:sz w:val="24"/>
        </w:rPr>
      </w:pPr>
    </w:p>
    <w:p w14:paraId="1F00306C">
      <w:pPr>
        <w:spacing w:line="360" w:lineRule="auto"/>
        <w:ind w:firstLine="480" w:firstLineChars="200"/>
        <w:rPr>
          <w:rFonts w:ascii="宋体" w:hAnsi="宋体"/>
          <w:color w:val="000000"/>
          <w:sz w:val="24"/>
        </w:rPr>
      </w:pPr>
    </w:p>
    <w:p w14:paraId="38AF78A6">
      <w:pPr>
        <w:spacing w:line="360" w:lineRule="auto"/>
        <w:ind w:firstLine="480" w:firstLineChars="200"/>
        <w:rPr>
          <w:rFonts w:ascii="宋体" w:hAnsi="宋体"/>
          <w:color w:val="000000"/>
          <w:sz w:val="24"/>
        </w:rPr>
      </w:pPr>
    </w:p>
    <w:p w14:paraId="4275910B">
      <w:pPr>
        <w:spacing w:line="360" w:lineRule="auto"/>
        <w:ind w:firstLine="480" w:firstLineChars="200"/>
        <w:rPr>
          <w:rFonts w:ascii="宋体" w:hAnsi="宋体"/>
          <w:color w:val="000000"/>
          <w:sz w:val="24"/>
        </w:rPr>
      </w:pPr>
    </w:p>
    <w:p w14:paraId="3AF08B9F">
      <w:pPr>
        <w:spacing w:line="360" w:lineRule="auto"/>
        <w:ind w:firstLine="480" w:firstLineChars="200"/>
        <w:rPr>
          <w:rFonts w:ascii="宋体" w:hAnsi="宋体"/>
          <w:color w:val="000000"/>
          <w:sz w:val="24"/>
        </w:rPr>
      </w:pPr>
    </w:p>
    <w:p w14:paraId="083DEFC1">
      <w:pPr>
        <w:spacing w:line="360" w:lineRule="auto"/>
        <w:ind w:firstLine="480" w:firstLineChars="200"/>
        <w:rPr>
          <w:rFonts w:ascii="宋体" w:hAnsi="宋体"/>
          <w:color w:val="000000"/>
          <w:sz w:val="24"/>
        </w:rPr>
      </w:pPr>
    </w:p>
    <w:p w14:paraId="0588ECB9">
      <w:pPr>
        <w:spacing w:line="360" w:lineRule="auto"/>
        <w:ind w:firstLine="480" w:firstLineChars="200"/>
        <w:rPr>
          <w:rFonts w:ascii="宋体" w:hAnsi="宋体"/>
          <w:color w:val="000000"/>
          <w:sz w:val="24"/>
        </w:rPr>
      </w:pPr>
    </w:p>
    <w:p w14:paraId="0512975F">
      <w:pPr>
        <w:spacing w:line="360" w:lineRule="auto"/>
        <w:ind w:firstLine="480" w:firstLineChars="200"/>
        <w:rPr>
          <w:rFonts w:ascii="宋体" w:hAnsi="宋体"/>
          <w:color w:val="000000"/>
          <w:sz w:val="24"/>
        </w:rPr>
      </w:pPr>
    </w:p>
    <w:p w14:paraId="0EE19957">
      <w:pPr>
        <w:spacing w:line="360" w:lineRule="auto"/>
        <w:ind w:firstLine="480" w:firstLineChars="200"/>
        <w:rPr>
          <w:rFonts w:ascii="宋体" w:hAnsi="宋体"/>
          <w:color w:val="000000"/>
          <w:sz w:val="24"/>
        </w:rPr>
      </w:pPr>
    </w:p>
    <w:p w14:paraId="59422FDC">
      <w:pPr>
        <w:spacing w:line="360" w:lineRule="auto"/>
        <w:ind w:firstLine="480" w:firstLineChars="200"/>
        <w:rPr>
          <w:rFonts w:ascii="宋体" w:hAnsi="宋体"/>
          <w:color w:val="000000"/>
          <w:sz w:val="24"/>
        </w:rPr>
      </w:pPr>
    </w:p>
    <w:p w14:paraId="3CD0EAAE">
      <w:pPr>
        <w:spacing w:line="360" w:lineRule="auto"/>
        <w:ind w:firstLine="480" w:firstLineChars="200"/>
        <w:rPr>
          <w:rFonts w:ascii="宋体" w:hAnsi="宋体"/>
          <w:color w:val="000000"/>
          <w:sz w:val="24"/>
        </w:rPr>
      </w:pPr>
    </w:p>
    <w:p w14:paraId="170F905C">
      <w:pPr>
        <w:spacing w:line="360" w:lineRule="auto"/>
        <w:ind w:firstLine="480" w:firstLineChars="200"/>
        <w:rPr>
          <w:rFonts w:ascii="宋体" w:hAnsi="宋体"/>
          <w:color w:val="000000"/>
          <w:sz w:val="24"/>
        </w:rPr>
      </w:pPr>
    </w:p>
    <w:p w14:paraId="03891AFC">
      <w:pPr>
        <w:spacing w:line="360" w:lineRule="auto"/>
        <w:ind w:firstLine="480" w:firstLineChars="200"/>
        <w:rPr>
          <w:rFonts w:ascii="宋体" w:hAnsi="宋体"/>
          <w:color w:val="000000"/>
          <w:sz w:val="24"/>
        </w:rPr>
      </w:pPr>
    </w:p>
    <w:p w14:paraId="35FA458B">
      <w:pPr>
        <w:pStyle w:val="7"/>
        <w:spacing w:before="0" w:after="0" w:line="360" w:lineRule="auto"/>
        <w:rPr>
          <w:rFonts w:hAnsi="宋体"/>
          <w:color w:val="000000"/>
        </w:rPr>
      </w:pPr>
      <w:bookmarkStart w:id="146" w:name="_Toc1479968"/>
      <w:bookmarkStart w:id="147" w:name="_Toc1479830"/>
      <w:r>
        <w:rPr>
          <w:rFonts w:hAnsi="宋体"/>
          <w:color w:val="000000"/>
        </w:rPr>
        <w:br w:type="page"/>
      </w:r>
      <w:bookmarkStart w:id="148" w:name="_Toc3914"/>
      <w:r>
        <w:rPr>
          <w:rFonts w:hint="eastAsia" w:hAnsi="宋体"/>
          <w:color w:val="000000"/>
        </w:rPr>
        <w:t>一、开标一览表</w:t>
      </w:r>
      <w:bookmarkEnd w:id="140"/>
      <w:bookmarkEnd w:id="141"/>
      <w:bookmarkEnd w:id="142"/>
      <w:bookmarkEnd w:id="146"/>
      <w:bookmarkEnd w:id="147"/>
      <w:bookmarkEnd w:id="148"/>
    </w:p>
    <w:p w14:paraId="3409B63B">
      <w:pPr>
        <w:spacing w:line="360" w:lineRule="auto"/>
        <w:jc w:val="center"/>
        <w:rPr>
          <w:color w:val="000000"/>
          <w:sz w:val="28"/>
          <w:szCs w:val="28"/>
        </w:rPr>
      </w:pPr>
      <w:r>
        <w:rPr>
          <w:rFonts w:hint="eastAsia"/>
          <w:color w:val="000000"/>
        </w:rPr>
        <w:t xml:space="preserve">                                      </w:t>
      </w:r>
      <w:r>
        <w:rPr>
          <w:rFonts w:hint="eastAsia" w:ascii="宋体" w:hAnsi="宋体"/>
          <w:color w:val="000000"/>
          <w:sz w:val="24"/>
          <w:szCs w:val="24"/>
        </w:rPr>
        <w:t xml:space="preserve"> 项目编号：</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32"/>
        <w:gridCol w:w="4694"/>
        <w:gridCol w:w="1380"/>
      </w:tblGrid>
      <w:tr w14:paraId="397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967" w:type="dxa"/>
            <w:tcBorders>
              <w:bottom w:val="single" w:color="auto" w:sz="4" w:space="0"/>
            </w:tcBorders>
            <w:vAlign w:val="center"/>
          </w:tcPr>
          <w:p w14:paraId="5EB44694">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932" w:type="dxa"/>
            <w:tcBorders>
              <w:bottom w:val="single" w:color="auto" w:sz="4" w:space="0"/>
            </w:tcBorders>
            <w:vAlign w:val="center"/>
          </w:tcPr>
          <w:p w14:paraId="6352668F">
            <w:pPr>
              <w:spacing w:line="360" w:lineRule="auto"/>
              <w:jc w:val="center"/>
              <w:rPr>
                <w:rFonts w:ascii="宋体" w:hAnsi="宋体"/>
                <w:color w:val="000000"/>
                <w:sz w:val="24"/>
                <w:szCs w:val="24"/>
              </w:rPr>
            </w:pPr>
            <w:r>
              <w:rPr>
                <w:rFonts w:hint="eastAsia" w:ascii="宋体" w:hAnsi="宋体"/>
                <w:color w:val="000000"/>
                <w:sz w:val="24"/>
                <w:szCs w:val="24"/>
              </w:rPr>
              <w:t>项目名称</w:t>
            </w:r>
          </w:p>
        </w:tc>
        <w:tc>
          <w:tcPr>
            <w:tcW w:w="4694" w:type="dxa"/>
            <w:tcBorders>
              <w:bottom w:val="single" w:color="auto" w:sz="4" w:space="0"/>
            </w:tcBorders>
            <w:vAlign w:val="center"/>
          </w:tcPr>
          <w:p w14:paraId="1079AB3F">
            <w:pPr>
              <w:spacing w:line="360" w:lineRule="auto"/>
              <w:jc w:val="center"/>
              <w:rPr>
                <w:rFonts w:ascii="宋体" w:hAnsi="宋体"/>
                <w:color w:val="000000"/>
                <w:sz w:val="24"/>
                <w:szCs w:val="24"/>
              </w:rPr>
            </w:pPr>
          </w:p>
        </w:tc>
        <w:tc>
          <w:tcPr>
            <w:tcW w:w="1380" w:type="dxa"/>
            <w:tcBorders>
              <w:bottom w:val="single" w:color="auto" w:sz="4" w:space="0"/>
            </w:tcBorders>
            <w:vAlign w:val="center"/>
          </w:tcPr>
          <w:p w14:paraId="0F28122F">
            <w:pPr>
              <w:spacing w:line="360" w:lineRule="auto"/>
              <w:jc w:val="center"/>
              <w:rPr>
                <w:rFonts w:ascii="宋体" w:hAnsi="宋体"/>
                <w:color w:val="000000"/>
                <w:sz w:val="24"/>
                <w:szCs w:val="24"/>
              </w:rPr>
            </w:pPr>
            <w:r>
              <w:rPr>
                <w:rFonts w:hint="eastAsia" w:ascii="宋体" w:hAnsi="宋体"/>
                <w:color w:val="000000"/>
                <w:sz w:val="24"/>
                <w:szCs w:val="24"/>
              </w:rPr>
              <w:t>备注</w:t>
            </w:r>
          </w:p>
        </w:tc>
      </w:tr>
      <w:tr w14:paraId="0FEF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967" w:type="dxa"/>
            <w:vAlign w:val="center"/>
          </w:tcPr>
          <w:p w14:paraId="077EF439">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2" w:type="dxa"/>
            <w:vAlign w:val="center"/>
          </w:tcPr>
          <w:p w14:paraId="1F960483">
            <w:pPr>
              <w:spacing w:line="360" w:lineRule="auto"/>
              <w:jc w:val="center"/>
              <w:rPr>
                <w:rFonts w:ascii="宋体" w:hAnsi="宋体"/>
                <w:color w:val="000000"/>
                <w:sz w:val="24"/>
                <w:szCs w:val="24"/>
              </w:rPr>
            </w:pPr>
            <w:r>
              <w:rPr>
                <w:rFonts w:hint="eastAsia" w:ascii="宋体" w:hAnsi="宋体"/>
                <w:color w:val="000000"/>
                <w:sz w:val="24"/>
                <w:szCs w:val="24"/>
              </w:rPr>
              <w:t>投标单位</w:t>
            </w:r>
          </w:p>
        </w:tc>
        <w:tc>
          <w:tcPr>
            <w:tcW w:w="4694" w:type="dxa"/>
            <w:vAlign w:val="center"/>
          </w:tcPr>
          <w:p w14:paraId="7FC78903">
            <w:pPr>
              <w:spacing w:line="360" w:lineRule="auto"/>
              <w:jc w:val="center"/>
              <w:rPr>
                <w:rFonts w:ascii="宋体" w:hAnsi="宋体"/>
                <w:color w:val="000000"/>
                <w:sz w:val="24"/>
                <w:szCs w:val="24"/>
              </w:rPr>
            </w:pPr>
          </w:p>
        </w:tc>
        <w:tc>
          <w:tcPr>
            <w:tcW w:w="1380" w:type="dxa"/>
            <w:vAlign w:val="center"/>
          </w:tcPr>
          <w:p w14:paraId="74DEB15C">
            <w:pPr>
              <w:spacing w:line="360" w:lineRule="auto"/>
              <w:jc w:val="center"/>
              <w:rPr>
                <w:rFonts w:ascii="宋体" w:hAnsi="宋体"/>
                <w:color w:val="000000"/>
                <w:sz w:val="24"/>
                <w:szCs w:val="24"/>
              </w:rPr>
            </w:pPr>
          </w:p>
        </w:tc>
      </w:tr>
      <w:tr w14:paraId="6F54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67" w:type="dxa"/>
            <w:vAlign w:val="center"/>
          </w:tcPr>
          <w:p w14:paraId="45AD4B14">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2" w:type="dxa"/>
            <w:vAlign w:val="center"/>
          </w:tcPr>
          <w:p w14:paraId="29AAF833">
            <w:pPr>
              <w:spacing w:line="360" w:lineRule="auto"/>
              <w:jc w:val="center"/>
              <w:rPr>
                <w:rFonts w:ascii="宋体" w:hAnsi="宋体"/>
                <w:b/>
                <w:bCs/>
                <w:sz w:val="24"/>
                <w:szCs w:val="24"/>
              </w:rPr>
            </w:pPr>
            <w:r>
              <w:rPr>
                <w:rFonts w:hint="eastAsia" w:ascii="宋体" w:hAnsi="宋体"/>
                <w:b/>
                <w:bCs/>
                <w:sz w:val="24"/>
                <w:szCs w:val="24"/>
              </w:rPr>
              <w:t>投标报价</w:t>
            </w:r>
          </w:p>
        </w:tc>
        <w:tc>
          <w:tcPr>
            <w:tcW w:w="4694" w:type="dxa"/>
            <w:vAlign w:val="center"/>
          </w:tcPr>
          <w:p w14:paraId="7D8ACC37">
            <w:pPr>
              <w:spacing w:line="360" w:lineRule="auto"/>
              <w:rPr>
                <w:rFonts w:ascii="宋体" w:hAnsi="宋体"/>
                <w:sz w:val="24"/>
                <w:szCs w:val="24"/>
              </w:rPr>
            </w:pPr>
          </w:p>
        </w:tc>
        <w:tc>
          <w:tcPr>
            <w:tcW w:w="1380" w:type="dxa"/>
            <w:vAlign w:val="center"/>
          </w:tcPr>
          <w:p w14:paraId="5241EA6D">
            <w:pPr>
              <w:spacing w:line="360" w:lineRule="auto"/>
              <w:jc w:val="center"/>
              <w:rPr>
                <w:rFonts w:ascii="宋体" w:hAnsi="宋体"/>
                <w:sz w:val="24"/>
                <w:szCs w:val="24"/>
              </w:rPr>
            </w:pPr>
            <w:r>
              <w:rPr>
                <w:rFonts w:hint="eastAsia" w:ascii="宋体" w:hAnsi="宋体"/>
                <w:sz w:val="24"/>
                <w:szCs w:val="24"/>
              </w:rPr>
              <w:t>（含税）</w:t>
            </w:r>
          </w:p>
        </w:tc>
      </w:tr>
      <w:tr w14:paraId="0E1C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967" w:type="dxa"/>
            <w:vAlign w:val="center"/>
          </w:tcPr>
          <w:p w14:paraId="7AA68B65">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932" w:type="dxa"/>
            <w:vAlign w:val="center"/>
          </w:tcPr>
          <w:p w14:paraId="52021045">
            <w:pPr>
              <w:spacing w:line="360" w:lineRule="auto"/>
              <w:jc w:val="center"/>
              <w:rPr>
                <w:rFonts w:ascii="宋体" w:hAnsi="宋体"/>
                <w:color w:val="000000"/>
                <w:sz w:val="24"/>
                <w:szCs w:val="24"/>
              </w:rPr>
            </w:pPr>
            <w:r>
              <w:rPr>
                <w:rFonts w:hint="eastAsia" w:ascii="宋体" w:hAnsi="宋体"/>
                <w:color w:val="000000"/>
                <w:sz w:val="24"/>
                <w:szCs w:val="24"/>
              </w:rPr>
              <w:t>电费支付方式</w:t>
            </w:r>
          </w:p>
        </w:tc>
        <w:tc>
          <w:tcPr>
            <w:tcW w:w="4694" w:type="dxa"/>
            <w:vAlign w:val="center"/>
          </w:tcPr>
          <w:p w14:paraId="7DF5865C">
            <w:pPr>
              <w:spacing w:line="360" w:lineRule="auto"/>
              <w:rPr>
                <w:rFonts w:ascii="宋体" w:hAnsi="宋体"/>
                <w:color w:val="000000"/>
                <w:sz w:val="24"/>
                <w:szCs w:val="24"/>
              </w:rPr>
            </w:pPr>
            <w:r>
              <w:rPr>
                <w:rFonts w:hint="eastAsia" w:ascii="宋体" w:hAnsi="宋体"/>
                <w:color w:val="000000"/>
                <w:sz w:val="24"/>
                <w:szCs w:val="24"/>
              </w:rPr>
              <w:t>响应招标文件</w:t>
            </w:r>
          </w:p>
        </w:tc>
        <w:tc>
          <w:tcPr>
            <w:tcW w:w="1380" w:type="dxa"/>
            <w:vAlign w:val="center"/>
          </w:tcPr>
          <w:p w14:paraId="6CF6996A">
            <w:pPr>
              <w:spacing w:line="360" w:lineRule="auto"/>
              <w:jc w:val="center"/>
              <w:rPr>
                <w:rFonts w:ascii="宋体" w:hAnsi="宋体"/>
                <w:color w:val="000000"/>
                <w:sz w:val="24"/>
                <w:szCs w:val="24"/>
              </w:rPr>
            </w:pPr>
          </w:p>
        </w:tc>
      </w:tr>
      <w:tr w14:paraId="2764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67" w:type="dxa"/>
            <w:vAlign w:val="center"/>
          </w:tcPr>
          <w:p w14:paraId="661845B3">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1932" w:type="dxa"/>
            <w:vAlign w:val="center"/>
          </w:tcPr>
          <w:p w14:paraId="714AA162">
            <w:pPr>
              <w:spacing w:line="360" w:lineRule="auto"/>
              <w:jc w:val="center"/>
              <w:rPr>
                <w:rFonts w:ascii="宋体" w:hAnsi="宋体"/>
                <w:color w:val="000000"/>
                <w:sz w:val="24"/>
                <w:szCs w:val="24"/>
              </w:rPr>
            </w:pPr>
            <w:r>
              <w:rPr>
                <w:rFonts w:hint="eastAsia" w:ascii="宋体" w:hAnsi="宋体"/>
                <w:color w:val="000000"/>
                <w:sz w:val="24"/>
                <w:szCs w:val="24"/>
              </w:rPr>
              <w:t>服务期</w:t>
            </w:r>
          </w:p>
        </w:tc>
        <w:tc>
          <w:tcPr>
            <w:tcW w:w="4694" w:type="dxa"/>
            <w:vAlign w:val="center"/>
          </w:tcPr>
          <w:p w14:paraId="0C2C5CD6">
            <w:pPr>
              <w:spacing w:line="360" w:lineRule="auto"/>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5</w:t>
            </w:r>
            <w:r>
              <w:rPr>
                <w:rFonts w:hint="eastAsia" w:ascii="宋体" w:hAnsi="宋体"/>
                <w:color w:val="000000"/>
                <w:sz w:val="24"/>
                <w:szCs w:val="24"/>
              </w:rPr>
              <w:t>年</w:t>
            </w:r>
          </w:p>
        </w:tc>
        <w:tc>
          <w:tcPr>
            <w:tcW w:w="1380" w:type="dxa"/>
            <w:vAlign w:val="center"/>
          </w:tcPr>
          <w:p w14:paraId="14464D99">
            <w:pPr>
              <w:spacing w:line="360" w:lineRule="auto"/>
              <w:jc w:val="center"/>
              <w:rPr>
                <w:rFonts w:ascii="宋体" w:hAnsi="宋体"/>
                <w:color w:val="000000"/>
                <w:sz w:val="24"/>
                <w:szCs w:val="24"/>
              </w:rPr>
            </w:pPr>
          </w:p>
        </w:tc>
      </w:tr>
      <w:tr w14:paraId="534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67" w:type="dxa"/>
            <w:vAlign w:val="center"/>
          </w:tcPr>
          <w:p w14:paraId="74C9B57A">
            <w:pPr>
              <w:spacing w:line="360" w:lineRule="auto"/>
              <w:jc w:val="center"/>
              <w:rPr>
                <w:rFonts w:ascii="宋体" w:hAnsi="宋体"/>
                <w:color w:val="000000"/>
                <w:sz w:val="24"/>
                <w:szCs w:val="24"/>
              </w:rPr>
            </w:pPr>
            <w:r>
              <w:rPr>
                <w:rFonts w:hint="eastAsia" w:ascii="宋体" w:hAnsi="宋体"/>
                <w:color w:val="000000"/>
                <w:sz w:val="24"/>
                <w:szCs w:val="24"/>
              </w:rPr>
              <w:t>5</w:t>
            </w:r>
          </w:p>
        </w:tc>
        <w:tc>
          <w:tcPr>
            <w:tcW w:w="1932" w:type="dxa"/>
            <w:vAlign w:val="center"/>
          </w:tcPr>
          <w:p w14:paraId="183E333E">
            <w:pPr>
              <w:spacing w:line="360" w:lineRule="auto"/>
              <w:jc w:val="center"/>
              <w:rPr>
                <w:rFonts w:ascii="宋体" w:hAnsi="宋体"/>
                <w:color w:val="000000"/>
                <w:sz w:val="24"/>
                <w:szCs w:val="24"/>
              </w:rPr>
            </w:pPr>
            <w:r>
              <w:rPr>
                <w:rFonts w:hint="eastAsia" w:ascii="宋体" w:hAnsi="宋体"/>
                <w:color w:val="000000"/>
                <w:sz w:val="24"/>
                <w:szCs w:val="24"/>
              </w:rPr>
              <w:t>考核要求</w:t>
            </w:r>
          </w:p>
        </w:tc>
        <w:tc>
          <w:tcPr>
            <w:tcW w:w="4694" w:type="dxa"/>
            <w:vAlign w:val="center"/>
          </w:tcPr>
          <w:p w14:paraId="3FEE002A">
            <w:pPr>
              <w:spacing w:line="360" w:lineRule="auto"/>
              <w:rPr>
                <w:rFonts w:ascii="宋体" w:hAnsi="宋体"/>
                <w:color w:val="000000"/>
                <w:sz w:val="24"/>
                <w:szCs w:val="24"/>
              </w:rPr>
            </w:pPr>
            <w:r>
              <w:rPr>
                <w:rFonts w:hint="eastAsia" w:ascii="宋体" w:hAnsi="宋体"/>
                <w:color w:val="000000"/>
                <w:sz w:val="24"/>
                <w:szCs w:val="24"/>
              </w:rPr>
              <w:t>响应招标文件</w:t>
            </w:r>
          </w:p>
        </w:tc>
        <w:tc>
          <w:tcPr>
            <w:tcW w:w="1380" w:type="dxa"/>
            <w:vAlign w:val="center"/>
          </w:tcPr>
          <w:p w14:paraId="57BCA987">
            <w:pPr>
              <w:spacing w:line="360" w:lineRule="auto"/>
              <w:jc w:val="center"/>
              <w:rPr>
                <w:rFonts w:ascii="宋体" w:hAnsi="宋体"/>
                <w:color w:val="000000"/>
                <w:sz w:val="24"/>
                <w:szCs w:val="24"/>
              </w:rPr>
            </w:pPr>
          </w:p>
        </w:tc>
      </w:tr>
      <w:tr w14:paraId="09AB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67" w:type="dxa"/>
            <w:vAlign w:val="center"/>
          </w:tcPr>
          <w:p w14:paraId="75BE3FE1">
            <w:pPr>
              <w:spacing w:line="360" w:lineRule="auto"/>
              <w:jc w:val="center"/>
              <w:rPr>
                <w:rFonts w:ascii="宋体" w:hAnsi="宋体"/>
                <w:color w:val="000000"/>
                <w:sz w:val="24"/>
                <w:szCs w:val="24"/>
              </w:rPr>
            </w:pPr>
            <w:r>
              <w:rPr>
                <w:rFonts w:hint="eastAsia" w:ascii="宋体" w:hAnsi="宋体"/>
                <w:color w:val="000000"/>
                <w:sz w:val="24"/>
                <w:szCs w:val="24"/>
              </w:rPr>
              <w:t>6</w:t>
            </w:r>
          </w:p>
        </w:tc>
        <w:tc>
          <w:tcPr>
            <w:tcW w:w="1932" w:type="dxa"/>
            <w:vAlign w:val="center"/>
          </w:tcPr>
          <w:p w14:paraId="33BF6E07">
            <w:pPr>
              <w:spacing w:line="360" w:lineRule="auto"/>
              <w:jc w:val="center"/>
              <w:rPr>
                <w:rFonts w:ascii="宋体" w:hAnsi="宋体"/>
                <w:color w:val="000000"/>
                <w:sz w:val="24"/>
                <w:szCs w:val="24"/>
              </w:rPr>
            </w:pPr>
            <w:r>
              <w:rPr>
                <w:rFonts w:hint="eastAsia" w:ascii="宋体" w:hAnsi="宋体"/>
                <w:color w:val="000000"/>
                <w:sz w:val="24"/>
                <w:szCs w:val="24"/>
              </w:rPr>
              <w:t>服务需求</w:t>
            </w:r>
          </w:p>
        </w:tc>
        <w:tc>
          <w:tcPr>
            <w:tcW w:w="4694" w:type="dxa"/>
            <w:vAlign w:val="center"/>
          </w:tcPr>
          <w:p w14:paraId="029977B8">
            <w:pPr>
              <w:spacing w:line="360" w:lineRule="auto"/>
              <w:rPr>
                <w:rFonts w:ascii="宋体" w:hAnsi="宋体"/>
                <w:color w:val="000000"/>
                <w:sz w:val="24"/>
                <w:szCs w:val="24"/>
              </w:rPr>
            </w:pPr>
            <w:r>
              <w:rPr>
                <w:rFonts w:hint="eastAsia" w:ascii="宋体" w:hAnsi="宋体"/>
                <w:color w:val="000000"/>
                <w:sz w:val="24"/>
                <w:szCs w:val="24"/>
              </w:rPr>
              <w:t>响应招标文件</w:t>
            </w:r>
          </w:p>
        </w:tc>
        <w:tc>
          <w:tcPr>
            <w:tcW w:w="1380" w:type="dxa"/>
            <w:vAlign w:val="center"/>
          </w:tcPr>
          <w:p w14:paraId="39268A0A">
            <w:pPr>
              <w:spacing w:line="360" w:lineRule="auto"/>
              <w:jc w:val="center"/>
              <w:rPr>
                <w:rFonts w:ascii="宋体" w:hAnsi="宋体"/>
                <w:color w:val="000000"/>
                <w:sz w:val="24"/>
                <w:szCs w:val="24"/>
              </w:rPr>
            </w:pPr>
          </w:p>
        </w:tc>
      </w:tr>
      <w:tr w14:paraId="0EBB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967" w:type="dxa"/>
            <w:vAlign w:val="center"/>
          </w:tcPr>
          <w:p w14:paraId="295C5B72">
            <w:pPr>
              <w:spacing w:line="360" w:lineRule="auto"/>
              <w:jc w:val="center"/>
              <w:rPr>
                <w:rFonts w:ascii="宋体" w:hAnsi="宋体"/>
                <w:color w:val="000000"/>
                <w:sz w:val="24"/>
                <w:szCs w:val="24"/>
              </w:rPr>
            </w:pPr>
            <w:r>
              <w:rPr>
                <w:rFonts w:hint="eastAsia" w:ascii="宋体" w:hAnsi="宋体"/>
                <w:color w:val="000000"/>
                <w:sz w:val="24"/>
                <w:szCs w:val="24"/>
              </w:rPr>
              <w:t>6</w:t>
            </w:r>
          </w:p>
        </w:tc>
        <w:tc>
          <w:tcPr>
            <w:tcW w:w="1932" w:type="dxa"/>
            <w:vAlign w:val="center"/>
          </w:tcPr>
          <w:p w14:paraId="4B9524DD">
            <w:pPr>
              <w:spacing w:line="360" w:lineRule="auto"/>
              <w:jc w:val="center"/>
              <w:rPr>
                <w:rFonts w:ascii="宋体" w:hAnsi="宋体"/>
                <w:color w:val="000000"/>
                <w:sz w:val="24"/>
                <w:szCs w:val="24"/>
              </w:rPr>
            </w:pPr>
            <w:r>
              <w:rPr>
                <w:rFonts w:hint="eastAsia" w:ascii="宋体" w:hAnsi="宋体"/>
                <w:color w:val="000000"/>
                <w:sz w:val="24"/>
                <w:szCs w:val="24"/>
              </w:rPr>
              <w:t>备    注</w:t>
            </w:r>
          </w:p>
        </w:tc>
        <w:tc>
          <w:tcPr>
            <w:tcW w:w="4694" w:type="dxa"/>
            <w:vAlign w:val="center"/>
          </w:tcPr>
          <w:p w14:paraId="7C1227CB">
            <w:pPr>
              <w:spacing w:line="360" w:lineRule="auto"/>
              <w:jc w:val="center"/>
              <w:rPr>
                <w:rFonts w:ascii="宋体" w:hAnsi="宋体"/>
                <w:color w:val="000000"/>
                <w:sz w:val="24"/>
                <w:szCs w:val="24"/>
              </w:rPr>
            </w:pPr>
          </w:p>
        </w:tc>
        <w:tc>
          <w:tcPr>
            <w:tcW w:w="1380" w:type="dxa"/>
            <w:vAlign w:val="center"/>
          </w:tcPr>
          <w:p w14:paraId="5CAA61E8">
            <w:pPr>
              <w:spacing w:line="360" w:lineRule="auto"/>
              <w:jc w:val="center"/>
              <w:rPr>
                <w:rFonts w:ascii="宋体" w:hAnsi="宋体"/>
                <w:color w:val="000000"/>
                <w:sz w:val="24"/>
                <w:szCs w:val="24"/>
              </w:rPr>
            </w:pPr>
          </w:p>
        </w:tc>
      </w:tr>
    </w:tbl>
    <w:p w14:paraId="3A4246A1">
      <w:pPr>
        <w:spacing w:line="360" w:lineRule="auto"/>
        <w:rPr>
          <w:rFonts w:ascii="宋体" w:hAnsi="宋体"/>
          <w:b/>
          <w:color w:val="000000"/>
          <w:sz w:val="24"/>
          <w:szCs w:val="24"/>
        </w:rPr>
      </w:pPr>
    </w:p>
    <w:p w14:paraId="24C72A2E">
      <w:pPr>
        <w:spacing w:line="360" w:lineRule="auto"/>
        <w:ind w:firstLine="3882" w:firstLineChars="1611"/>
        <w:rPr>
          <w:rFonts w:ascii="宋体" w:hAnsi="宋体"/>
          <w:b/>
          <w:color w:val="000000"/>
          <w:sz w:val="24"/>
        </w:rPr>
      </w:pPr>
      <w:r>
        <w:rPr>
          <w:rFonts w:hint="eastAsia" w:ascii="宋体" w:hAnsi="宋体"/>
          <w:b/>
          <w:color w:val="000000"/>
          <w:sz w:val="24"/>
          <w:szCs w:val="24"/>
        </w:rPr>
        <w:t>投标单位：</w:t>
      </w:r>
      <w:r>
        <w:rPr>
          <w:rFonts w:hint="eastAsia" w:ascii="宋体" w:hAnsi="宋体"/>
          <w:b/>
          <w:color w:val="000000"/>
          <w:sz w:val="24"/>
          <w:szCs w:val="24"/>
          <w:u w:val="single"/>
        </w:rPr>
        <w:t xml:space="preserve">                    </w:t>
      </w:r>
      <w:r>
        <w:rPr>
          <w:rFonts w:hint="eastAsia" w:ascii="宋体" w:hAnsi="宋体"/>
          <w:b/>
          <w:color w:val="000000"/>
          <w:sz w:val="24"/>
        </w:rPr>
        <w:t>（全称+公章）</w:t>
      </w:r>
    </w:p>
    <w:p w14:paraId="1F7BA707">
      <w:pPr>
        <w:spacing w:line="360" w:lineRule="auto"/>
        <w:rPr>
          <w:rFonts w:ascii="宋体" w:hAnsi="宋体"/>
          <w:b/>
          <w:color w:val="000000"/>
          <w:sz w:val="24"/>
        </w:rPr>
      </w:pPr>
      <w:r>
        <w:rPr>
          <w:rFonts w:hint="eastAsia" w:ascii="宋体" w:hAnsi="宋体"/>
          <w:b/>
          <w:color w:val="000000"/>
          <w:sz w:val="24"/>
          <w:szCs w:val="24"/>
        </w:rPr>
        <w:t xml:space="preserve"> </w:t>
      </w:r>
    </w:p>
    <w:p w14:paraId="47BDF25E">
      <w:pPr>
        <w:pStyle w:val="7"/>
        <w:spacing w:before="0" w:after="0" w:line="360" w:lineRule="auto"/>
        <w:rPr>
          <w:color w:val="000000"/>
        </w:rPr>
      </w:pPr>
      <w:bookmarkStart w:id="149" w:name="_Toc1479969"/>
      <w:bookmarkStart w:id="150" w:name="_Toc1479831"/>
      <w:bookmarkStart w:id="151" w:name="_Toc282517742"/>
      <w:bookmarkStart w:id="152" w:name="_Toc516969097"/>
      <w:bookmarkStart w:id="153" w:name="_Toc269135710"/>
      <w:bookmarkStart w:id="154" w:name="_Toc197934563"/>
      <w:r>
        <w:rPr>
          <w:rFonts w:hAnsi="宋体"/>
          <w:color w:val="000000"/>
          <w:sz w:val="24"/>
        </w:rPr>
        <w:br w:type="page"/>
      </w:r>
      <w:bookmarkStart w:id="155" w:name="_Toc7542"/>
      <w:r>
        <w:rPr>
          <w:rFonts w:hint="eastAsia" w:hAnsi="宋体"/>
          <w:b w:val="0"/>
          <w:bCs w:val="0"/>
          <w:color w:val="000000"/>
        </w:rPr>
        <w:t>二、</w:t>
      </w:r>
      <w:r>
        <w:rPr>
          <w:rFonts w:hint="eastAsia"/>
          <w:color w:val="000000"/>
        </w:rPr>
        <w:t>投标函</w:t>
      </w:r>
      <w:bookmarkEnd w:id="149"/>
      <w:bookmarkEnd w:id="150"/>
      <w:bookmarkEnd w:id="155"/>
    </w:p>
    <w:p w14:paraId="48552A7D">
      <w:pPr>
        <w:spacing w:line="360" w:lineRule="auto"/>
        <w:rPr>
          <w:color w:val="000000"/>
        </w:rPr>
      </w:pPr>
    </w:p>
    <w:p w14:paraId="12F4EEFC">
      <w:pPr>
        <w:spacing w:line="360" w:lineRule="auto"/>
        <w:rPr>
          <w:rFonts w:ascii="宋体" w:hAnsi="宋体"/>
          <w:color w:val="000000"/>
          <w:sz w:val="28"/>
          <w:szCs w:val="24"/>
        </w:rPr>
      </w:pPr>
      <w:r>
        <w:rPr>
          <w:rFonts w:hint="eastAsia" w:ascii="宋体" w:hAnsi="宋体"/>
          <w:color w:val="000000"/>
          <w:sz w:val="28"/>
          <w:szCs w:val="24"/>
        </w:rPr>
        <w:t>致：</w:t>
      </w:r>
      <w:r>
        <w:rPr>
          <w:rFonts w:hint="eastAsia" w:ascii="宋体" w:hAnsi="宋体"/>
          <w:color w:val="000000"/>
          <w:sz w:val="28"/>
          <w:szCs w:val="24"/>
          <w:u w:val="single"/>
        </w:rPr>
        <w:t xml:space="preserve">                     </w:t>
      </w:r>
      <w:r>
        <w:rPr>
          <w:rFonts w:hint="eastAsia" w:ascii="宋体" w:hAnsi="宋体"/>
          <w:color w:val="000000"/>
          <w:sz w:val="24"/>
          <w:szCs w:val="24"/>
        </w:rPr>
        <w:t>（招标人）</w:t>
      </w:r>
    </w:p>
    <w:p w14:paraId="3F08E760">
      <w:pPr>
        <w:spacing w:line="360" w:lineRule="auto"/>
        <w:rPr>
          <w:rFonts w:ascii="宋体" w:hAnsi="宋体"/>
          <w:color w:val="000000"/>
          <w:sz w:val="24"/>
          <w:szCs w:val="24"/>
        </w:rPr>
      </w:pPr>
      <w:r>
        <w:rPr>
          <w:rFonts w:hint="eastAsia" w:ascii="宋体" w:hAnsi="宋体"/>
          <w:color w:val="000000"/>
          <w:sz w:val="24"/>
          <w:szCs w:val="24"/>
        </w:rPr>
        <w:t xml:space="preserve">    1.根据贵单位发布的招标公告和</w:t>
      </w:r>
      <w:r>
        <w:rPr>
          <w:rFonts w:hint="eastAsia" w:ascii="宋体" w:hAnsi="宋体"/>
          <w:color w:val="000000"/>
          <w:sz w:val="24"/>
          <w:szCs w:val="24"/>
          <w:u w:val="single"/>
        </w:rPr>
        <w:t xml:space="preserve">     （项目编号）             </w:t>
      </w:r>
      <w:r>
        <w:rPr>
          <w:rFonts w:hint="eastAsia" w:ascii="宋体" w:hAnsi="宋体"/>
          <w:color w:val="000000"/>
          <w:sz w:val="24"/>
          <w:szCs w:val="24"/>
        </w:rPr>
        <w:t>号招标文件，我单位决定参加你们组织的“</w:t>
      </w:r>
      <w:r>
        <w:rPr>
          <w:rFonts w:hint="eastAsia" w:ascii="宋体" w:hAnsi="宋体"/>
          <w:color w:val="000000"/>
          <w:sz w:val="24"/>
          <w:szCs w:val="24"/>
          <w:u w:val="single"/>
        </w:rPr>
        <w:t xml:space="preserve">          （项目名称）              </w:t>
      </w:r>
      <w:r>
        <w:rPr>
          <w:rFonts w:hint="eastAsia" w:ascii="宋体" w:hAnsi="宋体"/>
          <w:color w:val="000000"/>
          <w:sz w:val="24"/>
          <w:szCs w:val="24"/>
        </w:rPr>
        <w:t>”的招标活动。</w:t>
      </w:r>
    </w:p>
    <w:p w14:paraId="0AA1E0D0">
      <w:pPr>
        <w:spacing w:line="360" w:lineRule="auto"/>
        <w:ind w:firstLine="480"/>
        <w:rPr>
          <w:rFonts w:ascii="宋体" w:hAnsi="宋体"/>
          <w:color w:val="000000"/>
          <w:sz w:val="24"/>
          <w:szCs w:val="24"/>
        </w:rPr>
      </w:pPr>
      <w:r>
        <w:rPr>
          <w:rFonts w:hint="eastAsia" w:ascii="宋体" w:hAnsi="宋体"/>
          <w:color w:val="000000"/>
          <w:sz w:val="24"/>
          <w:szCs w:val="24"/>
        </w:rPr>
        <w:t>2.我方愿意按照采购清单及招标文件规定的各项要求，向招标人提供所需的服务要求。</w:t>
      </w:r>
    </w:p>
    <w:p w14:paraId="0A238C88">
      <w:pPr>
        <w:spacing w:line="360" w:lineRule="auto"/>
        <w:ind w:firstLine="480"/>
        <w:rPr>
          <w:rFonts w:ascii="宋体" w:hAnsi="宋体"/>
          <w:color w:val="000000"/>
          <w:sz w:val="24"/>
          <w:szCs w:val="24"/>
        </w:rPr>
      </w:pPr>
      <w:r>
        <w:rPr>
          <w:rFonts w:hint="eastAsia" w:ascii="宋体" w:hAnsi="宋体"/>
          <w:color w:val="000000"/>
          <w:sz w:val="24"/>
          <w:szCs w:val="24"/>
        </w:rPr>
        <w:t>3.一旦我方中标，我方将严格履行合同规定的责任和义务，保证于合同签字生效后按照招标文件的要求完成服务要求。</w:t>
      </w:r>
    </w:p>
    <w:p w14:paraId="7A2C6826">
      <w:pPr>
        <w:spacing w:line="360" w:lineRule="auto"/>
        <w:ind w:firstLine="480" w:firstLineChars="200"/>
        <w:rPr>
          <w:rFonts w:ascii="宋体" w:hAnsi="宋体"/>
          <w:color w:val="000000"/>
          <w:sz w:val="24"/>
          <w:szCs w:val="24"/>
        </w:rPr>
      </w:pPr>
      <w:r>
        <w:rPr>
          <w:rFonts w:hint="eastAsia" w:ascii="宋体" w:hAnsi="宋体"/>
          <w:color w:val="000000"/>
          <w:sz w:val="24"/>
          <w:szCs w:val="24"/>
        </w:rPr>
        <w:t>4.</w:t>
      </w:r>
      <w:r>
        <w:rPr>
          <w:rFonts w:hint="eastAsia" w:ascii="宋体" w:hAnsi="宋体"/>
          <w:color w:val="000000"/>
          <w:sz w:val="24"/>
        </w:rPr>
        <w:t>投标有效期为自投标截止时间起</w:t>
      </w:r>
      <w:r>
        <w:rPr>
          <w:rFonts w:hint="eastAsia" w:ascii="宋体" w:hAnsi="宋体"/>
          <w:color w:val="000000"/>
          <w:sz w:val="24"/>
          <w:u w:val="single"/>
        </w:rPr>
        <w:t>1</w:t>
      </w:r>
      <w:r>
        <w:rPr>
          <w:rFonts w:ascii="宋体" w:hAnsi="宋体"/>
          <w:color w:val="000000"/>
          <w:sz w:val="24"/>
          <w:u w:val="single"/>
        </w:rPr>
        <w:t>8</w:t>
      </w:r>
      <w:r>
        <w:rPr>
          <w:rFonts w:hint="eastAsia" w:ascii="宋体" w:hAnsi="宋体"/>
          <w:color w:val="000000"/>
          <w:sz w:val="24"/>
          <w:u w:val="single"/>
        </w:rPr>
        <w:t>0</w:t>
      </w:r>
      <w:r>
        <w:rPr>
          <w:rFonts w:hint="eastAsia" w:ascii="宋体" w:hAnsi="宋体"/>
          <w:color w:val="000000"/>
          <w:sz w:val="24"/>
        </w:rPr>
        <w:t>日历天；投标保证金金额为</w:t>
      </w:r>
      <w:r>
        <w:rPr>
          <w:rFonts w:hint="eastAsia" w:ascii="宋体" w:hAnsi="宋体"/>
          <w:color w:val="000000"/>
          <w:sz w:val="24"/>
          <w:u w:val="single"/>
        </w:rPr>
        <w:t xml:space="preserve">       </w:t>
      </w:r>
      <w:r>
        <w:rPr>
          <w:rFonts w:hint="eastAsia" w:ascii="宋体" w:hAnsi="宋体"/>
          <w:color w:val="000000"/>
          <w:sz w:val="24"/>
        </w:rPr>
        <w:t>元人民币</w:t>
      </w:r>
      <w:r>
        <w:rPr>
          <w:rFonts w:hint="eastAsia" w:ascii="宋体" w:hAnsi="宋体"/>
          <w:color w:val="000000"/>
          <w:sz w:val="24"/>
          <w:szCs w:val="24"/>
        </w:rPr>
        <w:t>。我方承诺遵守招标文件中关于投标保证金的规定。</w:t>
      </w:r>
    </w:p>
    <w:p w14:paraId="370F3263">
      <w:pPr>
        <w:spacing w:line="360" w:lineRule="auto"/>
        <w:ind w:firstLine="480"/>
        <w:rPr>
          <w:rFonts w:hint="eastAsia" w:ascii="宋体" w:hAnsi="宋体"/>
          <w:color w:val="000000"/>
          <w:sz w:val="24"/>
          <w:szCs w:val="24"/>
        </w:rPr>
      </w:pPr>
      <w:r>
        <w:rPr>
          <w:rFonts w:hint="eastAsia" w:ascii="宋体" w:hAnsi="宋体"/>
          <w:color w:val="000000"/>
          <w:sz w:val="24"/>
          <w:szCs w:val="24"/>
        </w:rPr>
        <w:t>5.我方为本项目提交的电子投标文件1份。</w:t>
      </w:r>
    </w:p>
    <w:p w14:paraId="18CBDC0F">
      <w:pPr>
        <w:spacing w:line="360" w:lineRule="auto"/>
        <w:ind w:firstLine="480" w:firstLineChars="200"/>
        <w:rPr>
          <w:rFonts w:ascii="宋体" w:hAnsi="宋体"/>
          <w:color w:val="000000"/>
          <w:sz w:val="24"/>
          <w:szCs w:val="24"/>
        </w:rPr>
      </w:pPr>
      <w:r>
        <w:rPr>
          <w:rFonts w:hint="eastAsia" w:ascii="宋体" w:hAnsi="宋体"/>
          <w:color w:val="000000"/>
          <w:sz w:val="24"/>
          <w:szCs w:val="24"/>
        </w:rPr>
        <w:t>6.我方愿意提供招标人可能另外要求的、与投标有关的文件资料，并保证我方已提供和将要提供的文件是真实的、准确的。</w:t>
      </w:r>
    </w:p>
    <w:p w14:paraId="2C392138">
      <w:pPr>
        <w:spacing w:line="360" w:lineRule="auto"/>
        <w:ind w:firstLine="480" w:firstLineChars="200"/>
        <w:rPr>
          <w:rFonts w:ascii="宋体" w:hAnsi="宋体"/>
          <w:color w:val="000000"/>
          <w:sz w:val="24"/>
        </w:rPr>
      </w:pPr>
      <w:r>
        <w:rPr>
          <w:rFonts w:hint="eastAsia" w:ascii="宋体" w:hAnsi="宋体"/>
          <w:color w:val="000000"/>
          <w:sz w:val="24"/>
        </w:rPr>
        <w:t>本公司对上述声明的真实性负责。如有虚假，将依法承担相应责任。</w:t>
      </w:r>
    </w:p>
    <w:p w14:paraId="436103B3">
      <w:pPr>
        <w:spacing w:line="360" w:lineRule="auto"/>
        <w:ind w:firstLine="480" w:firstLineChars="200"/>
        <w:rPr>
          <w:rFonts w:ascii="宋体" w:hAnsi="宋体" w:cs="宋体"/>
          <w:color w:val="000000"/>
          <w:sz w:val="24"/>
          <w:szCs w:val="24"/>
        </w:rPr>
      </w:pPr>
    </w:p>
    <w:p w14:paraId="530D61AE">
      <w:pPr>
        <w:spacing w:line="360" w:lineRule="auto"/>
        <w:rPr>
          <w:rFonts w:ascii="宋体" w:hAnsi="宋体"/>
          <w:color w:val="000000"/>
          <w:sz w:val="24"/>
          <w:szCs w:val="24"/>
        </w:rPr>
      </w:pPr>
    </w:p>
    <w:p w14:paraId="4679E62A">
      <w:pPr>
        <w:spacing w:line="360" w:lineRule="auto"/>
        <w:ind w:firstLine="523" w:firstLineChars="218"/>
        <w:rPr>
          <w:rFonts w:ascii="宋体" w:hAnsi="宋体"/>
          <w:color w:val="000000"/>
          <w:sz w:val="24"/>
          <w:szCs w:val="24"/>
        </w:rPr>
      </w:pPr>
      <w:r>
        <w:rPr>
          <w:rFonts w:hint="eastAsia" w:ascii="宋体" w:hAnsi="宋体"/>
          <w:color w:val="000000"/>
          <w:sz w:val="24"/>
          <w:szCs w:val="24"/>
        </w:rPr>
        <w:t>投标人名称：</w:t>
      </w:r>
      <w:r>
        <w:rPr>
          <w:rFonts w:hint="eastAsia" w:ascii="宋体" w:hAnsi="宋体"/>
          <w:color w:val="000000"/>
          <w:sz w:val="24"/>
          <w:szCs w:val="24"/>
          <w:u w:val="single"/>
        </w:rPr>
        <w:t xml:space="preserve">                          </w:t>
      </w:r>
      <w:r>
        <w:rPr>
          <w:rFonts w:hint="eastAsia" w:ascii="宋体" w:hAnsi="宋体"/>
          <w:color w:val="000000"/>
          <w:sz w:val="24"/>
          <w:szCs w:val="24"/>
        </w:rPr>
        <w:t>（全称+公章）</w:t>
      </w:r>
    </w:p>
    <w:p w14:paraId="2D861E71">
      <w:pPr>
        <w:spacing w:line="360" w:lineRule="auto"/>
        <w:ind w:firstLine="523" w:firstLineChars="218"/>
        <w:rPr>
          <w:rFonts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w:t>
      </w:r>
      <w:r>
        <w:rPr>
          <w:rFonts w:hint="eastAsia" w:ascii="宋体" w:hAnsi="宋体"/>
          <w:color w:val="000000"/>
          <w:sz w:val="24"/>
          <w:szCs w:val="24"/>
        </w:rPr>
        <w:t>（签字或签章）</w:t>
      </w:r>
    </w:p>
    <w:p w14:paraId="2B76353F">
      <w:pPr>
        <w:spacing w:line="360" w:lineRule="auto"/>
        <w:ind w:firstLine="523" w:firstLineChars="218"/>
        <w:rPr>
          <w:rFonts w:ascii="宋体" w:hAnsi="宋体"/>
          <w:color w:val="000000"/>
          <w:sz w:val="24"/>
          <w:szCs w:val="24"/>
          <w:u w:val="single"/>
        </w:rPr>
      </w:pPr>
      <w:r>
        <w:rPr>
          <w:rFonts w:hint="eastAsia" w:ascii="宋体" w:hAnsi="宋体"/>
          <w:color w:val="000000"/>
          <w:sz w:val="24"/>
          <w:szCs w:val="24"/>
        </w:rPr>
        <w:t>公司联系电话</w:t>
      </w:r>
      <w:r>
        <w:rPr>
          <w:rFonts w:hint="eastAsia" w:ascii="宋体" w:hAnsi="宋体"/>
          <w:color w:val="000000"/>
          <w:sz w:val="24"/>
          <w:szCs w:val="24"/>
          <w:u w:val="single"/>
        </w:rPr>
        <w:t xml:space="preserve">：                                    </w:t>
      </w:r>
    </w:p>
    <w:p w14:paraId="05AACB22">
      <w:pPr>
        <w:spacing w:line="360" w:lineRule="auto"/>
        <w:ind w:firstLine="523" w:firstLineChars="218"/>
        <w:rPr>
          <w:rFonts w:ascii="宋体" w:hAnsi="宋体"/>
          <w:color w:val="000000"/>
          <w:sz w:val="24"/>
          <w:szCs w:val="24"/>
          <w:u w:val="single"/>
        </w:rPr>
      </w:pPr>
      <w:r>
        <w:rPr>
          <w:rFonts w:hint="eastAsia" w:ascii="宋体" w:hAnsi="宋体"/>
          <w:color w:val="000000"/>
          <w:sz w:val="24"/>
          <w:szCs w:val="24"/>
        </w:rPr>
        <w:t>本项目负责人联系电话</w:t>
      </w:r>
      <w:r>
        <w:rPr>
          <w:rFonts w:hint="eastAsia" w:ascii="宋体" w:hAnsi="宋体"/>
          <w:color w:val="000000"/>
          <w:sz w:val="24"/>
          <w:szCs w:val="24"/>
          <w:u w:val="single"/>
        </w:rPr>
        <w:t xml:space="preserve">：                            </w:t>
      </w:r>
    </w:p>
    <w:p w14:paraId="74A01964">
      <w:pPr>
        <w:spacing w:line="360" w:lineRule="auto"/>
        <w:ind w:firstLine="523" w:firstLineChars="218"/>
        <w:rPr>
          <w:rFonts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p>
    <w:p w14:paraId="2D9C7ED1">
      <w:pPr>
        <w:spacing w:line="360" w:lineRule="auto"/>
        <w:ind w:firstLine="523" w:firstLineChars="218"/>
        <w:rPr>
          <w:rFonts w:ascii="宋体" w:hAnsi="宋体"/>
          <w:color w:val="000000"/>
          <w:sz w:val="24"/>
          <w:szCs w:val="24"/>
          <w:u w:val="single"/>
        </w:rPr>
      </w:pPr>
      <w:r>
        <w:rPr>
          <w:rFonts w:hint="eastAsia" w:ascii="宋体" w:hAnsi="宋体"/>
          <w:color w:val="000000"/>
          <w:sz w:val="24"/>
          <w:szCs w:val="24"/>
        </w:rPr>
        <w:t>公司地址：</w:t>
      </w:r>
      <w:r>
        <w:rPr>
          <w:rFonts w:hint="eastAsia" w:ascii="宋体" w:hAnsi="宋体"/>
          <w:color w:val="000000"/>
          <w:sz w:val="24"/>
          <w:szCs w:val="24"/>
          <w:u w:val="single"/>
        </w:rPr>
        <w:t xml:space="preserve">                                        </w:t>
      </w:r>
    </w:p>
    <w:p w14:paraId="362F1704">
      <w:pPr>
        <w:spacing w:line="360" w:lineRule="auto"/>
        <w:rPr>
          <w:rFonts w:ascii="宋体" w:hAnsi="宋体"/>
          <w:color w:val="000000"/>
          <w:sz w:val="24"/>
          <w:szCs w:val="24"/>
          <w:u w:val="single"/>
        </w:rPr>
      </w:pPr>
    </w:p>
    <w:p w14:paraId="029C30D5">
      <w:pPr>
        <w:spacing w:line="360" w:lineRule="auto"/>
        <w:rPr>
          <w:rFonts w:ascii="宋体" w:hAnsi="宋体"/>
          <w:color w:val="000000"/>
          <w:sz w:val="24"/>
          <w:szCs w:val="24"/>
          <w:u w:val="single"/>
        </w:rPr>
      </w:pPr>
    </w:p>
    <w:p w14:paraId="47F04F87">
      <w:pPr>
        <w:spacing w:line="360" w:lineRule="auto"/>
        <w:jc w:val="center"/>
        <w:outlineLvl w:val="2"/>
        <w:rPr>
          <w:rFonts w:ascii="宋体" w:hAnsi="宋体"/>
          <w:b/>
          <w:bCs/>
          <w:color w:val="000000"/>
          <w:sz w:val="32"/>
          <w:szCs w:val="32"/>
        </w:rPr>
      </w:pPr>
      <w:bookmarkStart w:id="156" w:name="_Toc19429"/>
      <w:r>
        <w:rPr>
          <w:rFonts w:hint="eastAsia" w:ascii="宋体" w:hAnsi="宋体"/>
          <w:b/>
          <w:bCs/>
          <w:color w:val="000000"/>
          <w:sz w:val="32"/>
          <w:szCs w:val="32"/>
        </w:rPr>
        <w:br w:type="page"/>
      </w:r>
      <w:r>
        <w:rPr>
          <w:rFonts w:hint="eastAsia" w:ascii="宋体" w:hAnsi="宋体"/>
          <w:b/>
          <w:bCs/>
          <w:color w:val="000000"/>
          <w:sz w:val="32"/>
          <w:szCs w:val="32"/>
        </w:rPr>
        <w:t>三、承 诺 书</w:t>
      </w:r>
      <w:bookmarkEnd w:id="156"/>
    </w:p>
    <w:p w14:paraId="2091E4B5">
      <w:pPr>
        <w:spacing w:line="360" w:lineRule="auto"/>
        <w:rPr>
          <w:rFonts w:ascii="宋体" w:hAnsi="宋体"/>
          <w:bCs/>
          <w:color w:val="000000"/>
          <w:sz w:val="24"/>
          <w:szCs w:val="24"/>
        </w:rPr>
      </w:pPr>
    </w:p>
    <w:p w14:paraId="0B155986">
      <w:pPr>
        <w:spacing w:line="360" w:lineRule="auto"/>
        <w:rPr>
          <w:rFonts w:ascii="宋体" w:hAnsi="宋体"/>
          <w:bCs/>
          <w:color w:val="000000"/>
          <w:sz w:val="32"/>
          <w:szCs w:val="24"/>
        </w:rPr>
      </w:pPr>
      <w:r>
        <w:rPr>
          <w:rFonts w:hint="eastAsia" w:ascii="宋体" w:hAnsi="宋体"/>
          <w:bCs/>
          <w:color w:val="000000"/>
          <w:sz w:val="32"/>
          <w:szCs w:val="24"/>
          <w:u w:val="single"/>
        </w:rPr>
        <w:t xml:space="preserve">                         </w:t>
      </w:r>
      <w:r>
        <w:rPr>
          <w:rFonts w:hint="eastAsia" w:ascii="宋体" w:hAnsi="宋体"/>
          <w:bCs/>
          <w:color w:val="000000"/>
          <w:sz w:val="32"/>
          <w:szCs w:val="24"/>
        </w:rPr>
        <w:t>（</w:t>
      </w:r>
      <w:r>
        <w:rPr>
          <w:rFonts w:hint="eastAsia" w:ascii="宋体" w:hAnsi="宋体"/>
          <w:bCs/>
          <w:color w:val="000000"/>
          <w:sz w:val="28"/>
          <w:szCs w:val="24"/>
        </w:rPr>
        <w:t>招标人</w:t>
      </w:r>
      <w:r>
        <w:rPr>
          <w:rFonts w:hint="eastAsia" w:ascii="宋体" w:hAnsi="宋体"/>
          <w:bCs/>
          <w:color w:val="000000"/>
          <w:sz w:val="32"/>
          <w:szCs w:val="24"/>
        </w:rPr>
        <w:t>）：</w:t>
      </w:r>
    </w:p>
    <w:p w14:paraId="603295FF">
      <w:pPr>
        <w:spacing w:line="360" w:lineRule="auto"/>
        <w:rPr>
          <w:rFonts w:ascii="宋体" w:hAnsi="宋体"/>
          <w:bCs/>
          <w:color w:val="000000"/>
          <w:sz w:val="32"/>
          <w:szCs w:val="24"/>
        </w:rPr>
      </w:pPr>
    </w:p>
    <w:bookmarkEnd w:id="151"/>
    <w:bookmarkEnd w:id="152"/>
    <w:bookmarkEnd w:id="153"/>
    <w:p w14:paraId="19BCBCE2">
      <w:pPr>
        <w:spacing w:line="360" w:lineRule="auto"/>
        <w:ind w:firstLine="600" w:firstLineChars="250"/>
        <w:jc w:val="left"/>
        <w:rPr>
          <w:rFonts w:ascii="宋体" w:hAnsi="宋体"/>
          <w:sz w:val="24"/>
          <w:szCs w:val="24"/>
        </w:rPr>
      </w:pPr>
      <w:r>
        <w:rPr>
          <w:rFonts w:hint="eastAsia" w:ascii="宋体" w:hAnsi="宋体"/>
          <w:sz w:val="24"/>
          <w:szCs w:val="24"/>
        </w:rPr>
        <w:t>一、我公司郑重承诺</w:t>
      </w:r>
      <w:r>
        <w:rPr>
          <w:rFonts w:hint="eastAsia" w:ascii="宋体" w:hAnsi="宋体"/>
          <w:sz w:val="24"/>
          <w:szCs w:val="28"/>
        </w:rPr>
        <w:t>满足以下规定</w:t>
      </w:r>
      <w:r>
        <w:rPr>
          <w:rFonts w:hint="eastAsia" w:ascii="宋体" w:hAnsi="宋体"/>
          <w:sz w:val="24"/>
          <w:szCs w:val="24"/>
        </w:rPr>
        <w:t>：</w:t>
      </w:r>
    </w:p>
    <w:p w14:paraId="2FBFF9B1">
      <w:pPr>
        <w:spacing w:line="360" w:lineRule="auto"/>
        <w:ind w:firstLine="960" w:firstLineChars="400"/>
        <w:rPr>
          <w:rFonts w:ascii="宋体" w:hAnsi="宋体"/>
          <w:sz w:val="24"/>
          <w:szCs w:val="24"/>
        </w:rPr>
      </w:pPr>
      <w:r>
        <w:rPr>
          <w:rFonts w:hint="eastAsia" w:ascii="宋体" w:hAnsi="宋体"/>
          <w:sz w:val="24"/>
          <w:szCs w:val="24"/>
        </w:rPr>
        <w:t>1.具有独立承担民事责任的能力；</w:t>
      </w:r>
    </w:p>
    <w:p w14:paraId="0644D2F3">
      <w:pPr>
        <w:spacing w:line="360" w:lineRule="auto"/>
        <w:ind w:firstLine="960" w:firstLineChars="400"/>
        <w:rPr>
          <w:rFonts w:ascii="宋体" w:hAnsi="宋体"/>
          <w:sz w:val="24"/>
          <w:szCs w:val="24"/>
        </w:rPr>
      </w:pPr>
      <w:r>
        <w:rPr>
          <w:rFonts w:hint="eastAsia" w:ascii="宋体" w:hAnsi="宋体"/>
          <w:sz w:val="24"/>
          <w:szCs w:val="24"/>
        </w:rPr>
        <w:t>2.具有良好的商业信誉和健全的财务会计制度；</w:t>
      </w:r>
    </w:p>
    <w:p w14:paraId="51B06BD9">
      <w:pPr>
        <w:spacing w:line="360" w:lineRule="auto"/>
        <w:ind w:firstLine="960" w:firstLineChars="400"/>
        <w:rPr>
          <w:rFonts w:ascii="宋体" w:hAnsi="宋体"/>
          <w:sz w:val="24"/>
          <w:szCs w:val="24"/>
        </w:rPr>
      </w:pPr>
      <w:r>
        <w:rPr>
          <w:rFonts w:hint="eastAsia" w:ascii="宋体" w:hAnsi="宋体"/>
          <w:sz w:val="24"/>
          <w:szCs w:val="24"/>
        </w:rPr>
        <w:t>3.具有履行合同所必需的设备和专业技术能力；</w:t>
      </w:r>
    </w:p>
    <w:p w14:paraId="44C74AAF">
      <w:pPr>
        <w:spacing w:line="360" w:lineRule="auto"/>
        <w:ind w:firstLine="960" w:firstLineChars="400"/>
        <w:rPr>
          <w:rFonts w:ascii="宋体" w:hAnsi="宋体"/>
          <w:sz w:val="24"/>
          <w:szCs w:val="24"/>
        </w:rPr>
      </w:pPr>
      <w:r>
        <w:rPr>
          <w:rFonts w:hint="eastAsia" w:ascii="宋体" w:hAnsi="宋体"/>
          <w:sz w:val="24"/>
          <w:szCs w:val="24"/>
        </w:rPr>
        <w:t>4.有依法缴纳税收和社会保障资金的良好记录；</w:t>
      </w:r>
    </w:p>
    <w:p w14:paraId="39F33856">
      <w:pPr>
        <w:spacing w:line="360" w:lineRule="auto"/>
        <w:ind w:firstLine="960" w:firstLineChars="400"/>
        <w:rPr>
          <w:rFonts w:ascii="宋体" w:hAnsi="宋体"/>
          <w:sz w:val="24"/>
          <w:szCs w:val="24"/>
        </w:rPr>
      </w:pPr>
      <w:r>
        <w:rPr>
          <w:rFonts w:hint="eastAsia" w:ascii="宋体" w:hAnsi="宋体"/>
          <w:sz w:val="24"/>
          <w:szCs w:val="24"/>
        </w:rPr>
        <w:t>5.参加招标投标活动前三年内，在经营活动中没有重大违法记录；</w:t>
      </w:r>
    </w:p>
    <w:p w14:paraId="7C521ED7">
      <w:pPr>
        <w:spacing w:line="360" w:lineRule="auto"/>
        <w:ind w:firstLine="960" w:firstLineChars="400"/>
        <w:rPr>
          <w:rFonts w:ascii="宋体" w:hAnsi="宋体"/>
          <w:sz w:val="24"/>
          <w:szCs w:val="24"/>
        </w:rPr>
      </w:pPr>
      <w:r>
        <w:rPr>
          <w:rFonts w:hint="eastAsia" w:ascii="宋体" w:hAnsi="宋体"/>
          <w:sz w:val="24"/>
          <w:szCs w:val="24"/>
        </w:rPr>
        <w:t>6.法律、行政法规规定的其他条件。</w:t>
      </w:r>
    </w:p>
    <w:p w14:paraId="724D50D3">
      <w:pPr>
        <w:spacing w:line="360" w:lineRule="auto"/>
        <w:ind w:firstLine="480" w:firstLineChars="200"/>
        <w:rPr>
          <w:rFonts w:ascii="宋体" w:hAnsi="宋体"/>
          <w:sz w:val="24"/>
        </w:rPr>
      </w:pPr>
    </w:p>
    <w:p w14:paraId="2BCA0B2C">
      <w:pPr>
        <w:spacing w:line="360" w:lineRule="auto"/>
        <w:ind w:firstLine="480" w:firstLineChars="200"/>
        <w:rPr>
          <w:rFonts w:ascii="宋体" w:hAnsi="宋体"/>
          <w:sz w:val="24"/>
        </w:rPr>
      </w:pPr>
      <w:r>
        <w:rPr>
          <w:rFonts w:hint="eastAsia" w:ascii="宋体" w:hAnsi="宋体"/>
          <w:sz w:val="24"/>
        </w:rPr>
        <w:t>二、我公司郑重声明，我公司无以下不良信用记录情形：</w:t>
      </w:r>
    </w:p>
    <w:p w14:paraId="3EAB7AF0">
      <w:pPr>
        <w:spacing w:line="360" w:lineRule="auto"/>
        <w:ind w:firstLine="960" w:firstLineChars="400"/>
        <w:rPr>
          <w:rFonts w:ascii="宋体" w:hAnsi="宋体"/>
          <w:sz w:val="24"/>
        </w:rPr>
      </w:pPr>
      <w:r>
        <w:rPr>
          <w:rFonts w:hint="eastAsia" w:ascii="宋体" w:hAnsi="宋体"/>
          <w:sz w:val="24"/>
        </w:rPr>
        <w:t>1.公司被人民法院列入失信被执行人；</w:t>
      </w:r>
    </w:p>
    <w:p w14:paraId="6E6D2E6F">
      <w:pPr>
        <w:spacing w:line="360" w:lineRule="auto"/>
        <w:ind w:firstLine="955" w:firstLineChars="398"/>
        <w:rPr>
          <w:rFonts w:ascii="宋体" w:hAnsi="宋体"/>
          <w:sz w:val="24"/>
        </w:rPr>
      </w:pPr>
      <w:r>
        <w:rPr>
          <w:rFonts w:hint="eastAsia" w:ascii="宋体" w:hAnsi="宋体"/>
          <w:sz w:val="24"/>
        </w:rPr>
        <w:t>2.公司、法定代表人或拟派项目负责人被人民检察院列入行贿犯罪档案；</w:t>
      </w:r>
    </w:p>
    <w:p w14:paraId="44FF92BF">
      <w:pPr>
        <w:spacing w:line="360" w:lineRule="auto"/>
        <w:ind w:firstLine="955" w:firstLineChars="398"/>
        <w:rPr>
          <w:rFonts w:ascii="宋体" w:hAnsi="宋体"/>
          <w:sz w:val="24"/>
        </w:rPr>
      </w:pPr>
      <w:r>
        <w:rPr>
          <w:rFonts w:hint="eastAsia" w:ascii="宋体" w:hAnsi="宋体"/>
          <w:sz w:val="24"/>
        </w:rPr>
        <w:t>3.公司被市场监督管理部门列入企业经营异常名录；</w:t>
      </w:r>
    </w:p>
    <w:p w14:paraId="122D5F18">
      <w:pPr>
        <w:spacing w:line="360" w:lineRule="auto"/>
        <w:ind w:firstLine="955" w:firstLineChars="398"/>
        <w:rPr>
          <w:rFonts w:ascii="宋体" w:hAnsi="宋体"/>
          <w:sz w:val="24"/>
        </w:rPr>
      </w:pPr>
      <w:r>
        <w:rPr>
          <w:rFonts w:hint="eastAsia" w:ascii="宋体" w:hAnsi="宋体"/>
          <w:sz w:val="24"/>
        </w:rPr>
        <w:t>4.公司被税务部门列入重大税收违法案件当事人名单；</w:t>
      </w:r>
    </w:p>
    <w:p w14:paraId="7D1495B2">
      <w:pPr>
        <w:spacing w:line="360" w:lineRule="auto"/>
        <w:ind w:firstLine="955" w:firstLineChars="398"/>
        <w:rPr>
          <w:rFonts w:ascii="宋体" w:hAnsi="宋体"/>
          <w:sz w:val="24"/>
        </w:rPr>
      </w:pPr>
      <w:r>
        <w:rPr>
          <w:rFonts w:hint="eastAsia" w:ascii="宋体" w:hAnsi="宋体"/>
          <w:sz w:val="24"/>
        </w:rPr>
        <w:t>5.公司被招投标监管部门列入严重违法失信行为记录名单（在处罚期限内的）。</w:t>
      </w:r>
    </w:p>
    <w:p w14:paraId="1ED8E919">
      <w:pPr>
        <w:spacing w:line="360" w:lineRule="auto"/>
        <w:ind w:firstLine="480" w:firstLineChars="200"/>
        <w:rPr>
          <w:rFonts w:ascii="宋体" w:hAnsi="宋体"/>
          <w:sz w:val="24"/>
          <w:szCs w:val="24"/>
        </w:rPr>
      </w:pPr>
    </w:p>
    <w:p w14:paraId="202B622F">
      <w:pPr>
        <w:spacing w:line="360" w:lineRule="auto"/>
        <w:ind w:firstLine="480" w:firstLineChars="200"/>
        <w:rPr>
          <w:rFonts w:ascii="宋体" w:hAnsi="宋体"/>
          <w:sz w:val="24"/>
          <w:szCs w:val="24"/>
        </w:rPr>
      </w:pPr>
    </w:p>
    <w:p w14:paraId="442DF2C9">
      <w:pPr>
        <w:spacing w:line="360" w:lineRule="auto"/>
        <w:jc w:val="right"/>
        <w:rPr>
          <w:rFonts w:ascii="宋体" w:hAnsi="宋体"/>
          <w:sz w:val="24"/>
          <w:szCs w:val="24"/>
        </w:rPr>
      </w:pPr>
    </w:p>
    <w:p w14:paraId="7B66F7EA">
      <w:pPr>
        <w:spacing w:line="360" w:lineRule="auto"/>
        <w:ind w:right="960"/>
        <w:jc w:val="right"/>
        <w:rPr>
          <w:rFonts w:ascii="宋体" w:hAnsi="宋体"/>
          <w:sz w:val="24"/>
          <w:szCs w:val="24"/>
        </w:rPr>
      </w:pPr>
      <w:r>
        <w:rPr>
          <w:rFonts w:hint="eastAsia" w:ascii="宋体" w:hAnsi="宋体"/>
          <w:sz w:val="24"/>
          <w:szCs w:val="24"/>
        </w:rPr>
        <w:t xml:space="preserve">投标人 </w:t>
      </w:r>
      <w:r>
        <w:rPr>
          <w:rFonts w:hint="eastAsia" w:ascii="宋体" w:hAnsi="宋体"/>
          <w:sz w:val="24"/>
          <w:szCs w:val="24"/>
          <w:u w:val="single"/>
        </w:rPr>
        <w:t xml:space="preserve">                          </w:t>
      </w:r>
      <w:r>
        <w:rPr>
          <w:rFonts w:hint="eastAsia" w:ascii="宋体" w:hAnsi="宋体"/>
          <w:sz w:val="24"/>
          <w:szCs w:val="24"/>
        </w:rPr>
        <w:t>（全称+公章）</w:t>
      </w:r>
    </w:p>
    <w:p w14:paraId="6B342041">
      <w:pPr>
        <w:spacing w:line="360" w:lineRule="auto"/>
        <w:ind w:right="480" w:firstLine="6720" w:firstLineChars="2800"/>
        <w:rPr>
          <w:rFonts w:ascii="宋体" w:hAnsi="宋体"/>
          <w:sz w:val="24"/>
          <w:szCs w:val="24"/>
        </w:rPr>
      </w:pPr>
    </w:p>
    <w:p w14:paraId="2E4141A5">
      <w:pPr>
        <w:spacing w:line="360" w:lineRule="auto"/>
        <w:ind w:right="480" w:firstLine="6720" w:firstLineChars="2800"/>
        <w:rPr>
          <w:rFonts w:ascii="宋体" w:hAnsi="宋体"/>
          <w:sz w:val="24"/>
          <w:szCs w:val="24"/>
        </w:rPr>
      </w:pPr>
      <w:r>
        <w:rPr>
          <w:rFonts w:hint="eastAsia" w:ascii="宋体" w:hAnsi="宋体"/>
          <w:sz w:val="24"/>
          <w:szCs w:val="24"/>
        </w:rPr>
        <w:t>年   月   日</w:t>
      </w:r>
    </w:p>
    <w:p w14:paraId="68067D61">
      <w:pPr>
        <w:spacing w:before="120" w:beforeLines="50" w:after="120" w:afterLines="50" w:line="360" w:lineRule="auto"/>
        <w:jc w:val="center"/>
        <w:rPr>
          <w:rFonts w:ascii="宋体" w:hAnsi="宋体"/>
          <w:b/>
          <w:snapToGrid w:val="0"/>
          <w:kern w:val="0"/>
          <w:sz w:val="24"/>
          <w:szCs w:val="28"/>
        </w:rPr>
      </w:pPr>
    </w:p>
    <w:p w14:paraId="55565DA7">
      <w:pPr>
        <w:spacing w:before="120" w:beforeLines="50" w:after="120" w:afterLines="50" w:line="360" w:lineRule="auto"/>
        <w:jc w:val="center"/>
        <w:rPr>
          <w:rFonts w:ascii="宋体" w:hAnsi="宋体"/>
          <w:b/>
          <w:snapToGrid w:val="0"/>
          <w:kern w:val="0"/>
          <w:sz w:val="24"/>
          <w:szCs w:val="28"/>
        </w:rPr>
      </w:pPr>
    </w:p>
    <w:p w14:paraId="6AE7DC66">
      <w:pPr>
        <w:spacing w:line="360" w:lineRule="auto"/>
        <w:jc w:val="center"/>
        <w:rPr>
          <w:rFonts w:ascii="宋体" w:hAnsi="宋体"/>
          <w:b/>
          <w:snapToGrid w:val="0"/>
          <w:kern w:val="0"/>
          <w:sz w:val="24"/>
          <w:szCs w:val="28"/>
        </w:rPr>
      </w:pPr>
    </w:p>
    <w:p w14:paraId="0F62FA53">
      <w:pPr>
        <w:spacing w:line="360" w:lineRule="auto"/>
        <w:jc w:val="center"/>
        <w:rPr>
          <w:rFonts w:ascii="宋体" w:hAnsi="宋体"/>
          <w:b/>
          <w:sz w:val="28"/>
          <w:szCs w:val="22"/>
        </w:rPr>
      </w:pPr>
    </w:p>
    <w:p w14:paraId="22F6D084">
      <w:pPr>
        <w:spacing w:line="360" w:lineRule="auto"/>
        <w:jc w:val="center"/>
        <w:rPr>
          <w:rFonts w:ascii="宋体" w:hAnsi="宋体"/>
          <w:b/>
          <w:sz w:val="28"/>
          <w:szCs w:val="22"/>
        </w:rPr>
      </w:pPr>
      <w:r>
        <w:rPr>
          <w:rFonts w:ascii="宋体" w:hAnsi="宋体"/>
          <w:b/>
          <w:sz w:val="28"/>
          <w:szCs w:val="22"/>
        </w:rPr>
        <w:t>诚信履约承诺函</w:t>
      </w:r>
    </w:p>
    <w:p w14:paraId="562FE6CF">
      <w:pPr>
        <w:spacing w:line="360" w:lineRule="auto"/>
        <w:jc w:val="center"/>
        <w:rPr>
          <w:rFonts w:ascii="Calibri" w:hAnsi="Calibri"/>
          <w:sz w:val="28"/>
          <w:szCs w:val="22"/>
        </w:rPr>
      </w:pPr>
    </w:p>
    <w:p w14:paraId="26F3243F">
      <w:pPr>
        <w:spacing w:line="360" w:lineRule="auto"/>
        <w:rPr>
          <w:rFonts w:ascii="Calibri" w:hAnsi="Calibri"/>
          <w:sz w:val="24"/>
          <w:szCs w:val="22"/>
          <w:u w:val="single"/>
        </w:rPr>
      </w:pPr>
      <w:r>
        <w:rPr>
          <w:rFonts w:hint="eastAsia" w:ascii="Calibri" w:hAnsi="Calibri"/>
          <w:sz w:val="24"/>
          <w:szCs w:val="22"/>
          <w:u w:val="single"/>
        </w:rPr>
        <w:t xml:space="preserve">                            ：</w:t>
      </w:r>
      <w:r>
        <w:rPr>
          <w:rFonts w:hint="eastAsia" w:ascii="Calibri" w:hAnsi="Calibri"/>
          <w:sz w:val="24"/>
          <w:szCs w:val="22"/>
        </w:rPr>
        <w:t>（招标人）</w:t>
      </w:r>
    </w:p>
    <w:p w14:paraId="1E6DE00D">
      <w:pPr>
        <w:spacing w:line="360" w:lineRule="auto"/>
        <w:rPr>
          <w:rFonts w:ascii="Calibri" w:hAnsi="Calibri"/>
          <w:szCs w:val="22"/>
          <w:u w:val="single"/>
        </w:rPr>
      </w:pPr>
    </w:p>
    <w:p w14:paraId="5C848ABB">
      <w:pPr>
        <w:spacing w:line="360" w:lineRule="auto"/>
        <w:jc w:val="left"/>
        <w:rPr>
          <w:rFonts w:ascii="宋体" w:hAnsi="宋体"/>
          <w:color w:val="000000"/>
          <w:sz w:val="24"/>
          <w:szCs w:val="24"/>
        </w:rPr>
      </w:pPr>
      <w:r>
        <w:rPr>
          <w:rFonts w:hint="eastAsia" w:ascii="宋体" w:hAnsi="宋体"/>
          <w:color w:val="000000"/>
          <w:sz w:val="24"/>
          <w:szCs w:val="24"/>
        </w:rPr>
        <w:t>如我公司被推选为本项目中标人，郑重承诺以下事项：</w:t>
      </w:r>
    </w:p>
    <w:p w14:paraId="4E62C289">
      <w:pPr>
        <w:spacing w:line="360" w:lineRule="auto"/>
        <w:ind w:firstLine="240" w:firstLineChars="100"/>
        <w:rPr>
          <w:rFonts w:ascii="宋体" w:hAnsi="宋体"/>
          <w:color w:val="000000"/>
          <w:sz w:val="24"/>
          <w:szCs w:val="24"/>
        </w:rPr>
      </w:pPr>
      <w:r>
        <w:rPr>
          <w:rFonts w:hint="eastAsia" w:ascii="宋体" w:hAnsi="宋体"/>
          <w:color w:val="000000"/>
          <w:sz w:val="24"/>
          <w:szCs w:val="24"/>
        </w:rPr>
        <w:t>1.我公司投标文件所提供的标的信息均真实有效；</w:t>
      </w:r>
    </w:p>
    <w:p w14:paraId="3AE376B2">
      <w:pPr>
        <w:spacing w:line="360" w:lineRule="auto"/>
        <w:ind w:firstLine="240" w:firstLineChars="100"/>
        <w:rPr>
          <w:rFonts w:ascii="宋体" w:hAnsi="宋体"/>
          <w:color w:val="000000"/>
          <w:sz w:val="24"/>
          <w:szCs w:val="24"/>
        </w:rPr>
      </w:pPr>
      <w:r>
        <w:rPr>
          <w:rFonts w:hint="eastAsia" w:ascii="宋体" w:hAnsi="宋体"/>
          <w:color w:val="000000"/>
          <w:sz w:val="24"/>
          <w:szCs w:val="24"/>
        </w:rPr>
        <w:t>2.我公司将按招标文件和投标文件的约定事项与招标人签订合同；</w:t>
      </w:r>
    </w:p>
    <w:p w14:paraId="17D7547B">
      <w:pPr>
        <w:spacing w:line="360" w:lineRule="auto"/>
        <w:ind w:firstLine="240" w:firstLineChars="100"/>
        <w:rPr>
          <w:rFonts w:ascii="宋体" w:hAnsi="宋体"/>
          <w:color w:val="000000"/>
          <w:sz w:val="24"/>
          <w:szCs w:val="24"/>
        </w:rPr>
      </w:pPr>
      <w:r>
        <w:rPr>
          <w:rFonts w:hint="eastAsia" w:ascii="宋体" w:hAnsi="宋体"/>
          <w:color w:val="000000"/>
          <w:sz w:val="24"/>
          <w:szCs w:val="24"/>
        </w:rPr>
        <w:t>3.我公司将按合同要求诚信履约；</w:t>
      </w:r>
    </w:p>
    <w:p w14:paraId="575D18F7">
      <w:pPr>
        <w:spacing w:line="360" w:lineRule="auto"/>
        <w:ind w:firstLine="240" w:firstLineChars="100"/>
        <w:rPr>
          <w:rFonts w:ascii="宋体" w:hAnsi="宋体"/>
          <w:color w:val="000000"/>
          <w:sz w:val="24"/>
          <w:szCs w:val="24"/>
        </w:rPr>
      </w:pPr>
      <w:r>
        <w:rPr>
          <w:rFonts w:hint="eastAsia" w:ascii="宋体" w:hAnsi="宋体"/>
          <w:color w:val="000000"/>
          <w:sz w:val="24"/>
          <w:szCs w:val="24"/>
        </w:rPr>
        <w:t>4.如我公司未在规定期限内签订合同或不履行合同，我公司愿承担相关法律责任，并自愿接受招标和相关监督管理部门对我公司因未签订供货合同或不履行供货合同的行为进行处罚。</w:t>
      </w:r>
    </w:p>
    <w:p w14:paraId="37D853CE">
      <w:pPr>
        <w:spacing w:line="360" w:lineRule="auto"/>
        <w:jc w:val="center"/>
        <w:rPr>
          <w:rFonts w:ascii="宋体" w:hAnsi="宋体"/>
          <w:color w:val="000000"/>
          <w:sz w:val="28"/>
        </w:rPr>
      </w:pPr>
    </w:p>
    <w:p w14:paraId="1B79B92F">
      <w:pPr>
        <w:spacing w:line="360" w:lineRule="auto"/>
        <w:jc w:val="center"/>
        <w:rPr>
          <w:rFonts w:ascii="宋体" w:hAnsi="宋体"/>
          <w:color w:val="000000"/>
          <w:sz w:val="28"/>
        </w:rPr>
      </w:pPr>
    </w:p>
    <w:p w14:paraId="23BA3976">
      <w:pPr>
        <w:spacing w:line="360" w:lineRule="auto"/>
        <w:jc w:val="center"/>
        <w:rPr>
          <w:rFonts w:ascii="宋体" w:hAnsi="宋体"/>
          <w:color w:val="000000"/>
          <w:sz w:val="28"/>
        </w:rPr>
      </w:pPr>
    </w:p>
    <w:p w14:paraId="760101F9">
      <w:pPr>
        <w:spacing w:line="360" w:lineRule="auto"/>
        <w:jc w:val="center"/>
        <w:rPr>
          <w:rFonts w:ascii="宋体" w:hAnsi="宋体"/>
          <w:color w:val="000000"/>
          <w:sz w:val="28"/>
        </w:rPr>
      </w:pPr>
    </w:p>
    <w:p w14:paraId="194B2543">
      <w:pPr>
        <w:spacing w:line="360" w:lineRule="auto"/>
        <w:jc w:val="center"/>
        <w:rPr>
          <w:rFonts w:ascii="宋体" w:hAnsi="宋体"/>
          <w:color w:val="000000"/>
          <w:sz w:val="28"/>
        </w:rPr>
      </w:pPr>
    </w:p>
    <w:p w14:paraId="3EBEDFFF">
      <w:pPr>
        <w:spacing w:line="360" w:lineRule="auto"/>
        <w:jc w:val="center"/>
        <w:rPr>
          <w:rFonts w:ascii="宋体" w:hAnsi="宋体"/>
          <w:color w:val="000000"/>
          <w:sz w:val="28"/>
        </w:rPr>
      </w:pPr>
    </w:p>
    <w:p w14:paraId="39C13D94">
      <w:pPr>
        <w:spacing w:line="360" w:lineRule="auto"/>
        <w:ind w:right="480"/>
        <w:jc w:val="right"/>
        <w:rPr>
          <w:rFonts w:ascii="宋体" w:hAnsi="宋体"/>
          <w:sz w:val="24"/>
          <w:szCs w:val="24"/>
        </w:rPr>
      </w:pPr>
      <w:r>
        <w:rPr>
          <w:rFonts w:hint="eastAsia" w:ascii="宋体" w:hAnsi="宋体"/>
          <w:sz w:val="24"/>
          <w:szCs w:val="24"/>
        </w:rPr>
        <w:t xml:space="preserve">投标人 </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color w:val="000000"/>
          <w:sz w:val="24"/>
          <w:szCs w:val="24"/>
        </w:rPr>
        <w:t>全称+公章</w:t>
      </w:r>
      <w:r>
        <w:rPr>
          <w:rFonts w:hint="eastAsia" w:ascii="宋体" w:hAnsi="宋体"/>
          <w:sz w:val="24"/>
          <w:szCs w:val="24"/>
        </w:rPr>
        <w:t>）</w:t>
      </w:r>
    </w:p>
    <w:p w14:paraId="53D89B1E">
      <w:pPr>
        <w:spacing w:line="360" w:lineRule="auto"/>
        <w:ind w:right="480" w:firstLine="6720" w:firstLineChars="2800"/>
        <w:rPr>
          <w:rFonts w:ascii="宋体" w:hAnsi="宋体"/>
          <w:sz w:val="24"/>
          <w:szCs w:val="24"/>
        </w:rPr>
      </w:pPr>
    </w:p>
    <w:p w14:paraId="5929D718">
      <w:pPr>
        <w:spacing w:line="360" w:lineRule="auto"/>
        <w:ind w:right="480" w:firstLine="6720" w:firstLineChars="2800"/>
        <w:rPr>
          <w:rFonts w:ascii="宋体" w:hAnsi="宋体"/>
          <w:sz w:val="24"/>
          <w:szCs w:val="24"/>
        </w:rPr>
      </w:pPr>
      <w:r>
        <w:rPr>
          <w:rFonts w:hint="eastAsia" w:ascii="宋体" w:hAnsi="宋体"/>
          <w:sz w:val="24"/>
          <w:szCs w:val="24"/>
        </w:rPr>
        <w:t>年   月   日</w:t>
      </w:r>
    </w:p>
    <w:p w14:paraId="6DFA30C2">
      <w:pPr>
        <w:spacing w:line="360" w:lineRule="auto"/>
        <w:jc w:val="center"/>
        <w:rPr>
          <w:rFonts w:ascii="宋体" w:hAnsi="宋体"/>
          <w:color w:val="000000"/>
          <w:sz w:val="28"/>
        </w:rPr>
      </w:pPr>
    </w:p>
    <w:p w14:paraId="0E35DAAE">
      <w:pPr>
        <w:spacing w:line="360" w:lineRule="auto"/>
        <w:jc w:val="center"/>
        <w:rPr>
          <w:rFonts w:ascii="宋体" w:hAnsi="宋体"/>
          <w:color w:val="000000"/>
          <w:sz w:val="28"/>
        </w:rPr>
      </w:pPr>
    </w:p>
    <w:p w14:paraId="310E5289">
      <w:pPr>
        <w:spacing w:line="360" w:lineRule="auto"/>
        <w:jc w:val="center"/>
        <w:rPr>
          <w:rFonts w:ascii="宋体" w:hAnsi="宋体"/>
          <w:color w:val="000000"/>
          <w:sz w:val="28"/>
        </w:rPr>
      </w:pPr>
    </w:p>
    <w:p w14:paraId="5CC3F0D9">
      <w:pPr>
        <w:spacing w:line="360" w:lineRule="auto"/>
        <w:jc w:val="center"/>
        <w:rPr>
          <w:rFonts w:ascii="宋体" w:hAnsi="宋体"/>
          <w:color w:val="000000"/>
          <w:sz w:val="28"/>
        </w:rPr>
      </w:pPr>
    </w:p>
    <w:p w14:paraId="77D49F55">
      <w:pPr>
        <w:spacing w:line="360" w:lineRule="auto"/>
        <w:jc w:val="center"/>
        <w:rPr>
          <w:rFonts w:ascii="宋体" w:hAnsi="宋体"/>
          <w:color w:val="000000"/>
          <w:sz w:val="28"/>
        </w:rPr>
      </w:pPr>
    </w:p>
    <w:p w14:paraId="0C260418">
      <w:pPr>
        <w:spacing w:line="360" w:lineRule="auto"/>
        <w:jc w:val="center"/>
        <w:rPr>
          <w:rFonts w:ascii="宋体" w:hAnsi="宋体"/>
          <w:color w:val="000000"/>
          <w:sz w:val="28"/>
        </w:rPr>
      </w:pPr>
    </w:p>
    <w:bookmarkEnd w:id="143"/>
    <w:bookmarkEnd w:id="144"/>
    <w:bookmarkEnd w:id="145"/>
    <w:bookmarkEnd w:id="154"/>
    <w:p w14:paraId="73B0849A">
      <w:pPr>
        <w:pStyle w:val="7"/>
        <w:spacing w:line="360" w:lineRule="auto"/>
        <w:rPr>
          <w:rFonts w:hAnsi="宋体"/>
          <w:color w:val="000000"/>
        </w:rPr>
      </w:pPr>
      <w:bookmarkStart w:id="157" w:name="_Hlt509739007"/>
      <w:bookmarkEnd w:id="157"/>
      <w:bookmarkStart w:id="158" w:name="_Toc1479832"/>
      <w:bookmarkStart w:id="159" w:name="_Toc1479970"/>
      <w:bookmarkStart w:id="160" w:name="_Toc258576443"/>
      <w:bookmarkStart w:id="161" w:name="_Toc246150332"/>
      <w:bookmarkStart w:id="162" w:name="_Toc282517745"/>
      <w:r>
        <w:rPr>
          <w:rFonts w:hAnsi="宋体"/>
          <w:color w:val="000000"/>
        </w:rPr>
        <w:br w:type="page"/>
      </w:r>
      <w:bookmarkStart w:id="163" w:name="_Toc756"/>
      <w:r>
        <w:rPr>
          <w:rFonts w:hint="eastAsia" w:hAnsi="宋体"/>
          <w:color w:val="000000"/>
        </w:rPr>
        <w:t>四、法人身份</w:t>
      </w:r>
      <w:r>
        <w:rPr>
          <w:rFonts w:hAnsi="宋体"/>
          <w:color w:val="000000"/>
        </w:rPr>
        <w:t>证明和</w:t>
      </w:r>
      <w:r>
        <w:rPr>
          <w:rFonts w:hint="eastAsia" w:hAnsi="宋体"/>
          <w:color w:val="000000"/>
        </w:rPr>
        <w:t>授权委托书</w:t>
      </w:r>
      <w:bookmarkEnd w:id="158"/>
      <w:bookmarkEnd w:id="159"/>
      <w:bookmarkEnd w:id="163"/>
    </w:p>
    <w:p w14:paraId="7B137A69">
      <w:pPr>
        <w:spacing w:line="360" w:lineRule="auto"/>
        <w:ind w:firstLine="480" w:firstLineChars="200"/>
        <w:rPr>
          <w:rFonts w:ascii="宋体" w:hAnsi="宋体"/>
          <w:color w:val="000000"/>
          <w:sz w:val="24"/>
          <w:szCs w:val="24"/>
        </w:rPr>
      </w:pPr>
      <w:bookmarkStart w:id="164" w:name="_Toc34056502"/>
      <w:r>
        <w:rPr>
          <w:rFonts w:hint="eastAsia" w:ascii="宋体" w:hAnsi="宋体"/>
          <w:color w:val="000000"/>
          <w:sz w:val="24"/>
          <w:szCs w:val="24"/>
        </w:rPr>
        <w:t>投标人名称：</w:t>
      </w:r>
      <w:bookmarkEnd w:id="164"/>
      <w:r>
        <w:rPr>
          <w:rFonts w:hint="eastAsia" w:ascii="宋体" w:hAnsi="宋体"/>
          <w:color w:val="000000"/>
          <w:sz w:val="24"/>
          <w:szCs w:val="24"/>
          <w:u w:val="single"/>
        </w:rPr>
        <w:t xml:space="preserve">                            </w:t>
      </w:r>
    </w:p>
    <w:p w14:paraId="32BD4823">
      <w:pPr>
        <w:spacing w:line="360" w:lineRule="auto"/>
        <w:ind w:firstLine="480" w:firstLineChars="200"/>
        <w:rPr>
          <w:rFonts w:ascii="宋体" w:hAnsi="宋体"/>
          <w:color w:val="000000"/>
          <w:sz w:val="24"/>
          <w:szCs w:val="24"/>
        </w:rPr>
      </w:pPr>
      <w:r>
        <w:rPr>
          <w:rFonts w:hint="eastAsia" w:ascii="宋体" w:hAnsi="宋体"/>
          <w:color w:val="000000"/>
          <w:sz w:val="24"/>
          <w:szCs w:val="24"/>
        </w:rPr>
        <w:t>单位性质：</w:t>
      </w:r>
      <w:r>
        <w:rPr>
          <w:rFonts w:hint="eastAsia" w:ascii="宋体" w:hAnsi="宋体"/>
          <w:color w:val="000000"/>
          <w:sz w:val="24"/>
          <w:szCs w:val="24"/>
          <w:u w:val="single"/>
        </w:rPr>
        <w:t xml:space="preserve">                              </w:t>
      </w:r>
    </w:p>
    <w:p w14:paraId="4696A101">
      <w:pPr>
        <w:spacing w:line="360" w:lineRule="auto"/>
        <w:ind w:firstLine="480" w:firstLineChars="200"/>
        <w:rPr>
          <w:rFonts w:ascii="宋体" w:hAnsi="宋体"/>
          <w:color w:val="000000"/>
          <w:sz w:val="24"/>
          <w:szCs w:val="24"/>
        </w:rPr>
      </w:pPr>
      <w:r>
        <w:rPr>
          <w:rFonts w:hint="eastAsia" w:ascii="宋体" w:hAnsi="宋体"/>
          <w:color w:val="000000"/>
          <w:sz w:val="24"/>
          <w:szCs w:val="24"/>
        </w:rPr>
        <w:t>公司地址：</w:t>
      </w:r>
      <w:r>
        <w:rPr>
          <w:rFonts w:hint="eastAsia" w:ascii="宋体" w:hAnsi="宋体"/>
          <w:color w:val="000000"/>
          <w:sz w:val="24"/>
          <w:szCs w:val="24"/>
          <w:u w:val="single"/>
        </w:rPr>
        <w:t xml:space="preserve">                              </w:t>
      </w:r>
    </w:p>
    <w:p w14:paraId="6B262602">
      <w:pPr>
        <w:spacing w:line="360" w:lineRule="auto"/>
        <w:ind w:firstLine="480" w:firstLineChars="200"/>
        <w:rPr>
          <w:rFonts w:ascii="宋体" w:hAnsi="宋体"/>
          <w:color w:val="000000"/>
          <w:sz w:val="24"/>
          <w:szCs w:val="24"/>
        </w:rPr>
      </w:pPr>
      <w:r>
        <w:rPr>
          <w:rFonts w:hint="eastAsia" w:ascii="宋体" w:hAnsi="宋体"/>
          <w:color w:val="000000"/>
          <w:sz w:val="24"/>
          <w:szCs w:val="24"/>
        </w:rPr>
        <w:t>成立时间：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日</w:t>
      </w:r>
    </w:p>
    <w:p w14:paraId="7349E693">
      <w:pPr>
        <w:spacing w:line="360" w:lineRule="auto"/>
        <w:ind w:firstLine="480" w:firstLineChars="200"/>
        <w:rPr>
          <w:rFonts w:ascii="宋体" w:hAnsi="宋体"/>
          <w:color w:val="000000"/>
          <w:sz w:val="24"/>
          <w:szCs w:val="24"/>
        </w:rPr>
      </w:pPr>
      <w:r>
        <w:rPr>
          <w:rFonts w:hint="eastAsia" w:ascii="宋体" w:hAnsi="宋体"/>
          <w:color w:val="000000"/>
          <w:sz w:val="24"/>
          <w:szCs w:val="24"/>
        </w:rPr>
        <w:t>经营期限：</w:t>
      </w:r>
      <w:r>
        <w:rPr>
          <w:rFonts w:ascii="宋体" w:hAnsi="宋体"/>
          <w:color w:val="000000"/>
          <w:sz w:val="24"/>
          <w:szCs w:val="24"/>
          <w:u w:val="single"/>
        </w:rPr>
        <w:t xml:space="preserve">     </w:t>
      </w:r>
      <w:r>
        <w:rPr>
          <w:rFonts w:hint="eastAsia" w:ascii="宋体" w:hAnsi="宋体"/>
          <w:color w:val="000000"/>
          <w:sz w:val="24"/>
          <w:szCs w:val="24"/>
          <w:u w:val="single"/>
        </w:rPr>
        <w:t>年</w:t>
      </w:r>
      <w:r>
        <w:rPr>
          <w:rFonts w:ascii="宋体" w:hAnsi="宋体"/>
          <w:color w:val="000000"/>
          <w:sz w:val="24"/>
          <w:szCs w:val="24"/>
          <w:u w:val="single"/>
        </w:rPr>
        <w:t xml:space="preserve">   </w:t>
      </w:r>
      <w:r>
        <w:rPr>
          <w:rFonts w:hint="eastAsia" w:ascii="宋体" w:hAnsi="宋体"/>
          <w:color w:val="000000"/>
          <w:sz w:val="24"/>
          <w:szCs w:val="24"/>
          <w:u w:val="single"/>
        </w:rPr>
        <w:t>月</w:t>
      </w:r>
      <w:r>
        <w:rPr>
          <w:rFonts w:ascii="宋体" w:hAnsi="宋体"/>
          <w:color w:val="000000"/>
          <w:sz w:val="24"/>
          <w:szCs w:val="24"/>
          <w:u w:val="single"/>
        </w:rPr>
        <w:t xml:space="preserve">   </w:t>
      </w:r>
      <w:r>
        <w:rPr>
          <w:rFonts w:hint="eastAsia" w:ascii="宋体" w:hAnsi="宋体"/>
          <w:color w:val="000000"/>
          <w:sz w:val="24"/>
          <w:szCs w:val="24"/>
          <w:u w:val="single"/>
        </w:rPr>
        <w:t xml:space="preserve">  日</w:t>
      </w:r>
      <w:r>
        <w:rPr>
          <w:rFonts w:ascii="宋体" w:hAnsi="宋体"/>
          <w:color w:val="000000"/>
          <w:sz w:val="24"/>
          <w:szCs w:val="24"/>
          <w:u w:val="single"/>
        </w:rPr>
        <w:t xml:space="preserve"> </w:t>
      </w:r>
      <w:r>
        <w:rPr>
          <w:rFonts w:hint="eastAsia" w:ascii="宋体" w:hAnsi="宋体"/>
          <w:color w:val="000000"/>
          <w:sz w:val="24"/>
          <w:szCs w:val="24"/>
          <w:u w:val="single"/>
        </w:rPr>
        <w:t xml:space="preserve">  至</w:t>
      </w:r>
      <w:r>
        <w:rPr>
          <w:rFonts w:ascii="宋体" w:hAnsi="宋体"/>
          <w:color w:val="000000"/>
          <w:sz w:val="24"/>
          <w:szCs w:val="24"/>
          <w:u w:val="single"/>
        </w:rPr>
        <w:t xml:space="preserve">    </w:t>
      </w:r>
      <w:r>
        <w:rPr>
          <w:rFonts w:hint="eastAsia" w:ascii="宋体" w:hAnsi="宋体"/>
          <w:color w:val="000000"/>
          <w:sz w:val="24"/>
          <w:szCs w:val="24"/>
          <w:u w:val="single"/>
        </w:rPr>
        <w:t>年</w:t>
      </w:r>
      <w:r>
        <w:rPr>
          <w:rFonts w:ascii="宋体" w:hAnsi="宋体"/>
          <w:color w:val="000000"/>
          <w:sz w:val="24"/>
          <w:szCs w:val="24"/>
          <w:u w:val="single"/>
        </w:rPr>
        <w:t xml:space="preserve">   </w:t>
      </w:r>
      <w:r>
        <w:rPr>
          <w:rFonts w:hint="eastAsia" w:ascii="宋体" w:hAnsi="宋体"/>
          <w:color w:val="000000"/>
          <w:sz w:val="24"/>
          <w:szCs w:val="24"/>
          <w:u w:val="single"/>
        </w:rPr>
        <w:t>月</w:t>
      </w:r>
      <w:r>
        <w:rPr>
          <w:rFonts w:ascii="宋体" w:hAnsi="宋体"/>
          <w:color w:val="000000"/>
          <w:sz w:val="24"/>
          <w:szCs w:val="24"/>
          <w:u w:val="single"/>
        </w:rPr>
        <w:t xml:space="preserve">   </w:t>
      </w:r>
      <w:r>
        <w:rPr>
          <w:rFonts w:hint="eastAsia" w:ascii="宋体" w:hAnsi="宋体"/>
          <w:color w:val="000000"/>
          <w:sz w:val="24"/>
          <w:szCs w:val="24"/>
          <w:u w:val="single"/>
        </w:rPr>
        <w:t xml:space="preserve">日（到期不写视为长期）  </w:t>
      </w:r>
    </w:p>
    <w:p w14:paraId="0E0DC887">
      <w:pPr>
        <w:spacing w:line="360" w:lineRule="auto"/>
        <w:ind w:firstLine="480" w:firstLineChars="200"/>
        <w:rPr>
          <w:rFonts w:ascii="宋体" w:hAnsi="宋体"/>
          <w:color w:val="000000"/>
          <w:sz w:val="24"/>
          <w:szCs w:val="24"/>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性别：</w:t>
      </w:r>
      <w:r>
        <w:rPr>
          <w:rFonts w:hint="eastAsia" w:ascii="宋体" w:hAnsi="宋体"/>
          <w:color w:val="000000"/>
          <w:sz w:val="24"/>
          <w:szCs w:val="24"/>
          <w:u w:val="single"/>
        </w:rPr>
        <w:t xml:space="preserve">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_</w:t>
      </w:r>
    </w:p>
    <w:p w14:paraId="41CAADFF">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（投标人名称）的法定代表人。</w:t>
      </w:r>
    </w:p>
    <w:p w14:paraId="4B692C3E">
      <w:pPr>
        <w:spacing w:line="360" w:lineRule="auto"/>
        <w:ind w:firstLine="960" w:firstLineChars="400"/>
        <w:rPr>
          <w:rFonts w:ascii="宋体" w:hAnsi="宋体"/>
          <w:color w:val="000000"/>
          <w:sz w:val="24"/>
          <w:szCs w:val="24"/>
        </w:rPr>
      </w:pPr>
      <w:r>
        <w:rPr>
          <w:rFonts w:hint="eastAsia" w:ascii="宋体" w:hAnsi="宋体"/>
          <w:color w:val="000000"/>
          <w:sz w:val="24"/>
          <w:szCs w:val="24"/>
        </w:rPr>
        <w:t>特此证明。</w:t>
      </w:r>
    </w:p>
    <w:p w14:paraId="7AF860F7">
      <w:pPr>
        <w:spacing w:line="360" w:lineRule="auto"/>
        <w:rPr>
          <w:rFonts w:ascii="宋体" w:hAnsi="宋体"/>
          <w:color w:val="000000"/>
          <w:sz w:val="24"/>
          <w:szCs w:val="24"/>
          <w:u w:val="thick"/>
        </w:rPr>
      </w:pPr>
      <w:r>
        <w:rPr>
          <w:rFonts w:hint="eastAsia" w:ascii="宋体" w:hAnsi="宋体"/>
          <w:color w:val="000000"/>
          <w:sz w:val="24"/>
          <w:szCs w:val="24"/>
        </w:rPr>
        <w:t xml:space="preserve">    </w:t>
      </w:r>
      <w:r>
        <w:rPr>
          <w:rFonts w:hint="eastAsia" w:ascii="宋体" w:hAnsi="宋体"/>
          <w:color w:val="000000"/>
          <w:sz w:val="24"/>
          <w:szCs w:val="24"/>
          <w:u w:val="thick"/>
        </w:rPr>
        <w:t>附法定代表人身份证复印件</w:t>
      </w:r>
      <w:r>
        <w:rPr>
          <w:rFonts w:hint="eastAsia" w:ascii="宋体" w:hAnsi="宋体"/>
          <w:color w:val="000000"/>
          <w:sz w:val="24"/>
          <w:szCs w:val="24"/>
        </w:rPr>
        <w:t>（正反面）</w:t>
      </w:r>
    </w:p>
    <w:p w14:paraId="6E1229F0">
      <w:pPr>
        <w:spacing w:line="36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3" name="矩形 5"/>
                <wp:cNvGraphicFramePr/>
                <a:graphic xmlns:a="http://schemas.openxmlformats.org/drawingml/2006/main">
                  <a:graphicData uri="http://schemas.microsoft.com/office/word/2010/wordprocessingShape">
                    <wps:wsp>
                      <wps:cNvSpPr/>
                      <wps:spPr>
                        <a:xfrm>
                          <a:off x="0" y="0"/>
                          <a:ext cx="2381250" cy="14287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DCB187B">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反面</w:t>
                            </w:r>
                          </w:p>
                        </w:txbxContent>
                      </wps:txbx>
                      <wps:bodyPr wrap="square" upright="1"/>
                    </wps:wsp>
                  </a:graphicData>
                </a:graphic>
              </wp:anchor>
            </w:drawing>
          </mc:Choice>
          <mc:Fallback>
            <w:pict>
              <v:rect id="矩形 5" o:spid="_x0000_s1026" o:spt="1" style="position:absolute;left:0pt;margin-left:221.2pt;margin-top:9.85pt;height:112.5pt;width:187.5pt;z-index:251661312;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qO0KY1gAAAAoBAAAPAAAAAAAAAAEAIAAA&#10;ACIAAABkcnMvZG93bnJldi54bWxQSwECFAAUAAAACACHTuJA+oDF20cCAADABAAADgAAAAAAAAAB&#10;ACAAAAAlAQAAZHJzL2Uyb0RvYy54bWxQSwUGAAAAAAYABgBZAQAA3gUAAAAA&#10;">
                <v:fill type="gradient" on="t" color2="#FFFFFF" angle="90" focus="100%" focussize="0,0">
                  <o:fill type="gradientUnscaled" v:ext="backwardCompatible"/>
                </v:fill>
                <v:stroke weight="1.25pt" color="#739CC3" joinstyle="miter"/>
                <v:imagedata o:title=""/>
                <o:lock v:ext="edit" aspectratio="f"/>
                <v:textbox>
                  <w:txbxContent>
                    <w:p w14:paraId="0DCB187B">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反面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2" name="矩形 4"/>
                <wp:cNvGraphicFramePr/>
                <a:graphic xmlns:a="http://schemas.openxmlformats.org/drawingml/2006/main">
                  <a:graphicData uri="http://schemas.microsoft.com/office/word/2010/wordprocessingShape">
                    <wps:wsp>
                      <wps:cNvSpPr/>
                      <wps:spPr>
                        <a:xfrm>
                          <a:off x="0" y="0"/>
                          <a:ext cx="2381250" cy="14287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6C9E8DB7">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正面</w:t>
                            </w:r>
                          </w:p>
                        </w:txbxContent>
                      </wps:txbx>
                      <wps:bodyPr wrap="square" upright="1"/>
                    </wps:wsp>
                  </a:graphicData>
                </a:graphic>
              </wp:anchor>
            </w:drawing>
          </mc:Choice>
          <mc:Fallback>
            <w:pict>
              <v:rect id="矩形 4" o:spid="_x0000_s1026" o:spt="1" style="position:absolute;left:0pt;margin-left:14.2pt;margin-top:9.1pt;height:112.5pt;width:187.5pt;z-index:251660288;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dP6v/VAAAACQEAAA8AAAAAAAAAAQAgAAAA&#10;IgAAAGRycy9kb3ducmV2LnhtbFBLAQIUABQAAAAIAIdO4kAW0nRTRwIAAMAEAAAOAAAAAAAAAAEA&#10;IAAAACQBAABkcnMvZTJvRG9jLnhtbFBLBQYAAAAABgAGAFkBAADdBQAAAAA=&#10;">
                <v:fill type="gradient" on="t" color2="#FFFFFF" angle="90" focus="100%" focussize="0,0">
                  <o:fill type="gradientUnscaled" v:ext="backwardCompatible"/>
                </v:fill>
                <v:stroke weight="1.25pt" color="#739CC3" joinstyle="miter"/>
                <v:imagedata o:title=""/>
                <o:lock v:ext="edit" aspectratio="f"/>
                <v:textbox>
                  <w:txbxContent>
                    <w:p w14:paraId="6C9E8DB7">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正面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63515A81">
      <w:pPr>
        <w:spacing w:line="360" w:lineRule="auto"/>
        <w:ind w:firstLine="480" w:firstLineChars="200"/>
        <w:rPr>
          <w:rFonts w:ascii="宋体" w:hAnsi="宋体"/>
          <w:color w:val="000000"/>
          <w:sz w:val="24"/>
          <w:szCs w:val="24"/>
        </w:rPr>
      </w:pPr>
    </w:p>
    <w:p w14:paraId="13AEB698">
      <w:pPr>
        <w:spacing w:line="360" w:lineRule="auto"/>
        <w:ind w:firstLine="480" w:firstLineChars="200"/>
        <w:rPr>
          <w:rFonts w:ascii="宋体" w:hAnsi="宋体"/>
          <w:color w:val="000000"/>
          <w:sz w:val="24"/>
          <w:szCs w:val="24"/>
        </w:rPr>
      </w:pPr>
    </w:p>
    <w:p w14:paraId="7827987D">
      <w:pPr>
        <w:spacing w:line="360" w:lineRule="auto"/>
        <w:ind w:firstLine="480" w:firstLineChars="200"/>
        <w:rPr>
          <w:rFonts w:ascii="宋体" w:hAnsi="宋体"/>
          <w:color w:val="000000"/>
          <w:sz w:val="24"/>
          <w:szCs w:val="24"/>
        </w:rPr>
      </w:pPr>
    </w:p>
    <w:p w14:paraId="72BFCF05">
      <w:pPr>
        <w:spacing w:line="360" w:lineRule="auto"/>
        <w:ind w:firstLine="480" w:firstLineChars="200"/>
        <w:rPr>
          <w:rFonts w:ascii="宋体" w:hAnsi="宋体"/>
          <w:color w:val="000000"/>
          <w:sz w:val="24"/>
          <w:szCs w:val="24"/>
        </w:rPr>
      </w:pPr>
    </w:p>
    <w:p w14:paraId="7DE0E4BE">
      <w:pPr>
        <w:spacing w:line="360" w:lineRule="auto"/>
        <w:ind w:firstLine="480" w:firstLineChars="200"/>
        <w:rPr>
          <w:rFonts w:ascii="宋体" w:hAnsi="宋体"/>
          <w:color w:val="000000"/>
          <w:sz w:val="24"/>
          <w:szCs w:val="24"/>
        </w:rPr>
      </w:pPr>
    </w:p>
    <w:p w14:paraId="3EEACC25">
      <w:pPr>
        <w:spacing w:line="360" w:lineRule="auto"/>
        <w:ind w:firstLine="480" w:firstLineChars="200"/>
        <w:rPr>
          <w:rFonts w:ascii="宋体" w:hAnsi="宋体"/>
          <w:color w:val="000000"/>
          <w:sz w:val="24"/>
          <w:szCs w:val="24"/>
        </w:rPr>
      </w:pPr>
    </w:p>
    <w:p w14:paraId="15DB65E6">
      <w:pPr>
        <w:spacing w:line="360" w:lineRule="auto"/>
        <w:ind w:firstLine="480" w:firstLineChars="200"/>
        <w:rPr>
          <w:rFonts w:ascii="宋体" w:hAnsi="宋体"/>
          <w:color w:val="000000"/>
          <w:sz w:val="24"/>
          <w:szCs w:val="24"/>
        </w:rPr>
      </w:pPr>
    </w:p>
    <w:p w14:paraId="57B335FB">
      <w:pPr>
        <w:spacing w:line="360" w:lineRule="auto"/>
        <w:ind w:firstLine="480" w:firstLineChars="200"/>
        <w:rPr>
          <w:rFonts w:ascii="宋体" w:hAnsi="宋体"/>
          <w:color w:val="000000"/>
          <w:sz w:val="24"/>
          <w:szCs w:val="24"/>
        </w:rPr>
      </w:pPr>
    </w:p>
    <w:p w14:paraId="2A15F880">
      <w:pPr>
        <w:spacing w:line="360" w:lineRule="auto"/>
        <w:ind w:firstLine="360" w:firstLineChars="150"/>
        <w:rPr>
          <w:rFonts w:ascii="宋体" w:hAnsi="宋体"/>
          <w:color w:val="000000"/>
          <w:sz w:val="24"/>
          <w:szCs w:val="24"/>
        </w:rPr>
      </w:pPr>
      <w:r>
        <w:rPr>
          <w:rFonts w:hint="eastAsia" w:ascii="宋体" w:hAnsi="宋体"/>
          <w:color w:val="000000"/>
          <w:sz w:val="24"/>
          <w:szCs w:val="24"/>
        </w:rPr>
        <w:t>投标人名称：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（全称+公章）</w:t>
      </w:r>
    </w:p>
    <w:p w14:paraId="08E9959D">
      <w:pPr>
        <w:spacing w:line="360" w:lineRule="auto"/>
        <w:ind w:firstLine="5160" w:firstLineChars="2150"/>
        <w:rPr>
          <w:rFonts w:ascii="宋体" w:hAnsi="宋体"/>
          <w:color w:val="000000"/>
          <w:sz w:val="24"/>
          <w:szCs w:val="24"/>
          <w:u w:val="single"/>
        </w:rPr>
      </w:pPr>
    </w:p>
    <w:p w14:paraId="1BD14A8E">
      <w:pPr>
        <w:spacing w:line="360" w:lineRule="auto"/>
        <w:ind w:firstLine="4680" w:firstLineChars="1950"/>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197B1576">
      <w:pPr>
        <w:spacing w:line="360" w:lineRule="auto"/>
        <w:jc w:val="left"/>
        <w:rPr>
          <w:rFonts w:ascii="宋体" w:hAnsi="宋体"/>
          <w:color w:val="000000"/>
          <w:sz w:val="24"/>
          <w:szCs w:val="24"/>
        </w:rPr>
      </w:pPr>
    </w:p>
    <w:p w14:paraId="774980BD">
      <w:pPr>
        <w:spacing w:line="360" w:lineRule="auto"/>
        <w:jc w:val="left"/>
        <w:rPr>
          <w:rFonts w:ascii="宋体" w:hAnsi="宋体"/>
          <w:color w:val="000000"/>
          <w:sz w:val="24"/>
          <w:szCs w:val="24"/>
        </w:rPr>
      </w:pPr>
    </w:p>
    <w:p w14:paraId="65D6DCFC">
      <w:pPr>
        <w:spacing w:line="360" w:lineRule="auto"/>
        <w:rPr>
          <w:color w:val="000000"/>
        </w:rPr>
      </w:pPr>
    </w:p>
    <w:p w14:paraId="7AA2879F">
      <w:pPr>
        <w:spacing w:line="360" w:lineRule="auto"/>
        <w:rPr>
          <w:color w:val="000000"/>
        </w:rPr>
      </w:pPr>
    </w:p>
    <w:p w14:paraId="5CAFC1CB">
      <w:pPr>
        <w:pStyle w:val="7"/>
        <w:spacing w:line="360" w:lineRule="auto"/>
        <w:rPr>
          <w:rFonts w:hAnsi="宋体"/>
          <w:color w:val="000000"/>
        </w:rPr>
      </w:pPr>
      <w:r>
        <w:rPr>
          <w:rFonts w:hAnsi="宋体"/>
          <w:color w:val="000000"/>
        </w:rPr>
        <w:br w:type="page"/>
      </w:r>
      <w:bookmarkStart w:id="165" w:name="_Toc28453"/>
      <w:r>
        <w:rPr>
          <w:rFonts w:hint="eastAsia" w:hAnsi="宋体"/>
          <w:color w:val="000000"/>
        </w:rPr>
        <w:t>授权委托书</w:t>
      </w:r>
      <w:r>
        <w:rPr>
          <w:rFonts w:hint="eastAsia" w:hAnsi="宋体"/>
          <w:color w:val="000000"/>
          <w:lang w:eastAsia="zh-CN"/>
        </w:rPr>
        <w:t>（</w:t>
      </w:r>
      <w:r>
        <w:rPr>
          <w:color w:val="000000"/>
        </w:rPr>
        <w:t>法</w:t>
      </w:r>
      <w:r>
        <w:rPr>
          <w:rFonts w:hint="eastAsia"/>
          <w:color w:val="000000"/>
        </w:rPr>
        <w:t>定代表人</w:t>
      </w:r>
      <w:r>
        <w:rPr>
          <w:color w:val="000000"/>
        </w:rPr>
        <w:t>投标</w:t>
      </w:r>
      <w:r>
        <w:rPr>
          <w:rFonts w:hint="eastAsia"/>
          <w:color w:val="000000"/>
        </w:rPr>
        <w:t>时不需要此文件</w:t>
      </w:r>
      <w:r>
        <w:rPr>
          <w:rFonts w:hint="eastAsia"/>
          <w:color w:val="000000"/>
          <w:lang w:eastAsia="zh-CN"/>
        </w:rPr>
        <w:t>）</w:t>
      </w:r>
      <w:bookmarkEnd w:id="165"/>
    </w:p>
    <w:p w14:paraId="03BDAAB4">
      <w:pPr>
        <w:spacing w:line="360" w:lineRule="auto"/>
        <w:ind w:firstLine="61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 标 人 名 称）的法定代表人，现委托</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（姓名）为我方代理人。代理人根据授权，以我方名义签署、澄清、说明、递交、撤回、修改</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项目名称</w:t>
      </w:r>
      <w:r>
        <w:rPr>
          <w:rFonts w:hint="eastAsia" w:ascii="宋体" w:hAnsi="宋体"/>
          <w:color w:val="000000"/>
          <w:sz w:val="24"/>
          <w:lang w:eastAsia="zh-CN"/>
        </w:rPr>
        <w:t>）</w:t>
      </w:r>
      <w:r>
        <w:rPr>
          <w:rFonts w:hint="eastAsia" w:ascii="宋体" w:hAnsi="宋体"/>
          <w:color w:val="000000"/>
          <w:sz w:val="24"/>
          <w:u w:val="single"/>
        </w:rPr>
        <w:t xml:space="preserve">           </w:t>
      </w:r>
      <w:r>
        <w:rPr>
          <w:rFonts w:hint="eastAsia" w:ascii="宋体" w:hAnsi="宋体"/>
          <w:color w:val="000000"/>
          <w:sz w:val="24"/>
        </w:rPr>
        <w:t xml:space="preserve"> 项目投标文件、签订合同和处理有关事宜，其法律后果由我方承担。</w:t>
      </w:r>
    </w:p>
    <w:p w14:paraId="39709B3D">
      <w:pPr>
        <w:spacing w:line="360" w:lineRule="auto"/>
        <w:ind w:firstLine="480" w:firstLineChars="200"/>
        <w:rPr>
          <w:rFonts w:ascii="宋体" w:hAnsi="宋体"/>
          <w:color w:val="000000"/>
          <w:sz w:val="24"/>
        </w:rPr>
      </w:pPr>
    </w:p>
    <w:p w14:paraId="6EF8B6B9">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45ADF5D3">
      <w:pPr>
        <w:spacing w:line="360" w:lineRule="auto"/>
        <w:ind w:firstLine="480"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lang w:eastAsia="zh-CN"/>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szCs w:val="24"/>
        </w:rPr>
        <w:t>全称+公章</w:t>
      </w:r>
      <w:r>
        <w:rPr>
          <w:rFonts w:hint="eastAsia" w:ascii="宋体" w:hAnsi="宋体"/>
          <w:color w:val="000000"/>
          <w:sz w:val="24"/>
        </w:rPr>
        <w:t>）</w:t>
      </w:r>
    </w:p>
    <w:p w14:paraId="5599B909">
      <w:pPr>
        <w:spacing w:line="360" w:lineRule="auto"/>
        <w:ind w:firstLine="480" w:firstLineChars="2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（签字或签章）</w:t>
      </w:r>
    </w:p>
    <w:p w14:paraId="00F629F6">
      <w:pPr>
        <w:spacing w:line="360" w:lineRule="auto"/>
        <w:ind w:firstLine="480" w:firstLineChars="2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14:paraId="607A1E3C">
      <w:pPr>
        <w:spacing w:line="360" w:lineRule="auto"/>
        <w:ind w:firstLine="480" w:firstLineChars="200"/>
        <w:rPr>
          <w:rFonts w:ascii="宋体" w:hAnsi="宋体"/>
          <w:color w:val="000000"/>
          <w:sz w:val="24"/>
        </w:rPr>
      </w:pPr>
    </w:p>
    <w:p w14:paraId="0235D994">
      <w:pPr>
        <w:spacing w:line="360" w:lineRule="auto"/>
        <w:ind w:firstLine="480" w:firstLineChars="200"/>
        <w:rPr>
          <w:rFonts w:ascii="宋体" w:hAnsi="宋体"/>
          <w:color w:val="000000"/>
          <w:sz w:val="24"/>
          <w:u w:val="single"/>
        </w:rPr>
      </w:pPr>
      <w:r>
        <w:rPr>
          <w:rFonts w:hint="eastAsia" w:ascii="宋体" w:hAnsi="宋体"/>
          <w:color w:val="000000"/>
          <w:sz w:val="24"/>
        </w:rPr>
        <w:t>委托代理人姓名：</w:t>
      </w:r>
      <w:r>
        <w:rPr>
          <w:rFonts w:hint="eastAsia" w:ascii="宋体" w:hAnsi="宋体"/>
          <w:color w:val="000000"/>
          <w:sz w:val="24"/>
          <w:u w:val="single"/>
        </w:rPr>
        <w:t xml:space="preserve">                          </w:t>
      </w:r>
    </w:p>
    <w:p w14:paraId="5EDCA93C">
      <w:pPr>
        <w:spacing w:line="360" w:lineRule="auto"/>
        <w:ind w:firstLine="480" w:firstLineChars="2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14:paraId="5383CA3E">
      <w:pPr>
        <w:spacing w:line="360" w:lineRule="auto"/>
        <w:ind w:firstLine="480" w:firstLineChars="200"/>
        <w:rPr>
          <w:rFonts w:ascii="宋体" w:hAnsi="宋体"/>
          <w:color w:val="000000"/>
          <w:sz w:val="24"/>
        </w:rPr>
      </w:pPr>
      <w:r>
        <w:rPr>
          <w:rFonts w:hint="eastAsia" w:ascii="宋体" w:hAnsi="宋体"/>
          <w:color w:val="000000"/>
          <w:sz w:val="24"/>
        </w:rPr>
        <w:t>委托代理人手机号：</w:t>
      </w:r>
      <w:r>
        <w:rPr>
          <w:rFonts w:hint="eastAsia" w:ascii="宋体" w:hAnsi="宋体"/>
          <w:color w:val="000000"/>
          <w:sz w:val="24"/>
          <w:u w:val="single"/>
        </w:rPr>
        <w:t xml:space="preserve">                        </w:t>
      </w:r>
    </w:p>
    <w:p w14:paraId="332CA91D">
      <w:pPr>
        <w:spacing w:line="360" w:lineRule="auto"/>
        <w:ind w:firstLine="480" w:firstLineChars="200"/>
        <w:rPr>
          <w:rFonts w:ascii="宋体" w:hAnsi="宋体"/>
          <w:color w:val="000000"/>
          <w:sz w:val="24"/>
          <w:u w:val="single"/>
        </w:rPr>
      </w:pPr>
      <w:r>
        <w:rPr>
          <w:rFonts w:hint="eastAsia" w:ascii="宋体" w:hAnsi="宋体"/>
          <w:color w:val="000000"/>
          <w:sz w:val="24"/>
        </w:rPr>
        <w:t>委托代理人电子邮箱：</w:t>
      </w:r>
      <w:r>
        <w:rPr>
          <w:rFonts w:hint="eastAsia" w:ascii="宋体" w:hAnsi="宋体"/>
          <w:color w:val="000000"/>
          <w:sz w:val="24"/>
          <w:u w:val="single"/>
        </w:rPr>
        <w:tab/>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7DD68DAA">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3325534A">
      <w:pPr>
        <w:spacing w:line="360" w:lineRule="auto"/>
        <w:ind w:firstLine="480" w:firstLineChars="200"/>
        <w:rPr>
          <w:rFonts w:ascii="宋体" w:hAnsi="宋体"/>
          <w:color w:val="000000"/>
          <w:sz w:val="24"/>
        </w:rPr>
      </w:pPr>
    </w:p>
    <w:p w14:paraId="11632313">
      <w:pPr>
        <w:spacing w:line="360" w:lineRule="auto"/>
        <w:ind w:firstLine="2323" w:firstLineChars="968"/>
        <w:rPr>
          <w:rFonts w:ascii="宋体" w:hAnsi="宋体"/>
          <w:color w:val="000000"/>
          <w:sz w:val="24"/>
        </w:rPr>
      </w:pPr>
      <w:r>
        <w:rPr>
          <w:rFonts w:hint="eastAsia" w:ascii="宋体" w:hAnsi="宋体"/>
          <w:color w:val="000000"/>
          <w:sz w:val="24"/>
        </w:rPr>
        <w:t xml:space="preserve">            </w:t>
      </w:r>
    </w:p>
    <w:p w14:paraId="7E27989C">
      <w:pPr>
        <w:spacing w:line="360" w:lineRule="auto"/>
        <w:ind w:firstLine="4720" w:firstLineChars="1967"/>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2D3833C">
      <w:pPr>
        <w:spacing w:line="360" w:lineRule="auto"/>
        <w:ind w:firstLine="2323" w:firstLineChars="968"/>
        <w:rPr>
          <w:rFonts w:ascii="宋体" w:hAnsi="宋体"/>
          <w:color w:val="000000"/>
          <w:sz w:val="24"/>
        </w:rPr>
      </w:pPr>
    </w:p>
    <w:p w14:paraId="794543AE">
      <w:pPr>
        <w:spacing w:line="360" w:lineRule="auto"/>
        <w:ind w:firstLine="2323" w:firstLineChars="968"/>
        <w:rPr>
          <w:rFonts w:ascii="宋体" w:hAnsi="宋体"/>
          <w:color w:val="000000"/>
          <w:sz w:val="24"/>
        </w:rPr>
      </w:pPr>
    </w:p>
    <w:p w14:paraId="0D6F830F">
      <w:pPr>
        <w:spacing w:line="360" w:lineRule="auto"/>
        <w:ind w:firstLine="480" w:firstLineChars="200"/>
        <w:rPr>
          <w:rFonts w:ascii="宋体" w:hAnsi="宋体"/>
          <w:color w:val="000000"/>
          <w:sz w:val="24"/>
          <w:szCs w:val="28"/>
        </w:rPr>
      </w:pPr>
      <w:r>
        <w:rPr>
          <w:rFonts w:hint="eastAsia" w:ascii="宋体" w:hAnsi="宋体"/>
          <w:color w:val="000000"/>
          <w:sz w:val="24"/>
          <w:szCs w:val="28"/>
        </w:rPr>
        <mc:AlternateContent>
          <mc:Choice Requires="wps">
            <w:drawing>
              <wp:anchor distT="0" distB="0" distL="114300" distR="114300" simplePos="0" relativeHeight="251662336"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4" name="矩形 3"/>
                <wp:cNvGraphicFramePr/>
                <a:graphic xmlns:a="http://schemas.openxmlformats.org/drawingml/2006/main">
                  <a:graphicData uri="http://schemas.microsoft.com/office/word/2010/wordprocessingShape">
                    <wps:wsp>
                      <wps:cNvSpPr/>
                      <wps:spPr>
                        <a:xfrm>
                          <a:off x="0" y="0"/>
                          <a:ext cx="2571750" cy="14287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2353DE32">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正面</w:t>
                            </w:r>
                          </w:p>
                        </w:txbxContent>
                      </wps:txbx>
                      <wps:bodyPr wrap="square" upright="1"/>
                    </wps:wsp>
                  </a:graphicData>
                </a:graphic>
              </wp:anchor>
            </w:drawing>
          </mc:Choice>
          <mc:Fallback>
            <w:pict>
              <v:rect id="矩形 3" o:spid="_x0000_s1026" o:spt="1" style="position:absolute;left:0pt;margin-left:22.45pt;margin-top:8.2pt;height:112.5pt;width:202.5pt;z-index:251662336;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v7Mz/TAAAACQEAAA8AAAAAAAAAAQAgAAAA&#10;IgAAAGRycy9kb3ducmV2LnhtbFBLAQIUABQAAAAIAIdO4kB7MGASSQIAAMAEAAAOAAAAAAAAAAEA&#10;IAAAACIBAABkcnMvZTJvRG9jLnhtbFBLBQYAAAAABgAGAFkBAADdBQAAAAA=&#10;">
                <v:fill type="gradient" on="t" color2="#FFFFFF" angle="90" focus="100%" focussize="0,0">
                  <o:fill type="gradientUnscaled" v:ext="backwardCompatible"/>
                </v:fill>
                <v:stroke weight="1.25pt" color="#739CC3" joinstyle="miter"/>
                <v:imagedata o:title=""/>
                <o:lock v:ext="edit" aspectratio="f"/>
                <v:textbox>
                  <w:txbxContent>
                    <w:p w14:paraId="2353DE32">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正面</w:t>
                      </w:r>
                    </w:p>
                  </w:txbxContent>
                </v:textbox>
              </v:rect>
            </w:pict>
          </mc:Fallback>
        </mc:AlternateContent>
      </w:r>
      <w:r>
        <w:rPr>
          <w:rFonts w:hint="eastAsia" w:ascii="宋体" w:hAnsi="宋体"/>
          <w:color w:val="000000"/>
          <w:sz w:val="24"/>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 name="矩形 2"/>
                <wp:cNvGraphicFramePr/>
                <a:graphic xmlns:a="http://schemas.openxmlformats.org/drawingml/2006/main">
                  <a:graphicData uri="http://schemas.microsoft.com/office/word/2010/wordprocessingShape">
                    <wps:wsp>
                      <wps:cNvSpPr/>
                      <wps:spPr>
                        <a:xfrm>
                          <a:off x="0" y="0"/>
                          <a:ext cx="2571750" cy="14287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3D28742">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反面</w:t>
                            </w:r>
                          </w:p>
                        </w:txbxContent>
                      </wps:txbx>
                      <wps:bodyPr wrap="square" upright="1"/>
                    </wps:wsp>
                  </a:graphicData>
                </a:graphic>
              </wp:anchor>
            </w:drawing>
          </mc:Choice>
          <mc:Fallback>
            <w:pict>
              <v:rect id="矩形 2"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LFABdUAAAAKAQAADwAAAAAAAAABACAAAAAi&#10;AAAAZHJzL2Rvd25yZXYueG1sUEsBAhQAFAAAAAgAh07iQESNF6VGAgAAwAQAAA4AAAAAAAAAAQAg&#10;AAAAJAEAAGRycy9lMm9Eb2MueG1sUEsFBgAAAAAGAAYAWQEAANwFAAAAAA==&#10;">
                <v:fill type="gradient" on="t" color2="#FFFFFF" angle="90" focus="100%" focussize="0,0">
                  <o:fill type="gradientUnscaled" v:ext="backwardCompatible"/>
                </v:fill>
                <v:stroke weight="1.25pt" color="#739CC3" joinstyle="miter"/>
                <v:imagedata o:title=""/>
                <o:lock v:ext="edit" aspectratio="f"/>
                <v:textbox>
                  <w:txbxContent>
                    <w:p w14:paraId="03D28742">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反面</w:t>
                      </w:r>
                    </w:p>
                  </w:txbxContent>
                </v:textbox>
              </v:rect>
            </w:pict>
          </mc:Fallback>
        </mc:AlternateContent>
      </w:r>
    </w:p>
    <w:p w14:paraId="137AE99E">
      <w:pPr>
        <w:spacing w:line="360" w:lineRule="auto"/>
        <w:ind w:firstLine="480" w:firstLineChars="200"/>
        <w:rPr>
          <w:rFonts w:ascii="宋体" w:hAnsi="宋体"/>
          <w:color w:val="000000"/>
          <w:sz w:val="24"/>
          <w:szCs w:val="28"/>
        </w:rPr>
      </w:pPr>
    </w:p>
    <w:p w14:paraId="5F4C3CD6">
      <w:pPr>
        <w:spacing w:line="360" w:lineRule="auto"/>
        <w:ind w:firstLine="480" w:firstLineChars="200"/>
        <w:rPr>
          <w:rFonts w:ascii="宋体" w:hAnsi="宋体"/>
          <w:color w:val="000000"/>
          <w:sz w:val="24"/>
          <w:szCs w:val="28"/>
        </w:rPr>
      </w:pPr>
    </w:p>
    <w:p w14:paraId="36937E2E">
      <w:pPr>
        <w:spacing w:line="360" w:lineRule="auto"/>
        <w:ind w:firstLine="480" w:firstLineChars="200"/>
        <w:rPr>
          <w:rFonts w:ascii="宋体" w:hAnsi="宋体"/>
          <w:color w:val="000000"/>
          <w:sz w:val="24"/>
          <w:szCs w:val="28"/>
        </w:rPr>
      </w:pPr>
    </w:p>
    <w:p w14:paraId="7ECC5998">
      <w:pPr>
        <w:spacing w:line="360" w:lineRule="auto"/>
        <w:ind w:firstLine="480" w:firstLineChars="200"/>
        <w:rPr>
          <w:rFonts w:ascii="宋体" w:hAnsi="宋体"/>
          <w:color w:val="000000"/>
          <w:sz w:val="24"/>
          <w:szCs w:val="28"/>
        </w:rPr>
      </w:pPr>
    </w:p>
    <w:p w14:paraId="32459B8C">
      <w:pPr>
        <w:spacing w:line="360" w:lineRule="auto"/>
        <w:ind w:firstLine="480" w:firstLineChars="200"/>
        <w:rPr>
          <w:rFonts w:ascii="宋体" w:hAnsi="宋体"/>
          <w:color w:val="000000"/>
          <w:sz w:val="24"/>
          <w:szCs w:val="28"/>
        </w:rPr>
      </w:pPr>
    </w:p>
    <w:p w14:paraId="27260BC5">
      <w:pPr>
        <w:spacing w:line="360" w:lineRule="auto"/>
        <w:ind w:firstLine="480" w:firstLineChars="200"/>
        <w:rPr>
          <w:rFonts w:ascii="宋体" w:hAnsi="宋体"/>
          <w:color w:val="000000"/>
          <w:sz w:val="24"/>
          <w:szCs w:val="28"/>
        </w:rPr>
      </w:pPr>
    </w:p>
    <w:bookmarkEnd w:id="160"/>
    <w:bookmarkEnd w:id="161"/>
    <w:bookmarkEnd w:id="162"/>
    <w:p w14:paraId="7696876F">
      <w:pPr>
        <w:pStyle w:val="7"/>
        <w:ind w:firstLine="629"/>
      </w:pPr>
      <w:bookmarkStart w:id="166" w:name="_Toc11560"/>
      <w:r>
        <w:rPr>
          <w:rFonts w:hint="eastAsia" w:hAnsi="宋体"/>
          <w:b w:val="0"/>
          <w:bCs w:val="0"/>
          <w:color w:val="000000"/>
        </w:rPr>
        <w:t>五、</w:t>
      </w:r>
      <w:bookmarkEnd w:id="166"/>
      <w:bookmarkStart w:id="167" w:name="_Toc229232478"/>
      <w:bookmarkStart w:id="168" w:name="_Toc269135732"/>
      <w:bookmarkStart w:id="169" w:name="_Toc232242818"/>
      <w:bookmarkStart w:id="170" w:name="_Toc282517764"/>
      <w:r>
        <w:rPr>
          <w:rFonts w:hint="eastAsia"/>
        </w:rPr>
        <w:t>服务技术要求响应/偏离表</w:t>
      </w:r>
    </w:p>
    <w:p w14:paraId="29943011">
      <w:pPr>
        <w:suppressAutoHyphens/>
        <w:spacing w:before="120" w:after="120"/>
        <w:rPr>
          <w:color w:val="000000"/>
          <w:kern w:val="1"/>
          <w:sz w:val="24"/>
          <w:lang w:eastAsia="ar-SA"/>
        </w:rPr>
      </w:pPr>
    </w:p>
    <w:p w14:paraId="3CBD885F">
      <w:pPr>
        <w:suppressAutoHyphens/>
        <w:spacing w:after="120"/>
        <w:rPr>
          <w:color w:val="000000"/>
          <w:kern w:val="1"/>
          <w:sz w:val="24"/>
          <w:u w:val="single"/>
        </w:rPr>
      </w:pPr>
      <w:r>
        <w:rPr>
          <w:rFonts w:hint="eastAsia"/>
          <w:color w:val="000000"/>
          <w:kern w:val="1"/>
          <w:sz w:val="24"/>
          <w:lang w:eastAsia="ar-SA"/>
        </w:rPr>
        <w:t>投标人名称：</w:t>
      </w:r>
      <w:r>
        <w:rPr>
          <w:rFonts w:hint="eastAsia"/>
          <w:color w:val="000000"/>
          <w:kern w:val="1"/>
          <w:sz w:val="24"/>
          <w:u w:val="single"/>
          <w:lang w:eastAsia="ar-SA"/>
        </w:rPr>
        <w:t xml:space="preserve">             </w:t>
      </w:r>
      <w:r>
        <w:rPr>
          <w:rFonts w:hint="eastAsia"/>
          <w:color w:val="000000"/>
          <w:kern w:val="1"/>
          <w:sz w:val="24"/>
          <w:lang w:eastAsia="ar-SA"/>
        </w:rPr>
        <w:t xml:space="preserve">   招标编号：</w:t>
      </w:r>
      <w:r>
        <w:rPr>
          <w:rFonts w:hint="eastAsia"/>
          <w:color w:val="000000"/>
          <w:kern w:val="1"/>
          <w:sz w:val="24"/>
          <w:u w:val="single"/>
          <w:lang w:eastAsia="ar-SA"/>
        </w:rPr>
        <w:t xml:space="preserve">             </w:t>
      </w:r>
      <w:r>
        <w:rPr>
          <w:rFonts w:hint="eastAsia"/>
          <w:color w:val="000000"/>
          <w:kern w:val="1"/>
          <w:sz w:val="24"/>
          <w:lang w:eastAsia="ar-SA"/>
        </w:rPr>
        <w:t xml:space="preserve"> </w:t>
      </w:r>
      <w:r>
        <w:rPr>
          <w:rFonts w:hint="eastAsia"/>
          <w:color w:val="000000"/>
          <w:kern w:val="1"/>
          <w:sz w:val="24"/>
        </w:rPr>
        <w:t xml:space="preserve">    标段号：</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64"/>
        <w:gridCol w:w="1626"/>
        <w:gridCol w:w="1260"/>
        <w:gridCol w:w="1800"/>
        <w:gridCol w:w="1800"/>
      </w:tblGrid>
      <w:tr w14:paraId="4C02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7E997767">
            <w:pPr>
              <w:suppressAutoHyphens/>
              <w:spacing w:before="60" w:after="60"/>
              <w:jc w:val="center"/>
              <w:rPr>
                <w:color w:val="000000"/>
                <w:kern w:val="1"/>
                <w:sz w:val="24"/>
                <w:lang w:eastAsia="ar-SA"/>
              </w:rPr>
            </w:pPr>
            <w:r>
              <w:rPr>
                <w:rFonts w:hint="eastAsia"/>
                <w:color w:val="000000"/>
                <w:kern w:val="1"/>
                <w:sz w:val="24"/>
                <w:lang w:eastAsia="ar-SA"/>
              </w:rPr>
              <w:t>序号</w:t>
            </w:r>
          </w:p>
        </w:tc>
        <w:tc>
          <w:tcPr>
            <w:tcW w:w="2064" w:type="dxa"/>
            <w:vAlign w:val="center"/>
          </w:tcPr>
          <w:p w14:paraId="22E02104">
            <w:pPr>
              <w:suppressAutoHyphens/>
              <w:spacing w:before="60" w:after="60"/>
              <w:jc w:val="center"/>
              <w:rPr>
                <w:color w:val="000000"/>
                <w:kern w:val="1"/>
                <w:sz w:val="24"/>
                <w:lang w:eastAsia="ar-SA"/>
              </w:rPr>
            </w:pPr>
            <w:r>
              <w:rPr>
                <w:rFonts w:hint="eastAsia"/>
                <w:color w:val="000000"/>
                <w:kern w:val="1"/>
                <w:sz w:val="24"/>
                <w:lang w:eastAsia="ar-SA"/>
              </w:rPr>
              <w:t>招标文件条目号</w:t>
            </w:r>
          </w:p>
        </w:tc>
        <w:tc>
          <w:tcPr>
            <w:tcW w:w="1626" w:type="dxa"/>
            <w:vAlign w:val="center"/>
          </w:tcPr>
          <w:p w14:paraId="4F6B045B">
            <w:pPr>
              <w:suppressAutoHyphens/>
              <w:spacing w:before="60" w:after="60"/>
              <w:jc w:val="center"/>
              <w:rPr>
                <w:color w:val="000000"/>
                <w:kern w:val="1"/>
                <w:sz w:val="24"/>
                <w:lang w:eastAsia="ar-SA"/>
              </w:rPr>
            </w:pPr>
            <w:r>
              <w:rPr>
                <w:rFonts w:hint="eastAsia"/>
                <w:color w:val="000000"/>
                <w:kern w:val="1"/>
                <w:sz w:val="24"/>
                <w:lang w:eastAsia="ar-SA"/>
              </w:rPr>
              <w:t>招标要求</w:t>
            </w:r>
          </w:p>
        </w:tc>
        <w:tc>
          <w:tcPr>
            <w:tcW w:w="1260" w:type="dxa"/>
            <w:vAlign w:val="center"/>
          </w:tcPr>
          <w:p w14:paraId="5617C5C8">
            <w:pPr>
              <w:suppressAutoHyphens/>
              <w:spacing w:before="60" w:after="60"/>
              <w:jc w:val="center"/>
              <w:rPr>
                <w:color w:val="000000"/>
                <w:kern w:val="1"/>
                <w:sz w:val="24"/>
                <w:lang w:eastAsia="ar-SA"/>
              </w:rPr>
            </w:pPr>
            <w:r>
              <w:rPr>
                <w:rFonts w:hint="eastAsia"/>
                <w:color w:val="000000"/>
                <w:kern w:val="1"/>
                <w:sz w:val="24"/>
                <w:lang w:eastAsia="ar-SA"/>
              </w:rPr>
              <w:t>投标内容</w:t>
            </w:r>
          </w:p>
        </w:tc>
        <w:tc>
          <w:tcPr>
            <w:tcW w:w="1800" w:type="dxa"/>
            <w:vAlign w:val="center"/>
          </w:tcPr>
          <w:p w14:paraId="5004A9F4">
            <w:pPr>
              <w:suppressAutoHyphens/>
              <w:spacing w:before="60" w:after="60"/>
              <w:jc w:val="center"/>
              <w:rPr>
                <w:color w:val="000000"/>
                <w:kern w:val="1"/>
                <w:sz w:val="24"/>
                <w:lang w:eastAsia="ar-SA"/>
              </w:rPr>
            </w:pPr>
            <w:r>
              <w:rPr>
                <w:rFonts w:hint="eastAsia"/>
                <w:color w:val="000000"/>
                <w:kern w:val="1"/>
                <w:sz w:val="24"/>
                <w:lang w:eastAsia="ar-SA"/>
              </w:rPr>
              <w:t>响应/偏离</w:t>
            </w:r>
          </w:p>
        </w:tc>
        <w:tc>
          <w:tcPr>
            <w:tcW w:w="1800" w:type="dxa"/>
            <w:vAlign w:val="center"/>
          </w:tcPr>
          <w:p w14:paraId="61B5FDD9">
            <w:pPr>
              <w:suppressAutoHyphens/>
              <w:spacing w:before="60" w:after="60"/>
              <w:jc w:val="center"/>
              <w:rPr>
                <w:color w:val="000000"/>
                <w:kern w:val="1"/>
                <w:sz w:val="24"/>
                <w:lang w:eastAsia="ar-SA"/>
              </w:rPr>
            </w:pPr>
            <w:r>
              <w:rPr>
                <w:rFonts w:hint="eastAsia"/>
                <w:color w:val="000000"/>
                <w:kern w:val="1"/>
                <w:sz w:val="24"/>
                <w:lang w:eastAsia="ar-SA"/>
              </w:rPr>
              <w:t>说明</w:t>
            </w:r>
          </w:p>
        </w:tc>
      </w:tr>
      <w:tr w14:paraId="5677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A7D24A7">
            <w:pPr>
              <w:suppressAutoHyphens/>
              <w:spacing w:before="120" w:after="120"/>
              <w:rPr>
                <w:color w:val="000000"/>
                <w:kern w:val="1"/>
                <w:sz w:val="24"/>
                <w:lang w:eastAsia="ar-SA"/>
              </w:rPr>
            </w:pPr>
          </w:p>
        </w:tc>
        <w:tc>
          <w:tcPr>
            <w:tcW w:w="2064" w:type="dxa"/>
          </w:tcPr>
          <w:p w14:paraId="1C0C41F2">
            <w:pPr>
              <w:suppressAutoHyphens/>
              <w:spacing w:before="120" w:after="120"/>
              <w:rPr>
                <w:color w:val="000000"/>
                <w:kern w:val="1"/>
                <w:sz w:val="24"/>
                <w:lang w:eastAsia="ar-SA"/>
              </w:rPr>
            </w:pPr>
          </w:p>
        </w:tc>
        <w:tc>
          <w:tcPr>
            <w:tcW w:w="1626" w:type="dxa"/>
          </w:tcPr>
          <w:p w14:paraId="6E1BC4D1">
            <w:pPr>
              <w:suppressAutoHyphens/>
              <w:spacing w:before="120" w:after="120"/>
              <w:rPr>
                <w:color w:val="000000"/>
                <w:kern w:val="1"/>
                <w:sz w:val="24"/>
                <w:lang w:eastAsia="ar-SA"/>
              </w:rPr>
            </w:pPr>
          </w:p>
        </w:tc>
        <w:tc>
          <w:tcPr>
            <w:tcW w:w="1260" w:type="dxa"/>
          </w:tcPr>
          <w:p w14:paraId="22119AA4">
            <w:pPr>
              <w:suppressAutoHyphens/>
              <w:spacing w:before="120" w:after="120"/>
              <w:rPr>
                <w:color w:val="000000"/>
                <w:kern w:val="1"/>
                <w:sz w:val="24"/>
                <w:lang w:eastAsia="ar-SA"/>
              </w:rPr>
            </w:pPr>
          </w:p>
        </w:tc>
        <w:tc>
          <w:tcPr>
            <w:tcW w:w="1800" w:type="dxa"/>
          </w:tcPr>
          <w:p w14:paraId="3F1A2B56">
            <w:pPr>
              <w:suppressAutoHyphens/>
              <w:spacing w:before="120" w:after="120"/>
              <w:rPr>
                <w:color w:val="000000"/>
                <w:kern w:val="1"/>
                <w:sz w:val="24"/>
                <w:lang w:eastAsia="ar-SA"/>
              </w:rPr>
            </w:pPr>
          </w:p>
        </w:tc>
        <w:tc>
          <w:tcPr>
            <w:tcW w:w="1800" w:type="dxa"/>
          </w:tcPr>
          <w:p w14:paraId="651E84A0">
            <w:pPr>
              <w:suppressAutoHyphens/>
              <w:spacing w:before="120" w:after="120"/>
              <w:rPr>
                <w:color w:val="000000"/>
                <w:kern w:val="1"/>
                <w:sz w:val="24"/>
                <w:lang w:eastAsia="ar-SA"/>
              </w:rPr>
            </w:pPr>
          </w:p>
        </w:tc>
      </w:tr>
      <w:tr w14:paraId="0C94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AD62E37">
            <w:pPr>
              <w:suppressAutoHyphens/>
              <w:spacing w:before="120" w:after="120"/>
              <w:rPr>
                <w:color w:val="000000"/>
                <w:kern w:val="1"/>
                <w:sz w:val="24"/>
                <w:lang w:eastAsia="ar-SA"/>
              </w:rPr>
            </w:pPr>
          </w:p>
        </w:tc>
        <w:tc>
          <w:tcPr>
            <w:tcW w:w="2064" w:type="dxa"/>
          </w:tcPr>
          <w:p w14:paraId="070AFB56">
            <w:pPr>
              <w:suppressAutoHyphens/>
              <w:spacing w:before="120" w:after="120"/>
              <w:rPr>
                <w:color w:val="000000"/>
                <w:kern w:val="1"/>
                <w:sz w:val="24"/>
                <w:lang w:eastAsia="ar-SA"/>
              </w:rPr>
            </w:pPr>
          </w:p>
        </w:tc>
        <w:tc>
          <w:tcPr>
            <w:tcW w:w="1626" w:type="dxa"/>
          </w:tcPr>
          <w:p w14:paraId="6579104C">
            <w:pPr>
              <w:suppressAutoHyphens/>
              <w:spacing w:before="120" w:after="120"/>
              <w:rPr>
                <w:color w:val="000000"/>
                <w:kern w:val="1"/>
                <w:sz w:val="24"/>
                <w:lang w:eastAsia="ar-SA"/>
              </w:rPr>
            </w:pPr>
          </w:p>
        </w:tc>
        <w:tc>
          <w:tcPr>
            <w:tcW w:w="1260" w:type="dxa"/>
          </w:tcPr>
          <w:p w14:paraId="55E99231">
            <w:pPr>
              <w:suppressAutoHyphens/>
              <w:spacing w:before="120" w:after="120"/>
              <w:rPr>
                <w:color w:val="000000"/>
                <w:kern w:val="1"/>
                <w:sz w:val="24"/>
                <w:lang w:eastAsia="ar-SA"/>
              </w:rPr>
            </w:pPr>
          </w:p>
        </w:tc>
        <w:tc>
          <w:tcPr>
            <w:tcW w:w="1800" w:type="dxa"/>
          </w:tcPr>
          <w:p w14:paraId="03C22F02">
            <w:pPr>
              <w:suppressAutoHyphens/>
              <w:spacing w:before="120" w:after="120"/>
              <w:rPr>
                <w:color w:val="000000"/>
                <w:kern w:val="1"/>
                <w:sz w:val="24"/>
                <w:lang w:eastAsia="ar-SA"/>
              </w:rPr>
            </w:pPr>
          </w:p>
        </w:tc>
        <w:tc>
          <w:tcPr>
            <w:tcW w:w="1800" w:type="dxa"/>
          </w:tcPr>
          <w:p w14:paraId="23417378">
            <w:pPr>
              <w:suppressAutoHyphens/>
              <w:spacing w:before="120" w:after="120"/>
              <w:rPr>
                <w:color w:val="000000"/>
                <w:kern w:val="1"/>
                <w:sz w:val="24"/>
                <w:lang w:eastAsia="ar-SA"/>
              </w:rPr>
            </w:pPr>
          </w:p>
        </w:tc>
      </w:tr>
      <w:tr w14:paraId="5E41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E77C261">
            <w:pPr>
              <w:suppressAutoHyphens/>
              <w:spacing w:before="120" w:after="120"/>
              <w:rPr>
                <w:color w:val="000000"/>
                <w:kern w:val="1"/>
                <w:sz w:val="24"/>
                <w:lang w:eastAsia="ar-SA"/>
              </w:rPr>
            </w:pPr>
          </w:p>
        </w:tc>
        <w:tc>
          <w:tcPr>
            <w:tcW w:w="2064" w:type="dxa"/>
          </w:tcPr>
          <w:p w14:paraId="1D14B5A0">
            <w:pPr>
              <w:suppressAutoHyphens/>
              <w:spacing w:before="120" w:after="120"/>
              <w:rPr>
                <w:color w:val="000000"/>
                <w:kern w:val="1"/>
                <w:sz w:val="24"/>
                <w:lang w:eastAsia="ar-SA"/>
              </w:rPr>
            </w:pPr>
          </w:p>
        </w:tc>
        <w:tc>
          <w:tcPr>
            <w:tcW w:w="1626" w:type="dxa"/>
          </w:tcPr>
          <w:p w14:paraId="18CE2BD4">
            <w:pPr>
              <w:suppressAutoHyphens/>
              <w:spacing w:before="120" w:after="120"/>
              <w:rPr>
                <w:color w:val="000000"/>
                <w:kern w:val="1"/>
                <w:sz w:val="24"/>
                <w:lang w:eastAsia="ar-SA"/>
              </w:rPr>
            </w:pPr>
          </w:p>
        </w:tc>
        <w:tc>
          <w:tcPr>
            <w:tcW w:w="1260" w:type="dxa"/>
          </w:tcPr>
          <w:p w14:paraId="02C10245">
            <w:pPr>
              <w:suppressAutoHyphens/>
              <w:spacing w:before="120" w:after="120"/>
              <w:rPr>
                <w:color w:val="000000"/>
                <w:kern w:val="1"/>
                <w:sz w:val="24"/>
                <w:lang w:eastAsia="ar-SA"/>
              </w:rPr>
            </w:pPr>
          </w:p>
        </w:tc>
        <w:tc>
          <w:tcPr>
            <w:tcW w:w="1800" w:type="dxa"/>
          </w:tcPr>
          <w:p w14:paraId="594E175D">
            <w:pPr>
              <w:suppressAutoHyphens/>
              <w:spacing w:before="120" w:after="120"/>
              <w:rPr>
                <w:color w:val="000000"/>
                <w:kern w:val="1"/>
                <w:sz w:val="24"/>
                <w:lang w:eastAsia="ar-SA"/>
              </w:rPr>
            </w:pPr>
          </w:p>
        </w:tc>
        <w:tc>
          <w:tcPr>
            <w:tcW w:w="1800" w:type="dxa"/>
          </w:tcPr>
          <w:p w14:paraId="74ACA502">
            <w:pPr>
              <w:suppressAutoHyphens/>
              <w:spacing w:before="120" w:after="120"/>
              <w:rPr>
                <w:color w:val="000000"/>
                <w:kern w:val="1"/>
                <w:sz w:val="24"/>
                <w:lang w:eastAsia="ar-SA"/>
              </w:rPr>
            </w:pPr>
          </w:p>
        </w:tc>
      </w:tr>
      <w:tr w14:paraId="2CFB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4E784B9">
            <w:pPr>
              <w:suppressAutoHyphens/>
              <w:spacing w:before="120" w:after="120"/>
              <w:rPr>
                <w:color w:val="000000"/>
                <w:kern w:val="1"/>
                <w:sz w:val="24"/>
                <w:lang w:eastAsia="ar-SA"/>
              </w:rPr>
            </w:pPr>
          </w:p>
        </w:tc>
        <w:tc>
          <w:tcPr>
            <w:tcW w:w="2064" w:type="dxa"/>
          </w:tcPr>
          <w:p w14:paraId="6B5A399D">
            <w:pPr>
              <w:suppressAutoHyphens/>
              <w:spacing w:before="120" w:after="120"/>
              <w:rPr>
                <w:color w:val="000000"/>
                <w:kern w:val="1"/>
                <w:sz w:val="24"/>
                <w:lang w:eastAsia="ar-SA"/>
              </w:rPr>
            </w:pPr>
          </w:p>
        </w:tc>
        <w:tc>
          <w:tcPr>
            <w:tcW w:w="1626" w:type="dxa"/>
          </w:tcPr>
          <w:p w14:paraId="2052E3AA">
            <w:pPr>
              <w:suppressAutoHyphens/>
              <w:spacing w:before="120" w:after="120"/>
              <w:rPr>
                <w:color w:val="000000"/>
                <w:kern w:val="1"/>
                <w:sz w:val="24"/>
                <w:lang w:eastAsia="ar-SA"/>
              </w:rPr>
            </w:pPr>
          </w:p>
        </w:tc>
        <w:tc>
          <w:tcPr>
            <w:tcW w:w="1260" w:type="dxa"/>
          </w:tcPr>
          <w:p w14:paraId="6E8A16B3">
            <w:pPr>
              <w:suppressAutoHyphens/>
              <w:spacing w:before="120" w:after="120"/>
              <w:rPr>
                <w:color w:val="000000"/>
                <w:kern w:val="1"/>
                <w:sz w:val="24"/>
                <w:lang w:eastAsia="ar-SA"/>
              </w:rPr>
            </w:pPr>
          </w:p>
        </w:tc>
        <w:tc>
          <w:tcPr>
            <w:tcW w:w="1800" w:type="dxa"/>
          </w:tcPr>
          <w:p w14:paraId="1477088D">
            <w:pPr>
              <w:suppressAutoHyphens/>
              <w:spacing w:before="120" w:after="120"/>
              <w:rPr>
                <w:color w:val="000000"/>
                <w:kern w:val="1"/>
                <w:sz w:val="24"/>
                <w:lang w:eastAsia="ar-SA"/>
              </w:rPr>
            </w:pPr>
          </w:p>
        </w:tc>
        <w:tc>
          <w:tcPr>
            <w:tcW w:w="1800" w:type="dxa"/>
          </w:tcPr>
          <w:p w14:paraId="0C6D81A6">
            <w:pPr>
              <w:suppressAutoHyphens/>
              <w:spacing w:before="120" w:after="120"/>
              <w:rPr>
                <w:color w:val="000000"/>
                <w:kern w:val="1"/>
                <w:sz w:val="24"/>
                <w:lang w:eastAsia="ar-SA"/>
              </w:rPr>
            </w:pPr>
          </w:p>
        </w:tc>
      </w:tr>
      <w:tr w14:paraId="37AB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D3D849A">
            <w:pPr>
              <w:suppressAutoHyphens/>
              <w:spacing w:before="120" w:after="120"/>
              <w:rPr>
                <w:color w:val="000000"/>
                <w:kern w:val="1"/>
                <w:sz w:val="24"/>
                <w:lang w:eastAsia="ar-SA"/>
              </w:rPr>
            </w:pPr>
          </w:p>
        </w:tc>
        <w:tc>
          <w:tcPr>
            <w:tcW w:w="2064" w:type="dxa"/>
          </w:tcPr>
          <w:p w14:paraId="16682990">
            <w:pPr>
              <w:suppressAutoHyphens/>
              <w:spacing w:before="120" w:after="120"/>
              <w:rPr>
                <w:color w:val="000000"/>
                <w:kern w:val="1"/>
                <w:sz w:val="24"/>
                <w:lang w:eastAsia="ar-SA"/>
              </w:rPr>
            </w:pPr>
          </w:p>
        </w:tc>
        <w:tc>
          <w:tcPr>
            <w:tcW w:w="1626" w:type="dxa"/>
          </w:tcPr>
          <w:p w14:paraId="3AA87D7D">
            <w:pPr>
              <w:suppressAutoHyphens/>
              <w:spacing w:before="120" w:after="120"/>
              <w:rPr>
                <w:color w:val="000000"/>
                <w:kern w:val="1"/>
                <w:sz w:val="24"/>
                <w:lang w:eastAsia="ar-SA"/>
              </w:rPr>
            </w:pPr>
          </w:p>
        </w:tc>
        <w:tc>
          <w:tcPr>
            <w:tcW w:w="1260" w:type="dxa"/>
          </w:tcPr>
          <w:p w14:paraId="01E6B244">
            <w:pPr>
              <w:suppressAutoHyphens/>
              <w:spacing w:before="120" w:after="120"/>
              <w:rPr>
                <w:color w:val="000000"/>
                <w:kern w:val="1"/>
                <w:sz w:val="24"/>
                <w:lang w:eastAsia="ar-SA"/>
              </w:rPr>
            </w:pPr>
          </w:p>
        </w:tc>
        <w:tc>
          <w:tcPr>
            <w:tcW w:w="1800" w:type="dxa"/>
          </w:tcPr>
          <w:p w14:paraId="4B196F34">
            <w:pPr>
              <w:suppressAutoHyphens/>
              <w:spacing w:before="120" w:after="120"/>
              <w:rPr>
                <w:color w:val="000000"/>
                <w:kern w:val="1"/>
                <w:sz w:val="24"/>
                <w:lang w:eastAsia="ar-SA"/>
              </w:rPr>
            </w:pPr>
          </w:p>
        </w:tc>
        <w:tc>
          <w:tcPr>
            <w:tcW w:w="1800" w:type="dxa"/>
          </w:tcPr>
          <w:p w14:paraId="16EE71E8">
            <w:pPr>
              <w:suppressAutoHyphens/>
              <w:spacing w:before="120" w:after="120"/>
              <w:rPr>
                <w:color w:val="000000"/>
                <w:kern w:val="1"/>
                <w:sz w:val="24"/>
                <w:lang w:eastAsia="ar-SA"/>
              </w:rPr>
            </w:pPr>
          </w:p>
        </w:tc>
      </w:tr>
      <w:tr w14:paraId="02DD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2B1A97E9">
            <w:pPr>
              <w:suppressAutoHyphens/>
              <w:spacing w:before="120" w:after="120"/>
              <w:rPr>
                <w:color w:val="000000"/>
                <w:kern w:val="1"/>
                <w:sz w:val="24"/>
                <w:lang w:eastAsia="ar-SA"/>
              </w:rPr>
            </w:pPr>
          </w:p>
        </w:tc>
        <w:tc>
          <w:tcPr>
            <w:tcW w:w="2064" w:type="dxa"/>
          </w:tcPr>
          <w:p w14:paraId="002A1C5A">
            <w:pPr>
              <w:suppressAutoHyphens/>
              <w:spacing w:before="120" w:after="120"/>
              <w:rPr>
                <w:color w:val="000000"/>
                <w:kern w:val="1"/>
                <w:sz w:val="24"/>
                <w:lang w:eastAsia="ar-SA"/>
              </w:rPr>
            </w:pPr>
          </w:p>
        </w:tc>
        <w:tc>
          <w:tcPr>
            <w:tcW w:w="1626" w:type="dxa"/>
          </w:tcPr>
          <w:p w14:paraId="4DC6A3A2">
            <w:pPr>
              <w:suppressAutoHyphens/>
              <w:spacing w:before="120" w:after="120"/>
              <w:rPr>
                <w:color w:val="000000"/>
                <w:kern w:val="1"/>
                <w:sz w:val="24"/>
                <w:lang w:eastAsia="ar-SA"/>
              </w:rPr>
            </w:pPr>
          </w:p>
        </w:tc>
        <w:tc>
          <w:tcPr>
            <w:tcW w:w="1260" w:type="dxa"/>
          </w:tcPr>
          <w:p w14:paraId="27FEE239">
            <w:pPr>
              <w:suppressAutoHyphens/>
              <w:spacing w:before="120" w:after="120"/>
              <w:rPr>
                <w:color w:val="000000"/>
                <w:kern w:val="1"/>
                <w:sz w:val="24"/>
                <w:lang w:eastAsia="ar-SA"/>
              </w:rPr>
            </w:pPr>
          </w:p>
        </w:tc>
        <w:tc>
          <w:tcPr>
            <w:tcW w:w="1800" w:type="dxa"/>
          </w:tcPr>
          <w:p w14:paraId="05463F30">
            <w:pPr>
              <w:suppressAutoHyphens/>
              <w:spacing w:before="120" w:after="120"/>
              <w:rPr>
                <w:color w:val="000000"/>
                <w:kern w:val="1"/>
                <w:sz w:val="24"/>
                <w:lang w:eastAsia="ar-SA"/>
              </w:rPr>
            </w:pPr>
          </w:p>
        </w:tc>
        <w:tc>
          <w:tcPr>
            <w:tcW w:w="1800" w:type="dxa"/>
          </w:tcPr>
          <w:p w14:paraId="637CFDE6">
            <w:pPr>
              <w:suppressAutoHyphens/>
              <w:spacing w:before="120" w:after="120"/>
              <w:rPr>
                <w:color w:val="000000"/>
                <w:kern w:val="1"/>
                <w:sz w:val="24"/>
                <w:lang w:eastAsia="ar-SA"/>
              </w:rPr>
            </w:pPr>
          </w:p>
        </w:tc>
      </w:tr>
      <w:tr w14:paraId="28EC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2ED2B2E">
            <w:pPr>
              <w:suppressAutoHyphens/>
              <w:spacing w:before="120" w:after="120"/>
              <w:rPr>
                <w:color w:val="000000"/>
                <w:kern w:val="1"/>
                <w:sz w:val="24"/>
                <w:lang w:eastAsia="ar-SA"/>
              </w:rPr>
            </w:pPr>
          </w:p>
        </w:tc>
        <w:tc>
          <w:tcPr>
            <w:tcW w:w="2064" w:type="dxa"/>
          </w:tcPr>
          <w:p w14:paraId="7C4A804A">
            <w:pPr>
              <w:suppressAutoHyphens/>
              <w:spacing w:before="120" w:after="120"/>
              <w:rPr>
                <w:color w:val="000000"/>
                <w:kern w:val="1"/>
                <w:sz w:val="24"/>
                <w:lang w:eastAsia="ar-SA"/>
              </w:rPr>
            </w:pPr>
          </w:p>
        </w:tc>
        <w:tc>
          <w:tcPr>
            <w:tcW w:w="1626" w:type="dxa"/>
          </w:tcPr>
          <w:p w14:paraId="1931B2F0">
            <w:pPr>
              <w:suppressAutoHyphens/>
              <w:spacing w:before="120" w:after="120"/>
              <w:rPr>
                <w:color w:val="000000"/>
                <w:kern w:val="1"/>
                <w:sz w:val="24"/>
                <w:lang w:eastAsia="ar-SA"/>
              </w:rPr>
            </w:pPr>
          </w:p>
        </w:tc>
        <w:tc>
          <w:tcPr>
            <w:tcW w:w="1260" w:type="dxa"/>
          </w:tcPr>
          <w:p w14:paraId="2608E80E">
            <w:pPr>
              <w:suppressAutoHyphens/>
              <w:spacing w:before="120" w:after="120"/>
              <w:rPr>
                <w:color w:val="000000"/>
                <w:kern w:val="1"/>
                <w:sz w:val="24"/>
                <w:lang w:eastAsia="ar-SA"/>
              </w:rPr>
            </w:pPr>
          </w:p>
        </w:tc>
        <w:tc>
          <w:tcPr>
            <w:tcW w:w="1800" w:type="dxa"/>
          </w:tcPr>
          <w:p w14:paraId="7A826E71">
            <w:pPr>
              <w:suppressAutoHyphens/>
              <w:spacing w:before="120" w:after="120"/>
              <w:rPr>
                <w:color w:val="000000"/>
                <w:kern w:val="1"/>
                <w:sz w:val="24"/>
                <w:lang w:eastAsia="ar-SA"/>
              </w:rPr>
            </w:pPr>
          </w:p>
        </w:tc>
        <w:tc>
          <w:tcPr>
            <w:tcW w:w="1800" w:type="dxa"/>
          </w:tcPr>
          <w:p w14:paraId="49EE9373">
            <w:pPr>
              <w:suppressAutoHyphens/>
              <w:spacing w:before="120" w:after="120"/>
              <w:rPr>
                <w:color w:val="000000"/>
                <w:kern w:val="1"/>
                <w:sz w:val="24"/>
                <w:lang w:eastAsia="ar-SA"/>
              </w:rPr>
            </w:pPr>
          </w:p>
        </w:tc>
      </w:tr>
      <w:tr w14:paraId="7F25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DD1CF14">
            <w:pPr>
              <w:suppressAutoHyphens/>
              <w:spacing w:before="120" w:after="120"/>
              <w:rPr>
                <w:color w:val="000000"/>
                <w:kern w:val="1"/>
                <w:sz w:val="24"/>
                <w:lang w:eastAsia="ar-SA"/>
              </w:rPr>
            </w:pPr>
          </w:p>
        </w:tc>
        <w:tc>
          <w:tcPr>
            <w:tcW w:w="2064" w:type="dxa"/>
          </w:tcPr>
          <w:p w14:paraId="733CF028">
            <w:pPr>
              <w:suppressAutoHyphens/>
              <w:spacing w:before="120" w:after="120"/>
              <w:rPr>
                <w:color w:val="000000"/>
                <w:kern w:val="1"/>
                <w:sz w:val="24"/>
                <w:lang w:eastAsia="ar-SA"/>
              </w:rPr>
            </w:pPr>
          </w:p>
        </w:tc>
        <w:tc>
          <w:tcPr>
            <w:tcW w:w="1626" w:type="dxa"/>
          </w:tcPr>
          <w:p w14:paraId="4AA4F2F2">
            <w:pPr>
              <w:suppressAutoHyphens/>
              <w:spacing w:before="120" w:after="120"/>
              <w:rPr>
                <w:color w:val="000000"/>
                <w:kern w:val="1"/>
                <w:sz w:val="24"/>
                <w:lang w:eastAsia="ar-SA"/>
              </w:rPr>
            </w:pPr>
          </w:p>
        </w:tc>
        <w:tc>
          <w:tcPr>
            <w:tcW w:w="1260" w:type="dxa"/>
          </w:tcPr>
          <w:p w14:paraId="3F63FAFB">
            <w:pPr>
              <w:suppressAutoHyphens/>
              <w:spacing w:before="120" w:after="120"/>
              <w:rPr>
                <w:color w:val="000000"/>
                <w:kern w:val="1"/>
                <w:sz w:val="24"/>
                <w:lang w:eastAsia="ar-SA"/>
              </w:rPr>
            </w:pPr>
          </w:p>
        </w:tc>
        <w:tc>
          <w:tcPr>
            <w:tcW w:w="1800" w:type="dxa"/>
          </w:tcPr>
          <w:p w14:paraId="0F0814D6">
            <w:pPr>
              <w:suppressAutoHyphens/>
              <w:spacing w:before="120" w:after="120"/>
              <w:rPr>
                <w:color w:val="000000"/>
                <w:kern w:val="1"/>
                <w:sz w:val="24"/>
                <w:lang w:eastAsia="ar-SA"/>
              </w:rPr>
            </w:pPr>
          </w:p>
        </w:tc>
        <w:tc>
          <w:tcPr>
            <w:tcW w:w="1800" w:type="dxa"/>
          </w:tcPr>
          <w:p w14:paraId="09D77FA2">
            <w:pPr>
              <w:suppressAutoHyphens/>
              <w:spacing w:before="120" w:after="120"/>
              <w:rPr>
                <w:color w:val="000000"/>
                <w:kern w:val="1"/>
                <w:sz w:val="24"/>
                <w:lang w:eastAsia="ar-SA"/>
              </w:rPr>
            </w:pPr>
          </w:p>
        </w:tc>
      </w:tr>
    </w:tbl>
    <w:p w14:paraId="785B55F2">
      <w:pPr>
        <w:spacing w:before="120" w:after="120"/>
        <w:rPr>
          <w:b/>
          <w:color w:val="000000"/>
          <w:sz w:val="24"/>
        </w:rPr>
      </w:pPr>
      <w:r>
        <w:rPr>
          <w:rFonts w:hint="eastAsia"/>
          <w:b/>
          <w:color w:val="000000"/>
          <w:sz w:val="24"/>
        </w:rPr>
        <w:t>注：如上表中投标人未列出偏离内容，则视为完全响应招标文件全部内容。如有偏离内容，则需要投标人分项列出，除了投标人所列偏离内容，其他未列出内容视为均响应招标文件要求。</w:t>
      </w:r>
    </w:p>
    <w:p w14:paraId="5F4A1C6C">
      <w:pPr>
        <w:suppressAutoHyphens/>
        <w:spacing w:before="120" w:after="120"/>
        <w:rPr>
          <w:b/>
          <w:color w:val="000000"/>
          <w:kern w:val="1"/>
          <w:sz w:val="24"/>
          <w:lang w:eastAsia="ar-SA"/>
        </w:rPr>
      </w:pPr>
    </w:p>
    <w:p w14:paraId="75EE79A2">
      <w:pPr>
        <w:suppressAutoHyphens/>
        <w:rPr>
          <w:color w:val="000000"/>
          <w:kern w:val="1"/>
          <w:sz w:val="24"/>
          <w:u w:val="single"/>
          <w:lang w:eastAsia="ar-SA"/>
        </w:rPr>
      </w:pPr>
      <w:r>
        <w:rPr>
          <w:rFonts w:hint="eastAsia"/>
          <w:color w:val="000000"/>
          <w:kern w:val="1"/>
          <w:sz w:val="24"/>
          <w:lang w:eastAsia="ar-SA"/>
        </w:rPr>
        <w:t>投标人：</w:t>
      </w:r>
      <w:r>
        <w:rPr>
          <w:rFonts w:hint="eastAsia"/>
          <w:color w:val="000000"/>
          <w:kern w:val="1"/>
          <w:sz w:val="24"/>
          <w:u w:val="single"/>
          <w:lang w:eastAsia="ar-SA"/>
        </w:rPr>
        <w:t xml:space="preserve">      （公</w:t>
      </w:r>
      <w:r>
        <w:rPr>
          <w:rFonts w:hint="eastAsia"/>
          <w:color w:val="000000"/>
          <w:kern w:val="1"/>
          <w:sz w:val="24"/>
          <w:u w:val="single"/>
        </w:rPr>
        <w:t>（电子）</w:t>
      </w:r>
      <w:r>
        <w:rPr>
          <w:rFonts w:hint="eastAsia"/>
          <w:color w:val="000000"/>
          <w:kern w:val="1"/>
          <w:sz w:val="24"/>
          <w:u w:val="single"/>
          <w:lang w:eastAsia="ar-SA"/>
        </w:rPr>
        <w:t xml:space="preserve">章）                 </w:t>
      </w:r>
    </w:p>
    <w:p w14:paraId="4CE9411C">
      <w:pPr>
        <w:suppressAutoHyphens/>
        <w:spacing w:before="120" w:after="120"/>
        <w:rPr>
          <w:color w:val="000000"/>
          <w:kern w:val="1"/>
          <w:sz w:val="24"/>
          <w:u w:val="single"/>
          <w:lang w:eastAsia="ar-SA"/>
        </w:rPr>
      </w:pPr>
      <w:r>
        <w:rPr>
          <w:rFonts w:hint="eastAsia"/>
          <w:color w:val="000000"/>
          <w:kern w:val="1"/>
          <w:sz w:val="24"/>
          <w:lang w:eastAsia="ar-SA"/>
        </w:rPr>
        <w:t>投标人代表</w:t>
      </w:r>
      <w:r>
        <w:rPr>
          <w:rFonts w:hint="eastAsia"/>
          <w:color w:val="000000"/>
          <w:kern w:val="1"/>
          <w:sz w:val="24"/>
        </w:rPr>
        <w:t>（</w:t>
      </w:r>
      <w:r>
        <w:rPr>
          <w:rFonts w:hint="eastAsia"/>
          <w:color w:val="000000"/>
          <w:kern w:val="1"/>
          <w:sz w:val="24"/>
          <w:lang w:eastAsia="ar-SA"/>
        </w:rPr>
        <w:t>签字或盖</w:t>
      </w:r>
      <w:r>
        <w:rPr>
          <w:rFonts w:hint="eastAsia"/>
          <w:color w:val="000000"/>
          <w:kern w:val="1"/>
          <w:sz w:val="24"/>
        </w:rPr>
        <w:t>（电子）章）</w:t>
      </w:r>
      <w:r>
        <w:rPr>
          <w:rFonts w:hint="eastAsia"/>
          <w:color w:val="000000"/>
          <w:kern w:val="1"/>
          <w:sz w:val="24"/>
          <w:lang w:eastAsia="ar-SA"/>
        </w:rPr>
        <w:t>：</w:t>
      </w:r>
      <w:r>
        <w:rPr>
          <w:rFonts w:hint="eastAsia"/>
          <w:color w:val="000000"/>
          <w:kern w:val="1"/>
          <w:sz w:val="24"/>
          <w:u w:val="single"/>
          <w:lang w:eastAsia="ar-SA"/>
        </w:rPr>
        <w:t xml:space="preserve">                       </w:t>
      </w:r>
    </w:p>
    <w:p w14:paraId="76E93AC3">
      <w:pPr>
        <w:suppressAutoHyphens/>
        <w:spacing w:before="120" w:after="120"/>
        <w:rPr>
          <w:color w:val="000000"/>
          <w:kern w:val="1"/>
          <w:sz w:val="24"/>
          <w:u w:val="single"/>
          <w:lang w:eastAsia="ar-SA"/>
        </w:rPr>
      </w:pPr>
      <w:r>
        <w:rPr>
          <w:rFonts w:hint="eastAsia"/>
          <w:color w:val="000000"/>
          <w:kern w:val="1"/>
          <w:sz w:val="24"/>
          <w:lang w:eastAsia="ar-SA"/>
        </w:rPr>
        <w:t>日期：</w:t>
      </w:r>
      <w:r>
        <w:rPr>
          <w:rFonts w:hint="eastAsia"/>
          <w:color w:val="000000"/>
          <w:kern w:val="1"/>
          <w:sz w:val="24"/>
          <w:u w:val="single"/>
          <w:lang w:eastAsia="ar-SA"/>
        </w:rPr>
        <w:t xml:space="preserve">                          </w:t>
      </w:r>
    </w:p>
    <w:p w14:paraId="156CE5DA">
      <w:pPr>
        <w:pStyle w:val="26"/>
        <w:spacing w:line="360" w:lineRule="auto"/>
        <w:rPr>
          <w:rFonts w:hAnsi="宋体"/>
          <w:color w:val="000000"/>
          <w:sz w:val="24"/>
        </w:rPr>
        <w:sectPr>
          <w:footerReference r:id="rId4" w:type="default"/>
          <w:pgSz w:w="11907" w:h="16840"/>
          <w:pgMar w:top="1440" w:right="1531" w:bottom="1440" w:left="1531" w:header="851" w:footer="992" w:gutter="0"/>
          <w:pgNumType w:fmt="numberInDash" w:start="1"/>
          <w:cols w:space="720" w:num="1"/>
          <w:docGrid w:linePitch="303" w:charSpace="0"/>
        </w:sectPr>
      </w:pPr>
      <w:r>
        <w:rPr>
          <w:rFonts w:hint="eastAsia" w:hAnsi="宋体"/>
          <w:color w:val="000000"/>
          <w:sz w:val="24"/>
        </w:rPr>
        <w:t xml:space="preserve">    </w:t>
      </w:r>
    </w:p>
    <w:bookmarkEnd w:id="167"/>
    <w:bookmarkEnd w:id="168"/>
    <w:bookmarkEnd w:id="169"/>
    <w:bookmarkEnd w:id="170"/>
    <w:p w14:paraId="2D3EA881">
      <w:pPr>
        <w:spacing w:line="360" w:lineRule="auto"/>
        <w:jc w:val="center"/>
        <w:outlineLvl w:val="2"/>
        <w:rPr>
          <w:rFonts w:ascii="宋体" w:hAnsi="宋体"/>
          <w:b/>
          <w:bCs/>
          <w:color w:val="000000"/>
          <w:sz w:val="32"/>
          <w:szCs w:val="32"/>
        </w:rPr>
      </w:pPr>
      <w:bookmarkStart w:id="171" w:name="_Toc1479973"/>
      <w:bookmarkStart w:id="172" w:name="_Toc516969105"/>
      <w:bookmarkStart w:id="173" w:name="_Toc172171560"/>
      <w:bookmarkStart w:id="174" w:name="_Toc1479835"/>
      <w:bookmarkStart w:id="175" w:name="_Toc10380"/>
      <w:r>
        <w:rPr>
          <w:rFonts w:hint="eastAsia" w:ascii="宋体" w:hAnsi="宋体"/>
          <w:b/>
          <w:bCs/>
          <w:color w:val="000000"/>
          <w:sz w:val="32"/>
          <w:szCs w:val="32"/>
        </w:rPr>
        <w:t>六、</w:t>
      </w:r>
      <w:bookmarkEnd w:id="171"/>
      <w:bookmarkEnd w:id="172"/>
      <w:bookmarkEnd w:id="173"/>
      <w:bookmarkEnd w:id="174"/>
      <w:r>
        <w:rPr>
          <w:rFonts w:hint="eastAsia" w:ascii="宋体" w:hAnsi="宋体"/>
          <w:b/>
          <w:bCs/>
          <w:color w:val="000000"/>
          <w:sz w:val="32"/>
          <w:szCs w:val="32"/>
        </w:rPr>
        <w:t>资格审查和技术评审文件</w:t>
      </w:r>
      <w:bookmarkEnd w:id="175"/>
    </w:p>
    <w:p w14:paraId="30AEA61F">
      <w:pPr>
        <w:tabs>
          <w:tab w:val="left" w:pos="4620"/>
        </w:tabs>
        <w:spacing w:line="360" w:lineRule="auto"/>
        <w:ind w:firstLine="1080" w:firstLineChars="450"/>
        <w:rPr>
          <w:rFonts w:ascii="宋体" w:hAnsi="宋体"/>
          <w:sz w:val="24"/>
        </w:rPr>
      </w:pPr>
      <w:r>
        <w:rPr>
          <w:rFonts w:hint="eastAsia" w:ascii="宋体" w:hAnsi="宋体"/>
          <w:sz w:val="24"/>
        </w:rPr>
        <w:t>（提供符合招标公告</w:t>
      </w:r>
      <w:r>
        <w:rPr>
          <w:rFonts w:hint="eastAsia" w:ascii="宋体" w:hAnsi="宋体"/>
          <w:sz w:val="24"/>
          <w:lang w:eastAsia="zh-CN"/>
        </w:rPr>
        <w:t>及</w:t>
      </w:r>
      <w:r>
        <w:rPr>
          <w:rFonts w:hint="eastAsia" w:ascii="宋体" w:hAnsi="宋体"/>
          <w:sz w:val="24"/>
        </w:rPr>
        <w:t>评标办法规定的相关证明文件，格式自拟）</w:t>
      </w:r>
    </w:p>
    <w:p w14:paraId="7EAB5D94">
      <w:pPr>
        <w:pStyle w:val="20"/>
        <w:spacing w:line="360" w:lineRule="auto"/>
        <w:jc w:val="center"/>
        <w:rPr>
          <w:rFonts w:ascii="宋体" w:hAnsi="宋体" w:eastAsia="宋体"/>
          <w:color w:val="000000"/>
          <w:sz w:val="24"/>
          <w:szCs w:val="24"/>
        </w:rPr>
      </w:pPr>
    </w:p>
    <w:bookmarkEnd w:id="29"/>
    <w:p w14:paraId="13C415D9">
      <w:pPr>
        <w:spacing w:line="360" w:lineRule="auto"/>
        <w:rPr>
          <w:rFonts w:ascii="宋体" w:hAnsi="宋体"/>
          <w:bCs/>
          <w:color w:val="000000"/>
          <w:sz w:val="28"/>
          <w:szCs w:val="24"/>
        </w:rPr>
      </w:pPr>
    </w:p>
    <w:p w14:paraId="552C603A">
      <w:pPr>
        <w:pStyle w:val="2"/>
        <w:ind w:firstLine="560"/>
        <w:rPr>
          <w:rFonts w:ascii="宋体" w:hAnsi="宋体"/>
          <w:bCs/>
          <w:color w:val="000000"/>
          <w:sz w:val="28"/>
          <w:szCs w:val="24"/>
        </w:rPr>
      </w:pPr>
    </w:p>
    <w:p w14:paraId="0D2DAEBC">
      <w:pPr>
        <w:spacing w:line="360" w:lineRule="auto"/>
        <w:jc w:val="center"/>
        <w:outlineLvl w:val="2"/>
        <w:rPr>
          <w:rFonts w:ascii="宋体" w:hAnsi="宋体"/>
          <w:b/>
          <w:bCs/>
          <w:color w:val="000000"/>
          <w:sz w:val="32"/>
          <w:szCs w:val="32"/>
        </w:rPr>
      </w:pPr>
      <w:r>
        <w:rPr>
          <w:rFonts w:hint="eastAsia" w:ascii="宋体" w:hAnsi="宋体"/>
          <w:b/>
          <w:bCs/>
          <w:color w:val="000000"/>
          <w:sz w:val="32"/>
          <w:szCs w:val="32"/>
        </w:rPr>
        <w:t>七、投标人认为需要说明的其他内容</w:t>
      </w:r>
    </w:p>
    <w:p w14:paraId="3E56D28D">
      <w:pPr>
        <w:tabs>
          <w:tab w:val="left" w:pos="4620"/>
        </w:tabs>
        <w:spacing w:line="360" w:lineRule="auto"/>
        <w:ind w:firstLine="1080" w:firstLineChars="450"/>
        <w:jc w:val="center"/>
        <w:rPr>
          <w:rFonts w:ascii="宋体" w:hAnsi="宋体"/>
          <w:sz w:val="24"/>
        </w:rPr>
      </w:pPr>
      <w:r>
        <w:rPr>
          <w:rFonts w:hint="eastAsia" w:ascii="宋体" w:hAnsi="宋体"/>
          <w:sz w:val="24"/>
        </w:rPr>
        <w:t>（格式自拟）</w:t>
      </w:r>
    </w:p>
    <w:p w14:paraId="23894FFB">
      <w:pPr>
        <w:pStyle w:val="2"/>
        <w:ind w:firstLine="560"/>
        <w:rPr>
          <w:rFonts w:ascii="宋体" w:hAnsi="宋体"/>
          <w:bCs/>
          <w:color w:val="000000"/>
          <w:sz w:val="28"/>
          <w:szCs w:val="24"/>
        </w:rPr>
      </w:pPr>
    </w:p>
    <w:sectPr>
      <w:footerReference r:id="rId5"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00593C-F749-4CBF-82EF-A3FA7AEF67BD}"/>
  </w:font>
  <w:font w:name="黑体">
    <w:panose1 w:val="02010609060101010101"/>
    <w:charset w:val="86"/>
    <w:family w:val="auto"/>
    <w:pitch w:val="default"/>
    <w:sig w:usb0="800002BF" w:usb1="38CF7CFA" w:usb2="00000016" w:usb3="00000000" w:csb0="00040001" w:csb1="00000000"/>
    <w:embedRegular r:id="rId2" w:fontKey="{4F5EE0E8-A767-483F-AD2E-D65C7512A8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7384A6D-9A9B-4D2A-8AAA-B75A173F5DE3}"/>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6B4AEDC-E5AF-40A8-9D51-410C8C49F61B}"/>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8A7807BA-2AB8-44BE-9F12-42F77B1E39FD}"/>
  </w:font>
  <w:font w:name="Liberation Serif">
    <w:altName w:val="Times New Roman"/>
    <w:panose1 w:val="00000000000000000000"/>
    <w:charset w:val="00"/>
    <w:family w:val="roman"/>
    <w:pitch w:val="default"/>
    <w:sig w:usb0="00000000" w:usb1="00000000" w:usb2="00000021" w:usb3="00000000" w:csb0="000001BF" w:csb1="00000000"/>
  </w:font>
  <w:font w:name="PingFang SC Regular">
    <w:altName w:val="Segoe Print"/>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6" w:fontKey="{BABE983B-5F30-46C8-A1B4-35B8615F0C2A}"/>
  </w:font>
  <w:font w:name="PMingLiU">
    <w:altName w:val="PMingLiU-ExtB"/>
    <w:panose1 w:val="02020500000000000000"/>
    <w:charset w:val="88"/>
    <w:family w:val="auto"/>
    <w:pitch w:val="default"/>
    <w:sig w:usb0="00000000" w:usb1="00000000" w:usb2="00000016" w:usb3="00000000" w:csb0="00100001" w:csb1="00000000"/>
    <w:embedRegular r:id="rId7" w:fontKey="{80E154A8-F3A2-4F09-A00D-2AC0BC93CD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B1222">
    <w:pPr>
      <w:keepNext/>
      <w:keepLines/>
      <w:framePr w:wrap="around" w:vAnchor="margin" w:hAnchor="text" w:y="1"/>
      <w:tabs>
        <w:tab w:val="left" w:pos="9106"/>
      </w:tabs>
      <w:rPr>
        <w:spacing w:val="-16"/>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3067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14:paraId="48EFC422">
                          <w:pPr>
                            <w:keepNext/>
                            <w:keepLines/>
                            <w:tabs>
                              <w:tab w:val="left" w:pos="9106"/>
                            </w:tabs>
                            <w:jc w:val="center"/>
                          </w:pPr>
                          <w:r>
                            <w:rPr>
                              <w:rFonts w:hint="eastAsia"/>
                              <w:spacing w:val="-16"/>
                              <w:sz w:val="18"/>
                              <w:szCs w:val="18"/>
                            </w:rPr>
                            <w:t xml:space="preserve">                                                                                                                                    </w:t>
                          </w:r>
                        </w:p>
                        <w:p w14:paraId="2ECB9CA7"/>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4.15pt;width:9.05pt;mso-position-horizontal:center;mso-position-horizontal-relative:margin;mso-wrap-style:none;z-index:251663360;mso-width-relative:page;mso-height-relative:page;" filled="f" stroked="f" coordsize="21600,21600" o:gfxdata="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78MvRAAAAAwEAAA8AAAAAAAAAAQAgAAAAIgAAAGRycy9k&#10;b3ducmV2LnhtbFBLAQIUABQAAAAIAIdO4kCp0hFECQIAAAIEAAAOAAAAAAAAAAEAIAAAACABAABk&#10;cnMvZTJvRG9jLnhtbFBLBQYAAAAABgAGAFkBAACbBQAAAAA=&#10;">
              <v:fill on="f" focussize="0,0"/>
              <v:stroke on="f"/>
              <v:imagedata o:title=""/>
              <o:lock v:ext="edit" aspectratio="f"/>
              <v:textbox inset="0mm,0mm,0mm,0mm" style="mso-fit-shape-to-text:t;">
                <w:txbxContent>
                  <w:p w14:paraId="48EFC422">
                    <w:pPr>
                      <w:keepNext/>
                      <w:keepLines/>
                      <w:tabs>
                        <w:tab w:val="left" w:pos="9106"/>
                      </w:tabs>
                      <w:jc w:val="center"/>
                    </w:pPr>
                    <w:r>
                      <w:rPr>
                        <w:rFonts w:hint="eastAsia"/>
                        <w:spacing w:val="-16"/>
                        <w:sz w:val="18"/>
                        <w:szCs w:val="18"/>
                      </w:rPr>
                      <w:t xml:space="preserve">                                                                                                                                    </w:t>
                    </w:r>
                  </w:p>
                  <w:p w14:paraId="2ECB9CA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22FC">
    <w:pPr>
      <w:pStyle w:val="32"/>
      <w:jc w:val="center"/>
    </w:pPr>
    <w:r>
      <w:fldChar w:fldCharType="begin"/>
    </w:r>
    <w:r>
      <w:instrText xml:space="preserve">PAGE   \* MERGEFORMAT</w:instrText>
    </w:r>
    <w:r>
      <w:fldChar w:fldCharType="separate"/>
    </w:r>
    <w:r>
      <w:rPr>
        <w:lang w:val="zh-CN"/>
      </w:rPr>
      <w:t>-</w:t>
    </w:r>
    <w:r>
      <w:t xml:space="preserve"> 44 -</w:t>
    </w:r>
    <w:r>
      <w:fldChar w:fldCharType="end"/>
    </w:r>
  </w:p>
  <w:p w14:paraId="0B364996">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D777">
    <w:pPr>
      <w:pStyle w:val="32"/>
      <w:framePr w:wrap="around" w:vAnchor="text" w:hAnchor="margin" w:xAlign="center" w:y="1"/>
      <w:ind w:firstLine="4500" w:firstLineChars="2500"/>
      <w:rPr>
        <w:rStyle w:val="55"/>
      </w:rPr>
    </w:pPr>
    <w:r>
      <w:fldChar w:fldCharType="begin"/>
    </w:r>
    <w:r>
      <w:rPr>
        <w:rStyle w:val="55"/>
      </w:rPr>
      <w:instrText xml:space="preserve">PAGE  </w:instrText>
    </w:r>
    <w:r>
      <w:fldChar w:fldCharType="separate"/>
    </w:r>
    <w:r>
      <w:rPr>
        <w:rStyle w:val="55"/>
      </w:rPr>
      <w:t>52</w:t>
    </w:r>
    <w:r>
      <w:fldChar w:fldCharType="end"/>
    </w:r>
  </w:p>
  <w:p w14:paraId="0F8C5D6D">
    <w:pPr>
      <w:pStyle w:val="32"/>
      <w:framePr w:wrap="around" w:vAnchor="text" w:hAnchor="margin" w:xAlign="center" w:y="1"/>
      <w:rPr>
        <w:rStyle w:val="55"/>
      </w:rPr>
    </w:pPr>
  </w:p>
  <w:p w14:paraId="503DF284">
    <w:pPr>
      <w:pStyle w:val="32"/>
      <w:framePr w:wrap="around" w:vAnchor="text" w:hAnchor="margin" w:xAlign="center" w:y="1"/>
      <w:rPr>
        <w:rStyle w:val="55"/>
      </w:rPr>
    </w:pPr>
  </w:p>
  <w:p w14:paraId="6EF67446">
    <w:pPr>
      <w:pStyle w:val="32"/>
      <w:ind w:right="360"/>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EE213"/>
    <w:multiLevelType w:val="singleLevel"/>
    <w:tmpl w:val="E77EE213"/>
    <w:lvl w:ilvl="0" w:tentative="0">
      <w:start w:val="3"/>
      <w:numFmt w:val="chineseCounting"/>
      <w:suff w:val="space"/>
      <w:lvlText w:val="第%1章"/>
      <w:lvlJc w:val="left"/>
      <w:rPr>
        <w:rFonts w:hint="eastAsia"/>
      </w:rPr>
    </w:lvl>
  </w:abstractNum>
  <w:abstractNum w:abstractNumId="1">
    <w:nsid w:val="F14C0701"/>
    <w:multiLevelType w:val="singleLevel"/>
    <w:tmpl w:val="F14C0701"/>
    <w:lvl w:ilvl="0" w:tentative="0">
      <w:start w:val="16"/>
      <w:numFmt w:val="decimal"/>
      <w:suff w:val="nothing"/>
      <w:lvlText w:val="%1．"/>
      <w:lvlJc w:val="left"/>
    </w:lvl>
  </w:abstractNum>
  <w:abstractNum w:abstractNumId="2">
    <w:nsid w:val="02B21A62"/>
    <w:multiLevelType w:val="singleLevel"/>
    <w:tmpl w:val="02B21A62"/>
    <w:lvl w:ilvl="0" w:tentative="0">
      <w:start w:val="1"/>
      <w:numFmt w:val="chineseCounting"/>
      <w:suff w:val="nothing"/>
      <w:lvlText w:val="%1、"/>
      <w:lvlJc w:val="left"/>
      <w:rPr>
        <w:rFonts w:hint="eastAsia"/>
      </w:rPr>
    </w:lvl>
  </w:abstractNum>
  <w:abstractNum w:abstractNumId="3">
    <w:nsid w:val="20A75DE7"/>
    <w:multiLevelType w:val="multilevel"/>
    <w:tmpl w:val="20A75D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26CD70"/>
    <w:multiLevelType w:val="singleLevel"/>
    <w:tmpl w:val="2B26CD70"/>
    <w:lvl w:ilvl="0" w:tentative="0">
      <w:start w:val="7"/>
      <w:numFmt w:val="decimal"/>
      <w:suff w:val="nothing"/>
      <w:lvlText w:val="%1．"/>
      <w:lvlJc w:val="left"/>
    </w:lvl>
  </w:abstractNum>
  <w:abstractNum w:abstractNumId="5">
    <w:nsid w:val="578A2FB1"/>
    <w:multiLevelType w:val="singleLevel"/>
    <w:tmpl w:val="578A2FB1"/>
    <w:lvl w:ilvl="0" w:tentative="0">
      <w:start w:val="2"/>
      <w:numFmt w:val="chineseCounting"/>
      <w:suff w:val="nothing"/>
      <w:lvlText w:val="%1、"/>
      <w:lvlJc w:val="left"/>
    </w:lvl>
  </w:abstractNum>
  <w:abstractNum w:abstractNumId="6">
    <w:nsid w:val="578A312F"/>
    <w:multiLevelType w:val="singleLevel"/>
    <w:tmpl w:val="578A312F"/>
    <w:lvl w:ilvl="0" w:tentative="0">
      <w:start w:val="4"/>
      <w:numFmt w:val="decimal"/>
      <w:suff w:val="nothing"/>
      <w:lvlText w:val="%1."/>
      <w:lvlJc w:val="left"/>
    </w:lvl>
  </w:abstractNum>
  <w:num w:numId="1">
    <w:abstractNumId w:val="2"/>
  </w:num>
  <w:num w:numId="2">
    <w:abstractNumId w:val="0"/>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s>
  <w:rsids>
    <w:rsidRoot w:val="00172A27"/>
    <w:rsid w:val="00000232"/>
    <w:rsid w:val="00000551"/>
    <w:rsid w:val="0000059E"/>
    <w:rsid w:val="00001F37"/>
    <w:rsid w:val="000036F2"/>
    <w:rsid w:val="00004A08"/>
    <w:rsid w:val="00004A5D"/>
    <w:rsid w:val="00004B28"/>
    <w:rsid w:val="00007705"/>
    <w:rsid w:val="00010370"/>
    <w:rsid w:val="00010860"/>
    <w:rsid w:val="00011697"/>
    <w:rsid w:val="00012016"/>
    <w:rsid w:val="0001289B"/>
    <w:rsid w:val="00012D1D"/>
    <w:rsid w:val="00012ECD"/>
    <w:rsid w:val="0001376D"/>
    <w:rsid w:val="000144E0"/>
    <w:rsid w:val="000147EA"/>
    <w:rsid w:val="000157B5"/>
    <w:rsid w:val="00015E64"/>
    <w:rsid w:val="00016375"/>
    <w:rsid w:val="00016658"/>
    <w:rsid w:val="0001674A"/>
    <w:rsid w:val="0001686B"/>
    <w:rsid w:val="00017469"/>
    <w:rsid w:val="00021298"/>
    <w:rsid w:val="00021C4A"/>
    <w:rsid w:val="00022B6A"/>
    <w:rsid w:val="00022DAE"/>
    <w:rsid w:val="00024219"/>
    <w:rsid w:val="0002497C"/>
    <w:rsid w:val="00024A6F"/>
    <w:rsid w:val="00024F35"/>
    <w:rsid w:val="00025A12"/>
    <w:rsid w:val="00025CFF"/>
    <w:rsid w:val="0002653D"/>
    <w:rsid w:val="00026929"/>
    <w:rsid w:val="00026A53"/>
    <w:rsid w:val="00026CD0"/>
    <w:rsid w:val="00027E0F"/>
    <w:rsid w:val="00030B08"/>
    <w:rsid w:val="000313C2"/>
    <w:rsid w:val="000314BA"/>
    <w:rsid w:val="00031612"/>
    <w:rsid w:val="00031F8C"/>
    <w:rsid w:val="00032493"/>
    <w:rsid w:val="00033D79"/>
    <w:rsid w:val="000341AC"/>
    <w:rsid w:val="00034B33"/>
    <w:rsid w:val="00035BB0"/>
    <w:rsid w:val="0003612B"/>
    <w:rsid w:val="0003652E"/>
    <w:rsid w:val="00036D7B"/>
    <w:rsid w:val="00036EF5"/>
    <w:rsid w:val="000373F5"/>
    <w:rsid w:val="00037BC5"/>
    <w:rsid w:val="00037CF7"/>
    <w:rsid w:val="0004010D"/>
    <w:rsid w:val="00040421"/>
    <w:rsid w:val="00041400"/>
    <w:rsid w:val="00041883"/>
    <w:rsid w:val="00041BE6"/>
    <w:rsid w:val="0004208F"/>
    <w:rsid w:val="00042A94"/>
    <w:rsid w:val="000431A8"/>
    <w:rsid w:val="00043B17"/>
    <w:rsid w:val="00044F11"/>
    <w:rsid w:val="00047036"/>
    <w:rsid w:val="000470E9"/>
    <w:rsid w:val="0005004C"/>
    <w:rsid w:val="00051902"/>
    <w:rsid w:val="00051FAB"/>
    <w:rsid w:val="00051FF1"/>
    <w:rsid w:val="000524B3"/>
    <w:rsid w:val="00052B52"/>
    <w:rsid w:val="0005343E"/>
    <w:rsid w:val="000535BA"/>
    <w:rsid w:val="000543D3"/>
    <w:rsid w:val="00054527"/>
    <w:rsid w:val="00054EEC"/>
    <w:rsid w:val="00055E52"/>
    <w:rsid w:val="00056151"/>
    <w:rsid w:val="00056516"/>
    <w:rsid w:val="00056AEE"/>
    <w:rsid w:val="00060DCD"/>
    <w:rsid w:val="00061A61"/>
    <w:rsid w:val="00063019"/>
    <w:rsid w:val="00063B1E"/>
    <w:rsid w:val="00064132"/>
    <w:rsid w:val="0006419A"/>
    <w:rsid w:val="0006421D"/>
    <w:rsid w:val="0006440C"/>
    <w:rsid w:val="00064B83"/>
    <w:rsid w:val="00064BDC"/>
    <w:rsid w:val="00065677"/>
    <w:rsid w:val="0006595E"/>
    <w:rsid w:val="00066CA5"/>
    <w:rsid w:val="000671DA"/>
    <w:rsid w:val="00067A33"/>
    <w:rsid w:val="00070AE3"/>
    <w:rsid w:val="00072C9D"/>
    <w:rsid w:val="000731B9"/>
    <w:rsid w:val="00073C4A"/>
    <w:rsid w:val="00073E52"/>
    <w:rsid w:val="00073F20"/>
    <w:rsid w:val="00075ED7"/>
    <w:rsid w:val="0007649C"/>
    <w:rsid w:val="0007677B"/>
    <w:rsid w:val="00076963"/>
    <w:rsid w:val="00076C7B"/>
    <w:rsid w:val="000773B4"/>
    <w:rsid w:val="000777DB"/>
    <w:rsid w:val="00077AF1"/>
    <w:rsid w:val="00081DC1"/>
    <w:rsid w:val="000828B1"/>
    <w:rsid w:val="000838E6"/>
    <w:rsid w:val="00084064"/>
    <w:rsid w:val="00085433"/>
    <w:rsid w:val="00086596"/>
    <w:rsid w:val="00087BA6"/>
    <w:rsid w:val="00090310"/>
    <w:rsid w:val="00090EB4"/>
    <w:rsid w:val="000910CA"/>
    <w:rsid w:val="000928F9"/>
    <w:rsid w:val="00092F46"/>
    <w:rsid w:val="00094B8C"/>
    <w:rsid w:val="00094C8C"/>
    <w:rsid w:val="000950E9"/>
    <w:rsid w:val="0009553B"/>
    <w:rsid w:val="00095D72"/>
    <w:rsid w:val="000960C0"/>
    <w:rsid w:val="00096FF0"/>
    <w:rsid w:val="000971BC"/>
    <w:rsid w:val="0009733A"/>
    <w:rsid w:val="00097375"/>
    <w:rsid w:val="000A033F"/>
    <w:rsid w:val="000A19B6"/>
    <w:rsid w:val="000A1E33"/>
    <w:rsid w:val="000A322E"/>
    <w:rsid w:val="000A35F6"/>
    <w:rsid w:val="000A47E5"/>
    <w:rsid w:val="000A4961"/>
    <w:rsid w:val="000A572E"/>
    <w:rsid w:val="000A744E"/>
    <w:rsid w:val="000A776C"/>
    <w:rsid w:val="000A7BE9"/>
    <w:rsid w:val="000A7E3B"/>
    <w:rsid w:val="000B0365"/>
    <w:rsid w:val="000B0D94"/>
    <w:rsid w:val="000B1B30"/>
    <w:rsid w:val="000B2372"/>
    <w:rsid w:val="000B2EBD"/>
    <w:rsid w:val="000B5A6A"/>
    <w:rsid w:val="000B5B46"/>
    <w:rsid w:val="000B5EF7"/>
    <w:rsid w:val="000B6138"/>
    <w:rsid w:val="000B7FEA"/>
    <w:rsid w:val="000C1109"/>
    <w:rsid w:val="000C183B"/>
    <w:rsid w:val="000C1F55"/>
    <w:rsid w:val="000C2C50"/>
    <w:rsid w:val="000C2E26"/>
    <w:rsid w:val="000C34B8"/>
    <w:rsid w:val="000C3FA3"/>
    <w:rsid w:val="000C525B"/>
    <w:rsid w:val="000C5A32"/>
    <w:rsid w:val="000C676F"/>
    <w:rsid w:val="000C71B5"/>
    <w:rsid w:val="000C7A0C"/>
    <w:rsid w:val="000D106B"/>
    <w:rsid w:val="000D163F"/>
    <w:rsid w:val="000D24C6"/>
    <w:rsid w:val="000D2974"/>
    <w:rsid w:val="000D30C7"/>
    <w:rsid w:val="000D3400"/>
    <w:rsid w:val="000D34BB"/>
    <w:rsid w:val="000D34D3"/>
    <w:rsid w:val="000D392F"/>
    <w:rsid w:val="000D3AFD"/>
    <w:rsid w:val="000D4BD9"/>
    <w:rsid w:val="000D6A30"/>
    <w:rsid w:val="000D6E24"/>
    <w:rsid w:val="000D6F56"/>
    <w:rsid w:val="000D70E8"/>
    <w:rsid w:val="000D7246"/>
    <w:rsid w:val="000E065E"/>
    <w:rsid w:val="000E1E19"/>
    <w:rsid w:val="000E3C18"/>
    <w:rsid w:val="000E3CC6"/>
    <w:rsid w:val="000E4843"/>
    <w:rsid w:val="000E48E5"/>
    <w:rsid w:val="000E7009"/>
    <w:rsid w:val="000F0801"/>
    <w:rsid w:val="000F0C38"/>
    <w:rsid w:val="000F0C74"/>
    <w:rsid w:val="000F0C7D"/>
    <w:rsid w:val="000F1B1A"/>
    <w:rsid w:val="000F234E"/>
    <w:rsid w:val="000F2783"/>
    <w:rsid w:val="000F3181"/>
    <w:rsid w:val="000F3859"/>
    <w:rsid w:val="000F38AC"/>
    <w:rsid w:val="000F4C7E"/>
    <w:rsid w:val="000F59DE"/>
    <w:rsid w:val="000F6037"/>
    <w:rsid w:val="000F612D"/>
    <w:rsid w:val="000F644D"/>
    <w:rsid w:val="001020BB"/>
    <w:rsid w:val="00102684"/>
    <w:rsid w:val="00102DA6"/>
    <w:rsid w:val="00103501"/>
    <w:rsid w:val="0010381A"/>
    <w:rsid w:val="00104E2F"/>
    <w:rsid w:val="0010538E"/>
    <w:rsid w:val="0010568D"/>
    <w:rsid w:val="00106CB7"/>
    <w:rsid w:val="0010739D"/>
    <w:rsid w:val="001075AC"/>
    <w:rsid w:val="001100B2"/>
    <w:rsid w:val="001103C7"/>
    <w:rsid w:val="00111A80"/>
    <w:rsid w:val="0011370C"/>
    <w:rsid w:val="00114314"/>
    <w:rsid w:val="0011459F"/>
    <w:rsid w:val="00114F10"/>
    <w:rsid w:val="0011538E"/>
    <w:rsid w:val="001156F6"/>
    <w:rsid w:val="00116592"/>
    <w:rsid w:val="00117DF8"/>
    <w:rsid w:val="001211A0"/>
    <w:rsid w:val="0012173E"/>
    <w:rsid w:val="00121888"/>
    <w:rsid w:val="00121D63"/>
    <w:rsid w:val="001224E5"/>
    <w:rsid w:val="00122DD4"/>
    <w:rsid w:val="00123B40"/>
    <w:rsid w:val="00123BA5"/>
    <w:rsid w:val="00124189"/>
    <w:rsid w:val="00124842"/>
    <w:rsid w:val="0012520A"/>
    <w:rsid w:val="001252BB"/>
    <w:rsid w:val="00125E69"/>
    <w:rsid w:val="0012604F"/>
    <w:rsid w:val="001264F4"/>
    <w:rsid w:val="00126709"/>
    <w:rsid w:val="0012736A"/>
    <w:rsid w:val="0012782E"/>
    <w:rsid w:val="0012791B"/>
    <w:rsid w:val="0013062D"/>
    <w:rsid w:val="00130E77"/>
    <w:rsid w:val="00130F1B"/>
    <w:rsid w:val="001315A7"/>
    <w:rsid w:val="00131A6A"/>
    <w:rsid w:val="00132F98"/>
    <w:rsid w:val="00135460"/>
    <w:rsid w:val="00135A1D"/>
    <w:rsid w:val="00135BA1"/>
    <w:rsid w:val="00137112"/>
    <w:rsid w:val="00137623"/>
    <w:rsid w:val="001379E8"/>
    <w:rsid w:val="00137DAB"/>
    <w:rsid w:val="00141F72"/>
    <w:rsid w:val="00142560"/>
    <w:rsid w:val="001435AA"/>
    <w:rsid w:val="001446A6"/>
    <w:rsid w:val="0014540B"/>
    <w:rsid w:val="00147EF1"/>
    <w:rsid w:val="0015091E"/>
    <w:rsid w:val="00150E19"/>
    <w:rsid w:val="00150ED6"/>
    <w:rsid w:val="00151006"/>
    <w:rsid w:val="001510F9"/>
    <w:rsid w:val="001532B0"/>
    <w:rsid w:val="00154785"/>
    <w:rsid w:val="001551AB"/>
    <w:rsid w:val="00155CE4"/>
    <w:rsid w:val="00155F81"/>
    <w:rsid w:val="0015640D"/>
    <w:rsid w:val="00156437"/>
    <w:rsid w:val="001566BD"/>
    <w:rsid w:val="0015675C"/>
    <w:rsid w:val="0015678A"/>
    <w:rsid w:val="0015695E"/>
    <w:rsid w:val="001569A9"/>
    <w:rsid w:val="001569EA"/>
    <w:rsid w:val="00160F44"/>
    <w:rsid w:val="001625B3"/>
    <w:rsid w:val="00163067"/>
    <w:rsid w:val="001639AC"/>
    <w:rsid w:val="001645E1"/>
    <w:rsid w:val="00165922"/>
    <w:rsid w:val="0016659A"/>
    <w:rsid w:val="00166B5E"/>
    <w:rsid w:val="00167D18"/>
    <w:rsid w:val="00170432"/>
    <w:rsid w:val="001723C6"/>
    <w:rsid w:val="00172788"/>
    <w:rsid w:val="00172A27"/>
    <w:rsid w:val="00173417"/>
    <w:rsid w:val="0017342E"/>
    <w:rsid w:val="00173599"/>
    <w:rsid w:val="001756F1"/>
    <w:rsid w:val="00175888"/>
    <w:rsid w:val="001769F6"/>
    <w:rsid w:val="00176C25"/>
    <w:rsid w:val="0017745C"/>
    <w:rsid w:val="00177878"/>
    <w:rsid w:val="001800C4"/>
    <w:rsid w:val="0018091D"/>
    <w:rsid w:val="00180EB4"/>
    <w:rsid w:val="00181B98"/>
    <w:rsid w:val="00181F76"/>
    <w:rsid w:val="00182497"/>
    <w:rsid w:val="00182C3F"/>
    <w:rsid w:val="00182D95"/>
    <w:rsid w:val="00182FFB"/>
    <w:rsid w:val="0018389C"/>
    <w:rsid w:val="001861A7"/>
    <w:rsid w:val="0018665C"/>
    <w:rsid w:val="00186831"/>
    <w:rsid w:val="00186A0D"/>
    <w:rsid w:val="001871C6"/>
    <w:rsid w:val="001873C6"/>
    <w:rsid w:val="00187CBE"/>
    <w:rsid w:val="0019027A"/>
    <w:rsid w:val="00190D03"/>
    <w:rsid w:val="0019102E"/>
    <w:rsid w:val="00192A48"/>
    <w:rsid w:val="00192D42"/>
    <w:rsid w:val="00192E75"/>
    <w:rsid w:val="001933A6"/>
    <w:rsid w:val="001942B7"/>
    <w:rsid w:val="00195B69"/>
    <w:rsid w:val="00196871"/>
    <w:rsid w:val="00196B64"/>
    <w:rsid w:val="00196CBD"/>
    <w:rsid w:val="001978BA"/>
    <w:rsid w:val="001A12F9"/>
    <w:rsid w:val="001A1691"/>
    <w:rsid w:val="001A1D13"/>
    <w:rsid w:val="001A23AD"/>
    <w:rsid w:val="001A38F0"/>
    <w:rsid w:val="001A446A"/>
    <w:rsid w:val="001A519F"/>
    <w:rsid w:val="001A5D11"/>
    <w:rsid w:val="001A69FE"/>
    <w:rsid w:val="001A7A23"/>
    <w:rsid w:val="001A7E31"/>
    <w:rsid w:val="001B076B"/>
    <w:rsid w:val="001B1128"/>
    <w:rsid w:val="001B69AD"/>
    <w:rsid w:val="001B7AC5"/>
    <w:rsid w:val="001B7B36"/>
    <w:rsid w:val="001C0D2D"/>
    <w:rsid w:val="001C1253"/>
    <w:rsid w:val="001C1729"/>
    <w:rsid w:val="001C176B"/>
    <w:rsid w:val="001C1FDB"/>
    <w:rsid w:val="001C375C"/>
    <w:rsid w:val="001C3E29"/>
    <w:rsid w:val="001C43F0"/>
    <w:rsid w:val="001C4B72"/>
    <w:rsid w:val="001C576A"/>
    <w:rsid w:val="001C7BC5"/>
    <w:rsid w:val="001D031F"/>
    <w:rsid w:val="001D1748"/>
    <w:rsid w:val="001D2581"/>
    <w:rsid w:val="001D27C2"/>
    <w:rsid w:val="001D55D7"/>
    <w:rsid w:val="001D6A76"/>
    <w:rsid w:val="001E04D2"/>
    <w:rsid w:val="001E06CD"/>
    <w:rsid w:val="001E0795"/>
    <w:rsid w:val="001E087B"/>
    <w:rsid w:val="001E09F7"/>
    <w:rsid w:val="001E1EAE"/>
    <w:rsid w:val="001E2457"/>
    <w:rsid w:val="001E257A"/>
    <w:rsid w:val="001E2B41"/>
    <w:rsid w:val="001E2E4B"/>
    <w:rsid w:val="001E32F6"/>
    <w:rsid w:val="001E3656"/>
    <w:rsid w:val="001E4243"/>
    <w:rsid w:val="001E4664"/>
    <w:rsid w:val="001E62EC"/>
    <w:rsid w:val="001E641A"/>
    <w:rsid w:val="001E6DE3"/>
    <w:rsid w:val="001F0899"/>
    <w:rsid w:val="001F1C16"/>
    <w:rsid w:val="001F230B"/>
    <w:rsid w:val="001F2905"/>
    <w:rsid w:val="001F37BB"/>
    <w:rsid w:val="001F3EC4"/>
    <w:rsid w:val="001F3FFB"/>
    <w:rsid w:val="001F4BB9"/>
    <w:rsid w:val="001F5FC0"/>
    <w:rsid w:val="001F665B"/>
    <w:rsid w:val="001F691F"/>
    <w:rsid w:val="001F7B6C"/>
    <w:rsid w:val="001F7BDD"/>
    <w:rsid w:val="002005C3"/>
    <w:rsid w:val="0020101B"/>
    <w:rsid w:val="002013F4"/>
    <w:rsid w:val="00201441"/>
    <w:rsid w:val="00201443"/>
    <w:rsid w:val="00201BE4"/>
    <w:rsid w:val="00202BB7"/>
    <w:rsid w:val="00203808"/>
    <w:rsid w:val="00204108"/>
    <w:rsid w:val="00204650"/>
    <w:rsid w:val="00205F76"/>
    <w:rsid w:val="0020613B"/>
    <w:rsid w:val="00206781"/>
    <w:rsid w:val="00207BAA"/>
    <w:rsid w:val="00207C99"/>
    <w:rsid w:val="00210A10"/>
    <w:rsid w:val="00211362"/>
    <w:rsid w:val="00211F33"/>
    <w:rsid w:val="00211FE0"/>
    <w:rsid w:val="0021402E"/>
    <w:rsid w:val="002147BF"/>
    <w:rsid w:val="00214952"/>
    <w:rsid w:val="00214A22"/>
    <w:rsid w:val="002153A1"/>
    <w:rsid w:val="002153DF"/>
    <w:rsid w:val="0021540F"/>
    <w:rsid w:val="0022049C"/>
    <w:rsid w:val="00220B9F"/>
    <w:rsid w:val="00220E8F"/>
    <w:rsid w:val="002226B2"/>
    <w:rsid w:val="0022384E"/>
    <w:rsid w:val="00223DE9"/>
    <w:rsid w:val="00223EAC"/>
    <w:rsid w:val="00224FFB"/>
    <w:rsid w:val="00226426"/>
    <w:rsid w:val="00227072"/>
    <w:rsid w:val="002302AA"/>
    <w:rsid w:val="00231D07"/>
    <w:rsid w:val="00231DD7"/>
    <w:rsid w:val="00231E0C"/>
    <w:rsid w:val="0023212A"/>
    <w:rsid w:val="00232684"/>
    <w:rsid w:val="00233A4C"/>
    <w:rsid w:val="00234277"/>
    <w:rsid w:val="002346C6"/>
    <w:rsid w:val="002366D6"/>
    <w:rsid w:val="002406C3"/>
    <w:rsid w:val="00240D61"/>
    <w:rsid w:val="002426CD"/>
    <w:rsid w:val="00243368"/>
    <w:rsid w:val="002435DD"/>
    <w:rsid w:val="002448C4"/>
    <w:rsid w:val="00245F9E"/>
    <w:rsid w:val="00246E15"/>
    <w:rsid w:val="002472C2"/>
    <w:rsid w:val="00247391"/>
    <w:rsid w:val="00250CEC"/>
    <w:rsid w:val="00250D4E"/>
    <w:rsid w:val="0025209A"/>
    <w:rsid w:val="00253189"/>
    <w:rsid w:val="00253635"/>
    <w:rsid w:val="00253E61"/>
    <w:rsid w:val="0025436B"/>
    <w:rsid w:val="002548E4"/>
    <w:rsid w:val="00254EA5"/>
    <w:rsid w:val="00254F0D"/>
    <w:rsid w:val="00255AE1"/>
    <w:rsid w:val="002562BD"/>
    <w:rsid w:val="00256853"/>
    <w:rsid w:val="002612FC"/>
    <w:rsid w:val="0026147F"/>
    <w:rsid w:val="00262351"/>
    <w:rsid w:val="002626F3"/>
    <w:rsid w:val="002627ED"/>
    <w:rsid w:val="00263758"/>
    <w:rsid w:val="002637A3"/>
    <w:rsid w:val="00264CBA"/>
    <w:rsid w:val="0026506E"/>
    <w:rsid w:val="00265F19"/>
    <w:rsid w:val="00266F25"/>
    <w:rsid w:val="00267454"/>
    <w:rsid w:val="00267CD9"/>
    <w:rsid w:val="00271248"/>
    <w:rsid w:val="00271FD0"/>
    <w:rsid w:val="002721D3"/>
    <w:rsid w:val="00272B27"/>
    <w:rsid w:val="00272CF5"/>
    <w:rsid w:val="0027336E"/>
    <w:rsid w:val="002737CD"/>
    <w:rsid w:val="002746FA"/>
    <w:rsid w:val="0027768D"/>
    <w:rsid w:val="00277EF4"/>
    <w:rsid w:val="002802D4"/>
    <w:rsid w:val="002818F6"/>
    <w:rsid w:val="002831A2"/>
    <w:rsid w:val="00284894"/>
    <w:rsid w:val="002859E8"/>
    <w:rsid w:val="00287170"/>
    <w:rsid w:val="00293576"/>
    <w:rsid w:val="00294079"/>
    <w:rsid w:val="0029429D"/>
    <w:rsid w:val="00294BEB"/>
    <w:rsid w:val="00295E09"/>
    <w:rsid w:val="002960BE"/>
    <w:rsid w:val="00297670"/>
    <w:rsid w:val="00297E65"/>
    <w:rsid w:val="00297F0E"/>
    <w:rsid w:val="002A0B51"/>
    <w:rsid w:val="002A0D75"/>
    <w:rsid w:val="002A11BE"/>
    <w:rsid w:val="002A137E"/>
    <w:rsid w:val="002A3051"/>
    <w:rsid w:val="002A3141"/>
    <w:rsid w:val="002A3301"/>
    <w:rsid w:val="002A468E"/>
    <w:rsid w:val="002A4763"/>
    <w:rsid w:val="002A48A6"/>
    <w:rsid w:val="002A6359"/>
    <w:rsid w:val="002A66FC"/>
    <w:rsid w:val="002A794F"/>
    <w:rsid w:val="002B01CC"/>
    <w:rsid w:val="002B02BC"/>
    <w:rsid w:val="002B06F4"/>
    <w:rsid w:val="002B136E"/>
    <w:rsid w:val="002B1651"/>
    <w:rsid w:val="002B3473"/>
    <w:rsid w:val="002B49AA"/>
    <w:rsid w:val="002B6421"/>
    <w:rsid w:val="002C0876"/>
    <w:rsid w:val="002C0916"/>
    <w:rsid w:val="002C155C"/>
    <w:rsid w:val="002C17D1"/>
    <w:rsid w:val="002C18B3"/>
    <w:rsid w:val="002C223C"/>
    <w:rsid w:val="002C2AC8"/>
    <w:rsid w:val="002C2F0C"/>
    <w:rsid w:val="002C3FF8"/>
    <w:rsid w:val="002C42E3"/>
    <w:rsid w:val="002C48D4"/>
    <w:rsid w:val="002C4A02"/>
    <w:rsid w:val="002C4E78"/>
    <w:rsid w:val="002C5680"/>
    <w:rsid w:val="002C568F"/>
    <w:rsid w:val="002C635A"/>
    <w:rsid w:val="002D0B45"/>
    <w:rsid w:val="002D17C3"/>
    <w:rsid w:val="002D2073"/>
    <w:rsid w:val="002D25A8"/>
    <w:rsid w:val="002D33D0"/>
    <w:rsid w:val="002D3825"/>
    <w:rsid w:val="002D4BBC"/>
    <w:rsid w:val="002D55D8"/>
    <w:rsid w:val="002D5650"/>
    <w:rsid w:val="002D58EB"/>
    <w:rsid w:val="002D59B1"/>
    <w:rsid w:val="002D6427"/>
    <w:rsid w:val="002D7178"/>
    <w:rsid w:val="002E089F"/>
    <w:rsid w:val="002E098E"/>
    <w:rsid w:val="002E12D3"/>
    <w:rsid w:val="002E150C"/>
    <w:rsid w:val="002E1B22"/>
    <w:rsid w:val="002E1B80"/>
    <w:rsid w:val="002E1C2E"/>
    <w:rsid w:val="002E23C0"/>
    <w:rsid w:val="002E324A"/>
    <w:rsid w:val="002E3B8F"/>
    <w:rsid w:val="002E51D0"/>
    <w:rsid w:val="002E569B"/>
    <w:rsid w:val="002E5820"/>
    <w:rsid w:val="002E7ACC"/>
    <w:rsid w:val="002E7AE0"/>
    <w:rsid w:val="002F0A5C"/>
    <w:rsid w:val="002F1670"/>
    <w:rsid w:val="002F1FA6"/>
    <w:rsid w:val="002F27B9"/>
    <w:rsid w:val="002F3612"/>
    <w:rsid w:val="002F4180"/>
    <w:rsid w:val="002F4842"/>
    <w:rsid w:val="002F4FE6"/>
    <w:rsid w:val="002F525C"/>
    <w:rsid w:val="002F59E8"/>
    <w:rsid w:val="002F5A97"/>
    <w:rsid w:val="002F5ADB"/>
    <w:rsid w:val="002F5EF5"/>
    <w:rsid w:val="002F6479"/>
    <w:rsid w:val="002F666C"/>
    <w:rsid w:val="002F7064"/>
    <w:rsid w:val="002F7FF9"/>
    <w:rsid w:val="0030081C"/>
    <w:rsid w:val="003014CD"/>
    <w:rsid w:val="00301A04"/>
    <w:rsid w:val="00301B25"/>
    <w:rsid w:val="00301FBB"/>
    <w:rsid w:val="00302565"/>
    <w:rsid w:val="00303959"/>
    <w:rsid w:val="00303C5C"/>
    <w:rsid w:val="00303CD2"/>
    <w:rsid w:val="0030430D"/>
    <w:rsid w:val="00304446"/>
    <w:rsid w:val="00304604"/>
    <w:rsid w:val="003052CE"/>
    <w:rsid w:val="00305E34"/>
    <w:rsid w:val="003065D4"/>
    <w:rsid w:val="00307AAF"/>
    <w:rsid w:val="0031083B"/>
    <w:rsid w:val="00313698"/>
    <w:rsid w:val="00313D37"/>
    <w:rsid w:val="003147AB"/>
    <w:rsid w:val="00314D5C"/>
    <w:rsid w:val="00314F39"/>
    <w:rsid w:val="00315C43"/>
    <w:rsid w:val="00315EE2"/>
    <w:rsid w:val="00315FFC"/>
    <w:rsid w:val="00316ED6"/>
    <w:rsid w:val="00317C02"/>
    <w:rsid w:val="00317EE2"/>
    <w:rsid w:val="00320463"/>
    <w:rsid w:val="00320E1B"/>
    <w:rsid w:val="00320F23"/>
    <w:rsid w:val="003217C5"/>
    <w:rsid w:val="00321E36"/>
    <w:rsid w:val="003222AB"/>
    <w:rsid w:val="003237CC"/>
    <w:rsid w:val="0032494F"/>
    <w:rsid w:val="00324C8C"/>
    <w:rsid w:val="00324DDC"/>
    <w:rsid w:val="00324E37"/>
    <w:rsid w:val="0032667C"/>
    <w:rsid w:val="00326B67"/>
    <w:rsid w:val="00327493"/>
    <w:rsid w:val="003279E0"/>
    <w:rsid w:val="003279FF"/>
    <w:rsid w:val="00327A67"/>
    <w:rsid w:val="00330BD4"/>
    <w:rsid w:val="003311D7"/>
    <w:rsid w:val="003318DD"/>
    <w:rsid w:val="00332A6E"/>
    <w:rsid w:val="00332C5C"/>
    <w:rsid w:val="00332CC0"/>
    <w:rsid w:val="00332F0F"/>
    <w:rsid w:val="0033329B"/>
    <w:rsid w:val="00333564"/>
    <w:rsid w:val="003338FB"/>
    <w:rsid w:val="00333C66"/>
    <w:rsid w:val="00334347"/>
    <w:rsid w:val="00334402"/>
    <w:rsid w:val="0033629A"/>
    <w:rsid w:val="00337167"/>
    <w:rsid w:val="00337525"/>
    <w:rsid w:val="00340D02"/>
    <w:rsid w:val="0034124E"/>
    <w:rsid w:val="00341482"/>
    <w:rsid w:val="0034152A"/>
    <w:rsid w:val="00342112"/>
    <w:rsid w:val="00342237"/>
    <w:rsid w:val="00342267"/>
    <w:rsid w:val="0034231D"/>
    <w:rsid w:val="00344197"/>
    <w:rsid w:val="003446FC"/>
    <w:rsid w:val="00344F55"/>
    <w:rsid w:val="0034509B"/>
    <w:rsid w:val="00345495"/>
    <w:rsid w:val="003463AF"/>
    <w:rsid w:val="00346553"/>
    <w:rsid w:val="003466F7"/>
    <w:rsid w:val="00346843"/>
    <w:rsid w:val="003477F4"/>
    <w:rsid w:val="003479F6"/>
    <w:rsid w:val="00350483"/>
    <w:rsid w:val="0035274B"/>
    <w:rsid w:val="00352A2A"/>
    <w:rsid w:val="00352E34"/>
    <w:rsid w:val="00354742"/>
    <w:rsid w:val="0035474A"/>
    <w:rsid w:val="00354A9E"/>
    <w:rsid w:val="00354D2A"/>
    <w:rsid w:val="003551F9"/>
    <w:rsid w:val="0035541A"/>
    <w:rsid w:val="00355DB1"/>
    <w:rsid w:val="00356CEA"/>
    <w:rsid w:val="00356FF7"/>
    <w:rsid w:val="003576C5"/>
    <w:rsid w:val="00357F86"/>
    <w:rsid w:val="003609D1"/>
    <w:rsid w:val="00360ED7"/>
    <w:rsid w:val="00362921"/>
    <w:rsid w:val="00362A53"/>
    <w:rsid w:val="00363953"/>
    <w:rsid w:val="00364BE7"/>
    <w:rsid w:val="00364E1D"/>
    <w:rsid w:val="003657A5"/>
    <w:rsid w:val="00365835"/>
    <w:rsid w:val="00366216"/>
    <w:rsid w:val="00366CE1"/>
    <w:rsid w:val="00367389"/>
    <w:rsid w:val="003676AC"/>
    <w:rsid w:val="00367B3C"/>
    <w:rsid w:val="0037175A"/>
    <w:rsid w:val="003727F2"/>
    <w:rsid w:val="003746C4"/>
    <w:rsid w:val="0037618C"/>
    <w:rsid w:val="0037779B"/>
    <w:rsid w:val="003777E1"/>
    <w:rsid w:val="003806F5"/>
    <w:rsid w:val="00382846"/>
    <w:rsid w:val="003833D1"/>
    <w:rsid w:val="0038349F"/>
    <w:rsid w:val="003835FC"/>
    <w:rsid w:val="00383F12"/>
    <w:rsid w:val="00384671"/>
    <w:rsid w:val="00384815"/>
    <w:rsid w:val="0038592E"/>
    <w:rsid w:val="00385D41"/>
    <w:rsid w:val="00386C6C"/>
    <w:rsid w:val="00391169"/>
    <w:rsid w:val="003919C1"/>
    <w:rsid w:val="003920AA"/>
    <w:rsid w:val="00395BFC"/>
    <w:rsid w:val="003961C8"/>
    <w:rsid w:val="00396A8C"/>
    <w:rsid w:val="00396B69"/>
    <w:rsid w:val="003972D7"/>
    <w:rsid w:val="00397712"/>
    <w:rsid w:val="003A0C0D"/>
    <w:rsid w:val="003A0C26"/>
    <w:rsid w:val="003A13C9"/>
    <w:rsid w:val="003A1656"/>
    <w:rsid w:val="003A2923"/>
    <w:rsid w:val="003A39F3"/>
    <w:rsid w:val="003A716A"/>
    <w:rsid w:val="003A7312"/>
    <w:rsid w:val="003A78C6"/>
    <w:rsid w:val="003B0338"/>
    <w:rsid w:val="003B0997"/>
    <w:rsid w:val="003B136B"/>
    <w:rsid w:val="003B13DA"/>
    <w:rsid w:val="003B1908"/>
    <w:rsid w:val="003B28CE"/>
    <w:rsid w:val="003B294C"/>
    <w:rsid w:val="003B3529"/>
    <w:rsid w:val="003B3C28"/>
    <w:rsid w:val="003B4BAF"/>
    <w:rsid w:val="003B62A0"/>
    <w:rsid w:val="003B6973"/>
    <w:rsid w:val="003B7CF1"/>
    <w:rsid w:val="003C130A"/>
    <w:rsid w:val="003C26A3"/>
    <w:rsid w:val="003C29EF"/>
    <w:rsid w:val="003C2BB8"/>
    <w:rsid w:val="003C30F5"/>
    <w:rsid w:val="003C3F35"/>
    <w:rsid w:val="003C44E8"/>
    <w:rsid w:val="003C4629"/>
    <w:rsid w:val="003C46A5"/>
    <w:rsid w:val="003C4A12"/>
    <w:rsid w:val="003C57C2"/>
    <w:rsid w:val="003D0EF5"/>
    <w:rsid w:val="003D215C"/>
    <w:rsid w:val="003D2266"/>
    <w:rsid w:val="003D2670"/>
    <w:rsid w:val="003D3B63"/>
    <w:rsid w:val="003D54EA"/>
    <w:rsid w:val="003D6929"/>
    <w:rsid w:val="003D6DC6"/>
    <w:rsid w:val="003D76FC"/>
    <w:rsid w:val="003D7DFA"/>
    <w:rsid w:val="003E1399"/>
    <w:rsid w:val="003E13DF"/>
    <w:rsid w:val="003E21B3"/>
    <w:rsid w:val="003E23A7"/>
    <w:rsid w:val="003E25DF"/>
    <w:rsid w:val="003E2E9A"/>
    <w:rsid w:val="003E4809"/>
    <w:rsid w:val="003E4B30"/>
    <w:rsid w:val="003E5E87"/>
    <w:rsid w:val="003E77E0"/>
    <w:rsid w:val="003E790A"/>
    <w:rsid w:val="003F0013"/>
    <w:rsid w:val="003F05F6"/>
    <w:rsid w:val="003F0696"/>
    <w:rsid w:val="003F09CC"/>
    <w:rsid w:val="003F1DF0"/>
    <w:rsid w:val="003F20E7"/>
    <w:rsid w:val="003F2506"/>
    <w:rsid w:val="003F2A0B"/>
    <w:rsid w:val="003F31B4"/>
    <w:rsid w:val="003F33F0"/>
    <w:rsid w:val="003F3C2C"/>
    <w:rsid w:val="003F3D45"/>
    <w:rsid w:val="003F400D"/>
    <w:rsid w:val="003F43C0"/>
    <w:rsid w:val="003F4A3E"/>
    <w:rsid w:val="003F4CD6"/>
    <w:rsid w:val="003F5A63"/>
    <w:rsid w:val="003F6C06"/>
    <w:rsid w:val="003F710C"/>
    <w:rsid w:val="003F77E7"/>
    <w:rsid w:val="0040085A"/>
    <w:rsid w:val="0040131B"/>
    <w:rsid w:val="00401388"/>
    <w:rsid w:val="0040150C"/>
    <w:rsid w:val="004021F4"/>
    <w:rsid w:val="00402627"/>
    <w:rsid w:val="00403BCF"/>
    <w:rsid w:val="00404F9A"/>
    <w:rsid w:val="004056C6"/>
    <w:rsid w:val="00406D9B"/>
    <w:rsid w:val="00406FCB"/>
    <w:rsid w:val="00407506"/>
    <w:rsid w:val="00407939"/>
    <w:rsid w:val="004079FF"/>
    <w:rsid w:val="00407A41"/>
    <w:rsid w:val="00407DE5"/>
    <w:rsid w:val="00407ECB"/>
    <w:rsid w:val="004102EF"/>
    <w:rsid w:val="00412272"/>
    <w:rsid w:val="00414BB7"/>
    <w:rsid w:val="00414E9B"/>
    <w:rsid w:val="00417B20"/>
    <w:rsid w:val="00417EA9"/>
    <w:rsid w:val="0042005B"/>
    <w:rsid w:val="0042011B"/>
    <w:rsid w:val="004205FA"/>
    <w:rsid w:val="004208A3"/>
    <w:rsid w:val="00420F7A"/>
    <w:rsid w:val="0042187E"/>
    <w:rsid w:val="004218ED"/>
    <w:rsid w:val="004225FE"/>
    <w:rsid w:val="00423254"/>
    <w:rsid w:val="0042362B"/>
    <w:rsid w:val="00424AF1"/>
    <w:rsid w:val="0042659C"/>
    <w:rsid w:val="00426837"/>
    <w:rsid w:val="00426C28"/>
    <w:rsid w:val="004278F6"/>
    <w:rsid w:val="00427BBC"/>
    <w:rsid w:val="00430062"/>
    <w:rsid w:val="00430434"/>
    <w:rsid w:val="004305D2"/>
    <w:rsid w:val="00430A86"/>
    <w:rsid w:val="00431B40"/>
    <w:rsid w:val="004321FA"/>
    <w:rsid w:val="00432F0C"/>
    <w:rsid w:val="00433560"/>
    <w:rsid w:val="00434892"/>
    <w:rsid w:val="00434D98"/>
    <w:rsid w:val="00435D9A"/>
    <w:rsid w:val="00436A76"/>
    <w:rsid w:val="00440C06"/>
    <w:rsid w:val="00442A8F"/>
    <w:rsid w:val="004441D7"/>
    <w:rsid w:val="004442FC"/>
    <w:rsid w:val="004450ED"/>
    <w:rsid w:val="0044569B"/>
    <w:rsid w:val="00445DA0"/>
    <w:rsid w:val="00446833"/>
    <w:rsid w:val="004470D5"/>
    <w:rsid w:val="00447DD1"/>
    <w:rsid w:val="004523E3"/>
    <w:rsid w:val="00454038"/>
    <w:rsid w:val="00455B68"/>
    <w:rsid w:val="00456BE8"/>
    <w:rsid w:val="00457172"/>
    <w:rsid w:val="004579B7"/>
    <w:rsid w:val="004579CD"/>
    <w:rsid w:val="00460024"/>
    <w:rsid w:val="00460D59"/>
    <w:rsid w:val="004611D6"/>
    <w:rsid w:val="0046178B"/>
    <w:rsid w:val="00463502"/>
    <w:rsid w:val="00463DC9"/>
    <w:rsid w:val="00464224"/>
    <w:rsid w:val="0046483F"/>
    <w:rsid w:val="00464C72"/>
    <w:rsid w:val="00466D89"/>
    <w:rsid w:val="004672EE"/>
    <w:rsid w:val="00467D0C"/>
    <w:rsid w:val="00467DE8"/>
    <w:rsid w:val="004715EF"/>
    <w:rsid w:val="0047242B"/>
    <w:rsid w:val="00472B4E"/>
    <w:rsid w:val="00473164"/>
    <w:rsid w:val="00473F82"/>
    <w:rsid w:val="00474898"/>
    <w:rsid w:val="00475639"/>
    <w:rsid w:val="00476ADB"/>
    <w:rsid w:val="004777DF"/>
    <w:rsid w:val="004778B5"/>
    <w:rsid w:val="00477A99"/>
    <w:rsid w:val="00477D7A"/>
    <w:rsid w:val="00480FEE"/>
    <w:rsid w:val="0048178E"/>
    <w:rsid w:val="00481AAC"/>
    <w:rsid w:val="004869BF"/>
    <w:rsid w:val="004874B0"/>
    <w:rsid w:val="004878C2"/>
    <w:rsid w:val="004906F7"/>
    <w:rsid w:val="00491CA5"/>
    <w:rsid w:val="0049231A"/>
    <w:rsid w:val="00492BC9"/>
    <w:rsid w:val="00492FFD"/>
    <w:rsid w:val="0049384C"/>
    <w:rsid w:val="004939A5"/>
    <w:rsid w:val="00494A03"/>
    <w:rsid w:val="00494A4B"/>
    <w:rsid w:val="0049513E"/>
    <w:rsid w:val="004951B2"/>
    <w:rsid w:val="00496A5C"/>
    <w:rsid w:val="00496E3F"/>
    <w:rsid w:val="004A01DA"/>
    <w:rsid w:val="004A045B"/>
    <w:rsid w:val="004A0ECC"/>
    <w:rsid w:val="004A1F11"/>
    <w:rsid w:val="004A21B9"/>
    <w:rsid w:val="004A24D3"/>
    <w:rsid w:val="004A2D10"/>
    <w:rsid w:val="004A307A"/>
    <w:rsid w:val="004A30CB"/>
    <w:rsid w:val="004A380F"/>
    <w:rsid w:val="004A38BE"/>
    <w:rsid w:val="004A56CF"/>
    <w:rsid w:val="004A6116"/>
    <w:rsid w:val="004A6AAE"/>
    <w:rsid w:val="004A727A"/>
    <w:rsid w:val="004A7933"/>
    <w:rsid w:val="004A7966"/>
    <w:rsid w:val="004B0245"/>
    <w:rsid w:val="004B024B"/>
    <w:rsid w:val="004B1046"/>
    <w:rsid w:val="004B1534"/>
    <w:rsid w:val="004B280F"/>
    <w:rsid w:val="004B2D62"/>
    <w:rsid w:val="004B2DED"/>
    <w:rsid w:val="004B2F4C"/>
    <w:rsid w:val="004B3FC7"/>
    <w:rsid w:val="004B4CB7"/>
    <w:rsid w:val="004B5F73"/>
    <w:rsid w:val="004B6975"/>
    <w:rsid w:val="004B6B65"/>
    <w:rsid w:val="004B71B9"/>
    <w:rsid w:val="004B7AD3"/>
    <w:rsid w:val="004B7B89"/>
    <w:rsid w:val="004C180F"/>
    <w:rsid w:val="004C26FD"/>
    <w:rsid w:val="004C3871"/>
    <w:rsid w:val="004C3A56"/>
    <w:rsid w:val="004C3F4D"/>
    <w:rsid w:val="004C4CF3"/>
    <w:rsid w:val="004C518F"/>
    <w:rsid w:val="004C5727"/>
    <w:rsid w:val="004D0899"/>
    <w:rsid w:val="004D1965"/>
    <w:rsid w:val="004D296B"/>
    <w:rsid w:val="004D3054"/>
    <w:rsid w:val="004D4EBD"/>
    <w:rsid w:val="004D588B"/>
    <w:rsid w:val="004D666C"/>
    <w:rsid w:val="004D70EE"/>
    <w:rsid w:val="004D7945"/>
    <w:rsid w:val="004E0BB8"/>
    <w:rsid w:val="004E0DE9"/>
    <w:rsid w:val="004E2C2C"/>
    <w:rsid w:val="004E311B"/>
    <w:rsid w:val="004E3B27"/>
    <w:rsid w:val="004E3B5B"/>
    <w:rsid w:val="004E3B67"/>
    <w:rsid w:val="004E3F42"/>
    <w:rsid w:val="004E49FD"/>
    <w:rsid w:val="004E4B50"/>
    <w:rsid w:val="004E4DAD"/>
    <w:rsid w:val="004E4E9E"/>
    <w:rsid w:val="004E6D78"/>
    <w:rsid w:val="004E7282"/>
    <w:rsid w:val="004E74FD"/>
    <w:rsid w:val="004F0B1B"/>
    <w:rsid w:val="004F0D18"/>
    <w:rsid w:val="004F1D24"/>
    <w:rsid w:val="004F3880"/>
    <w:rsid w:val="004F3A3F"/>
    <w:rsid w:val="004F4122"/>
    <w:rsid w:val="004F41ED"/>
    <w:rsid w:val="004F458C"/>
    <w:rsid w:val="004F6848"/>
    <w:rsid w:val="004F68D3"/>
    <w:rsid w:val="004F6914"/>
    <w:rsid w:val="004F7C24"/>
    <w:rsid w:val="005013C1"/>
    <w:rsid w:val="00501431"/>
    <w:rsid w:val="00503197"/>
    <w:rsid w:val="005054BC"/>
    <w:rsid w:val="00505FF0"/>
    <w:rsid w:val="00506142"/>
    <w:rsid w:val="0050708B"/>
    <w:rsid w:val="00507696"/>
    <w:rsid w:val="00507F91"/>
    <w:rsid w:val="005112B9"/>
    <w:rsid w:val="00512313"/>
    <w:rsid w:val="00512653"/>
    <w:rsid w:val="0051290A"/>
    <w:rsid w:val="005133A0"/>
    <w:rsid w:val="005134B3"/>
    <w:rsid w:val="005137D0"/>
    <w:rsid w:val="00513C7F"/>
    <w:rsid w:val="00514D18"/>
    <w:rsid w:val="005160FD"/>
    <w:rsid w:val="00516546"/>
    <w:rsid w:val="00517261"/>
    <w:rsid w:val="005174EC"/>
    <w:rsid w:val="00517C54"/>
    <w:rsid w:val="00520049"/>
    <w:rsid w:val="005203F0"/>
    <w:rsid w:val="005207D5"/>
    <w:rsid w:val="0052094C"/>
    <w:rsid w:val="00520DDC"/>
    <w:rsid w:val="005210F1"/>
    <w:rsid w:val="00521368"/>
    <w:rsid w:val="00521EF9"/>
    <w:rsid w:val="00522331"/>
    <w:rsid w:val="00522B08"/>
    <w:rsid w:val="00522E91"/>
    <w:rsid w:val="00523157"/>
    <w:rsid w:val="005238B5"/>
    <w:rsid w:val="00523E61"/>
    <w:rsid w:val="00524581"/>
    <w:rsid w:val="00524808"/>
    <w:rsid w:val="00524B9F"/>
    <w:rsid w:val="00525170"/>
    <w:rsid w:val="00525BA8"/>
    <w:rsid w:val="00526200"/>
    <w:rsid w:val="00527780"/>
    <w:rsid w:val="00527C21"/>
    <w:rsid w:val="00530A61"/>
    <w:rsid w:val="00531D28"/>
    <w:rsid w:val="005330AA"/>
    <w:rsid w:val="00533A54"/>
    <w:rsid w:val="00533B02"/>
    <w:rsid w:val="00534AFD"/>
    <w:rsid w:val="00535072"/>
    <w:rsid w:val="0053558F"/>
    <w:rsid w:val="005363B2"/>
    <w:rsid w:val="005375BC"/>
    <w:rsid w:val="00540CAB"/>
    <w:rsid w:val="00541870"/>
    <w:rsid w:val="00541A7A"/>
    <w:rsid w:val="00541EFE"/>
    <w:rsid w:val="00542A17"/>
    <w:rsid w:val="00542B99"/>
    <w:rsid w:val="00542C8D"/>
    <w:rsid w:val="00543140"/>
    <w:rsid w:val="00543F3A"/>
    <w:rsid w:val="005441A9"/>
    <w:rsid w:val="00544908"/>
    <w:rsid w:val="00544BA2"/>
    <w:rsid w:val="0054566A"/>
    <w:rsid w:val="005462D7"/>
    <w:rsid w:val="00546730"/>
    <w:rsid w:val="00547454"/>
    <w:rsid w:val="00550BBE"/>
    <w:rsid w:val="00552E0C"/>
    <w:rsid w:val="005546DF"/>
    <w:rsid w:val="00554A91"/>
    <w:rsid w:val="005552C0"/>
    <w:rsid w:val="0055560A"/>
    <w:rsid w:val="00555D8F"/>
    <w:rsid w:val="00555EFC"/>
    <w:rsid w:val="00556134"/>
    <w:rsid w:val="00556379"/>
    <w:rsid w:val="005564D4"/>
    <w:rsid w:val="00556959"/>
    <w:rsid w:val="00556F33"/>
    <w:rsid w:val="005579D9"/>
    <w:rsid w:val="00560242"/>
    <w:rsid w:val="00560DCF"/>
    <w:rsid w:val="00561162"/>
    <w:rsid w:val="00561716"/>
    <w:rsid w:val="00561924"/>
    <w:rsid w:val="0056449D"/>
    <w:rsid w:val="00564E87"/>
    <w:rsid w:val="00570EAD"/>
    <w:rsid w:val="00571829"/>
    <w:rsid w:val="005718F0"/>
    <w:rsid w:val="00571B8D"/>
    <w:rsid w:val="00571DF8"/>
    <w:rsid w:val="00571E1F"/>
    <w:rsid w:val="0057223C"/>
    <w:rsid w:val="00572280"/>
    <w:rsid w:val="00572388"/>
    <w:rsid w:val="00572840"/>
    <w:rsid w:val="00572B62"/>
    <w:rsid w:val="00572D28"/>
    <w:rsid w:val="00572F18"/>
    <w:rsid w:val="00573D63"/>
    <w:rsid w:val="00574A45"/>
    <w:rsid w:val="0057736D"/>
    <w:rsid w:val="00577F98"/>
    <w:rsid w:val="00581462"/>
    <w:rsid w:val="005820AC"/>
    <w:rsid w:val="00582296"/>
    <w:rsid w:val="00582535"/>
    <w:rsid w:val="005830FC"/>
    <w:rsid w:val="005834D2"/>
    <w:rsid w:val="005849E0"/>
    <w:rsid w:val="005855D6"/>
    <w:rsid w:val="005903CC"/>
    <w:rsid w:val="005908A7"/>
    <w:rsid w:val="005914FA"/>
    <w:rsid w:val="0059234D"/>
    <w:rsid w:val="00592671"/>
    <w:rsid w:val="005929BE"/>
    <w:rsid w:val="0059525C"/>
    <w:rsid w:val="0059547D"/>
    <w:rsid w:val="00596C21"/>
    <w:rsid w:val="00596E43"/>
    <w:rsid w:val="00597359"/>
    <w:rsid w:val="005A0259"/>
    <w:rsid w:val="005A11D6"/>
    <w:rsid w:val="005A1282"/>
    <w:rsid w:val="005A19FD"/>
    <w:rsid w:val="005A24B2"/>
    <w:rsid w:val="005A27FA"/>
    <w:rsid w:val="005A30AC"/>
    <w:rsid w:val="005A31A7"/>
    <w:rsid w:val="005A440A"/>
    <w:rsid w:val="005A4B52"/>
    <w:rsid w:val="005A5109"/>
    <w:rsid w:val="005A5A6F"/>
    <w:rsid w:val="005B0849"/>
    <w:rsid w:val="005B0B51"/>
    <w:rsid w:val="005B220E"/>
    <w:rsid w:val="005B275D"/>
    <w:rsid w:val="005B307A"/>
    <w:rsid w:val="005B438A"/>
    <w:rsid w:val="005B4B73"/>
    <w:rsid w:val="005B55D1"/>
    <w:rsid w:val="005B5C85"/>
    <w:rsid w:val="005B67C3"/>
    <w:rsid w:val="005B74E0"/>
    <w:rsid w:val="005C0C7D"/>
    <w:rsid w:val="005C1CFA"/>
    <w:rsid w:val="005C1E65"/>
    <w:rsid w:val="005C3219"/>
    <w:rsid w:val="005C3717"/>
    <w:rsid w:val="005C522C"/>
    <w:rsid w:val="005C5489"/>
    <w:rsid w:val="005C600A"/>
    <w:rsid w:val="005C7B98"/>
    <w:rsid w:val="005D0E6B"/>
    <w:rsid w:val="005D1724"/>
    <w:rsid w:val="005D2659"/>
    <w:rsid w:val="005D37F1"/>
    <w:rsid w:val="005D404D"/>
    <w:rsid w:val="005D4931"/>
    <w:rsid w:val="005D53D7"/>
    <w:rsid w:val="005D7C4D"/>
    <w:rsid w:val="005E01AF"/>
    <w:rsid w:val="005E05D9"/>
    <w:rsid w:val="005E1345"/>
    <w:rsid w:val="005E1A36"/>
    <w:rsid w:val="005E1D0A"/>
    <w:rsid w:val="005E2B7E"/>
    <w:rsid w:val="005E3351"/>
    <w:rsid w:val="005E3505"/>
    <w:rsid w:val="005E4F08"/>
    <w:rsid w:val="005E693A"/>
    <w:rsid w:val="005E6BD6"/>
    <w:rsid w:val="005E7264"/>
    <w:rsid w:val="005E7364"/>
    <w:rsid w:val="005E753D"/>
    <w:rsid w:val="005F1088"/>
    <w:rsid w:val="005F28A9"/>
    <w:rsid w:val="005F4670"/>
    <w:rsid w:val="005F5BC6"/>
    <w:rsid w:val="005F5F31"/>
    <w:rsid w:val="005F6753"/>
    <w:rsid w:val="005F6869"/>
    <w:rsid w:val="005F7271"/>
    <w:rsid w:val="005F73DE"/>
    <w:rsid w:val="00600156"/>
    <w:rsid w:val="00600F17"/>
    <w:rsid w:val="00601861"/>
    <w:rsid w:val="00601E27"/>
    <w:rsid w:val="00602D3B"/>
    <w:rsid w:val="00602E62"/>
    <w:rsid w:val="006044B5"/>
    <w:rsid w:val="00604B68"/>
    <w:rsid w:val="00604F39"/>
    <w:rsid w:val="006060BF"/>
    <w:rsid w:val="00606CC7"/>
    <w:rsid w:val="00607001"/>
    <w:rsid w:val="006079B1"/>
    <w:rsid w:val="006110B4"/>
    <w:rsid w:val="00612821"/>
    <w:rsid w:val="00612EBA"/>
    <w:rsid w:val="006132BD"/>
    <w:rsid w:val="00613A8E"/>
    <w:rsid w:val="00614908"/>
    <w:rsid w:val="00614E67"/>
    <w:rsid w:val="00614EAF"/>
    <w:rsid w:val="00615689"/>
    <w:rsid w:val="00615C17"/>
    <w:rsid w:val="0061600A"/>
    <w:rsid w:val="00616844"/>
    <w:rsid w:val="00617440"/>
    <w:rsid w:val="00617E0C"/>
    <w:rsid w:val="006203BB"/>
    <w:rsid w:val="0062192A"/>
    <w:rsid w:val="006226A4"/>
    <w:rsid w:val="00622832"/>
    <w:rsid w:val="00623133"/>
    <w:rsid w:val="006231A1"/>
    <w:rsid w:val="00624799"/>
    <w:rsid w:val="00625395"/>
    <w:rsid w:val="006262DF"/>
    <w:rsid w:val="00626BFF"/>
    <w:rsid w:val="00627000"/>
    <w:rsid w:val="0062708B"/>
    <w:rsid w:val="006279AD"/>
    <w:rsid w:val="00631180"/>
    <w:rsid w:val="006313E1"/>
    <w:rsid w:val="0063143A"/>
    <w:rsid w:val="00631B17"/>
    <w:rsid w:val="00632BCB"/>
    <w:rsid w:val="00633012"/>
    <w:rsid w:val="00633888"/>
    <w:rsid w:val="00633DCC"/>
    <w:rsid w:val="0063636E"/>
    <w:rsid w:val="00636406"/>
    <w:rsid w:val="006367FE"/>
    <w:rsid w:val="006368DF"/>
    <w:rsid w:val="00636CDE"/>
    <w:rsid w:val="006370FC"/>
    <w:rsid w:val="00637E44"/>
    <w:rsid w:val="0064145E"/>
    <w:rsid w:val="00641995"/>
    <w:rsid w:val="0064242C"/>
    <w:rsid w:val="00642DC7"/>
    <w:rsid w:val="00643632"/>
    <w:rsid w:val="00644F37"/>
    <w:rsid w:val="0065013F"/>
    <w:rsid w:val="006514E1"/>
    <w:rsid w:val="006515A3"/>
    <w:rsid w:val="00651A91"/>
    <w:rsid w:val="006520AF"/>
    <w:rsid w:val="006526F2"/>
    <w:rsid w:val="006538AB"/>
    <w:rsid w:val="00653988"/>
    <w:rsid w:val="00655147"/>
    <w:rsid w:val="006552C6"/>
    <w:rsid w:val="0065538A"/>
    <w:rsid w:val="00656356"/>
    <w:rsid w:val="00656C67"/>
    <w:rsid w:val="0066228D"/>
    <w:rsid w:val="00663A70"/>
    <w:rsid w:val="00664F37"/>
    <w:rsid w:val="006653E4"/>
    <w:rsid w:val="00665BA7"/>
    <w:rsid w:val="00665C21"/>
    <w:rsid w:val="00666B57"/>
    <w:rsid w:val="006670C4"/>
    <w:rsid w:val="00670676"/>
    <w:rsid w:val="00670C1F"/>
    <w:rsid w:val="006717B6"/>
    <w:rsid w:val="006725C0"/>
    <w:rsid w:val="006727E5"/>
    <w:rsid w:val="00672DE2"/>
    <w:rsid w:val="00673263"/>
    <w:rsid w:val="006735CC"/>
    <w:rsid w:val="00673C6B"/>
    <w:rsid w:val="00673DD9"/>
    <w:rsid w:val="00674326"/>
    <w:rsid w:val="00674D63"/>
    <w:rsid w:val="0067507E"/>
    <w:rsid w:val="00675A6E"/>
    <w:rsid w:val="00676BF8"/>
    <w:rsid w:val="00676C7E"/>
    <w:rsid w:val="00676DDA"/>
    <w:rsid w:val="00676E6F"/>
    <w:rsid w:val="006776ED"/>
    <w:rsid w:val="0067779C"/>
    <w:rsid w:val="00680132"/>
    <w:rsid w:val="00681178"/>
    <w:rsid w:val="00681813"/>
    <w:rsid w:val="00682870"/>
    <w:rsid w:val="006838E0"/>
    <w:rsid w:val="00685CED"/>
    <w:rsid w:val="0068650A"/>
    <w:rsid w:val="00687297"/>
    <w:rsid w:val="00687928"/>
    <w:rsid w:val="006904B5"/>
    <w:rsid w:val="00690D6C"/>
    <w:rsid w:val="006921FE"/>
    <w:rsid w:val="00692B6D"/>
    <w:rsid w:val="00696CFE"/>
    <w:rsid w:val="006A0504"/>
    <w:rsid w:val="006A0811"/>
    <w:rsid w:val="006A0831"/>
    <w:rsid w:val="006A1162"/>
    <w:rsid w:val="006A1F5F"/>
    <w:rsid w:val="006A2A5D"/>
    <w:rsid w:val="006A2C2C"/>
    <w:rsid w:val="006A3639"/>
    <w:rsid w:val="006A38EE"/>
    <w:rsid w:val="006A5046"/>
    <w:rsid w:val="006A51F8"/>
    <w:rsid w:val="006A5235"/>
    <w:rsid w:val="006A6570"/>
    <w:rsid w:val="006A6A6D"/>
    <w:rsid w:val="006A6F11"/>
    <w:rsid w:val="006B0BF1"/>
    <w:rsid w:val="006B13C6"/>
    <w:rsid w:val="006B1450"/>
    <w:rsid w:val="006B1E41"/>
    <w:rsid w:val="006B2642"/>
    <w:rsid w:val="006B27D8"/>
    <w:rsid w:val="006B28D5"/>
    <w:rsid w:val="006B3841"/>
    <w:rsid w:val="006B3C70"/>
    <w:rsid w:val="006B3FAD"/>
    <w:rsid w:val="006B5A58"/>
    <w:rsid w:val="006B5BCB"/>
    <w:rsid w:val="006B63EF"/>
    <w:rsid w:val="006B7D66"/>
    <w:rsid w:val="006B7DCF"/>
    <w:rsid w:val="006C064E"/>
    <w:rsid w:val="006C070A"/>
    <w:rsid w:val="006C1199"/>
    <w:rsid w:val="006C1B6A"/>
    <w:rsid w:val="006C21E8"/>
    <w:rsid w:val="006C26D2"/>
    <w:rsid w:val="006C4ADF"/>
    <w:rsid w:val="006C53AD"/>
    <w:rsid w:val="006C596A"/>
    <w:rsid w:val="006C5A4E"/>
    <w:rsid w:val="006C64B6"/>
    <w:rsid w:val="006C669D"/>
    <w:rsid w:val="006C73B7"/>
    <w:rsid w:val="006D0771"/>
    <w:rsid w:val="006D21D1"/>
    <w:rsid w:val="006D23E7"/>
    <w:rsid w:val="006D2B9F"/>
    <w:rsid w:val="006D306A"/>
    <w:rsid w:val="006D3415"/>
    <w:rsid w:val="006D4497"/>
    <w:rsid w:val="006D4C01"/>
    <w:rsid w:val="006D4CA4"/>
    <w:rsid w:val="006D544E"/>
    <w:rsid w:val="006D7CA7"/>
    <w:rsid w:val="006E05A8"/>
    <w:rsid w:val="006E1C8C"/>
    <w:rsid w:val="006E20ED"/>
    <w:rsid w:val="006E378D"/>
    <w:rsid w:val="006E43A8"/>
    <w:rsid w:val="006E4648"/>
    <w:rsid w:val="006E47CD"/>
    <w:rsid w:val="006E4BB3"/>
    <w:rsid w:val="006E5077"/>
    <w:rsid w:val="006E55FB"/>
    <w:rsid w:val="006E7268"/>
    <w:rsid w:val="006F03DF"/>
    <w:rsid w:val="006F0B50"/>
    <w:rsid w:val="006F2731"/>
    <w:rsid w:val="006F2AB8"/>
    <w:rsid w:val="006F3448"/>
    <w:rsid w:val="006F41DB"/>
    <w:rsid w:val="006F5713"/>
    <w:rsid w:val="006F5E28"/>
    <w:rsid w:val="006F61EF"/>
    <w:rsid w:val="006F6774"/>
    <w:rsid w:val="00700420"/>
    <w:rsid w:val="00702313"/>
    <w:rsid w:val="00703154"/>
    <w:rsid w:val="007039BA"/>
    <w:rsid w:val="00703B1C"/>
    <w:rsid w:val="00704ADE"/>
    <w:rsid w:val="00704FB1"/>
    <w:rsid w:val="007055EE"/>
    <w:rsid w:val="007055FD"/>
    <w:rsid w:val="00705703"/>
    <w:rsid w:val="00706890"/>
    <w:rsid w:val="00706BA6"/>
    <w:rsid w:val="00711DD9"/>
    <w:rsid w:val="00711F5C"/>
    <w:rsid w:val="0071510E"/>
    <w:rsid w:val="007152D6"/>
    <w:rsid w:val="00715A5A"/>
    <w:rsid w:val="00715CF2"/>
    <w:rsid w:val="0071684D"/>
    <w:rsid w:val="007174C1"/>
    <w:rsid w:val="007207C0"/>
    <w:rsid w:val="00721D16"/>
    <w:rsid w:val="00721E94"/>
    <w:rsid w:val="00722F5E"/>
    <w:rsid w:val="00723326"/>
    <w:rsid w:val="00723474"/>
    <w:rsid w:val="00724134"/>
    <w:rsid w:val="00724169"/>
    <w:rsid w:val="00724F09"/>
    <w:rsid w:val="007251D5"/>
    <w:rsid w:val="0072737A"/>
    <w:rsid w:val="007274B8"/>
    <w:rsid w:val="00727924"/>
    <w:rsid w:val="00730005"/>
    <w:rsid w:val="00731626"/>
    <w:rsid w:val="00734659"/>
    <w:rsid w:val="007350EB"/>
    <w:rsid w:val="00735365"/>
    <w:rsid w:val="007356F5"/>
    <w:rsid w:val="00735BDD"/>
    <w:rsid w:val="00735E8B"/>
    <w:rsid w:val="00737B35"/>
    <w:rsid w:val="00740D2D"/>
    <w:rsid w:val="00742776"/>
    <w:rsid w:val="00742AE2"/>
    <w:rsid w:val="00742B6E"/>
    <w:rsid w:val="007450CB"/>
    <w:rsid w:val="0074574E"/>
    <w:rsid w:val="00745A0B"/>
    <w:rsid w:val="00745CF4"/>
    <w:rsid w:val="007474BB"/>
    <w:rsid w:val="0075118A"/>
    <w:rsid w:val="0075123D"/>
    <w:rsid w:val="00752125"/>
    <w:rsid w:val="00752227"/>
    <w:rsid w:val="007525A9"/>
    <w:rsid w:val="007539C5"/>
    <w:rsid w:val="00753B6C"/>
    <w:rsid w:val="007549C1"/>
    <w:rsid w:val="00757C7E"/>
    <w:rsid w:val="00760D88"/>
    <w:rsid w:val="00760EB0"/>
    <w:rsid w:val="00761044"/>
    <w:rsid w:val="00761123"/>
    <w:rsid w:val="0076171F"/>
    <w:rsid w:val="007617E0"/>
    <w:rsid w:val="00761DB7"/>
    <w:rsid w:val="00761E9A"/>
    <w:rsid w:val="00762147"/>
    <w:rsid w:val="007621D9"/>
    <w:rsid w:val="0076227F"/>
    <w:rsid w:val="00762AE3"/>
    <w:rsid w:val="00762BCC"/>
    <w:rsid w:val="007639F0"/>
    <w:rsid w:val="00764157"/>
    <w:rsid w:val="00764CBC"/>
    <w:rsid w:val="00764EF5"/>
    <w:rsid w:val="007652B3"/>
    <w:rsid w:val="007653F4"/>
    <w:rsid w:val="00767BD3"/>
    <w:rsid w:val="00770260"/>
    <w:rsid w:val="007711DC"/>
    <w:rsid w:val="00772101"/>
    <w:rsid w:val="007726E3"/>
    <w:rsid w:val="00772E8B"/>
    <w:rsid w:val="0077340D"/>
    <w:rsid w:val="007761AC"/>
    <w:rsid w:val="007776E4"/>
    <w:rsid w:val="00780320"/>
    <w:rsid w:val="00780933"/>
    <w:rsid w:val="007809DC"/>
    <w:rsid w:val="00780D75"/>
    <w:rsid w:val="007810F1"/>
    <w:rsid w:val="00782769"/>
    <w:rsid w:val="007829CC"/>
    <w:rsid w:val="00783717"/>
    <w:rsid w:val="00783741"/>
    <w:rsid w:val="007875DD"/>
    <w:rsid w:val="00791CF9"/>
    <w:rsid w:val="00791F96"/>
    <w:rsid w:val="0079323D"/>
    <w:rsid w:val="007942E5"/>
    <w:rsid w:val="0079513C"/>
    <w:rsid w:val="007951F4"/>
    <w:rsid w:val="0079588A"/>
    <w:rsid w:val="00795C81"/>
    <w:rsid w:val="00795F30"/>
    <w:rsid w:val="0079624B"/>
    <w:rsid w:val="00796832"/>
    <w:rsid w:val="007968AC"/>
    <w:rsid w:val="00796DEB"/>
    <w:rsid w:val="007A0AE8"/>
    <w:rsid w:val="007A1118"/>
    <w:rsid w:val="007A11CC"/>
    <w:rsid w:val="007A129D"/>
    <w:rsid w:val="007A1309"/>
    <w:rsid w:val="007A21AD"/>
    <w:rsid w:val="007A256C"/>
    <w:rsid w:val="007A260B"/>
    <w:rsid w:val="007A2B1A"/>
    <w:rsid w:val="007A41E0"/>
    <w:rsid w:val="007A4DA6"/>
    <w:rsid w:val="007A664C"/>
    <w:rsid w:val="007A67ED"/>
    <w:rsid w:val="007A68CD"/>
    <w:rsid w:val="007A76BD"/>
    <w:rsid w:val="007A7848"/>
    <w:rsid w:val="007B0B9E"/>
    <w:rsid w:val="007B0EC6"/>
    <w:rsid w:val="007B110C"/>
    <w:rsid w:val="007B2093"/>
    <w:rsid w:val="007B361E"/>
    <w:rsid w:val="007B368E"/>
    <w:rsid w:val="007B5418"/>
    <w:rsid w:val="007B6159"/>
    <w:rsid w:val="007B6477"/>
    <w:rsid w:val="007B65A1"/>
    <w:rsid w:val="007B65DB"/>
    <w:rsid w:val="007B7D5F"/>
    <w:rsid w:val="007C277D"/>
    <w:rsid w:val="007C2B9B"/>
    <w:rsid w:val="007C31D0"/>
    <w:rsid w:val="007C4A51"/>
    <w:rsid w:val="007C5061"/>
    <w:rsid w:val="007C5928"/>
    <w:rsid w:val="007C5DA1"/>
    <w:rsid w:val="007C6779"/>
    <w:rsid w:val="007C696B"/>
    <w:rsid w:val="007D1133"/>
    <w:rsid w:val="007D1D79"/>
    <w:rsid w:val="007D1EE7"/>
    <w:rsid w:val="007D2261"/>
    <w:rsid w:val="007D30FF"/>
    <w:rsid w:val="007D3F53"/>
    <w:rsid w:val="007D52C5"/>
    <w:rsid w:val="007D5A2D"/>
    <w:rsid w:val="007D6CA3"/>
    <w:rsid w:val="007D7188"/>
    <w:rsid w:val="007D7267"/>
    <w:rsid w:val="007D7B06"/>
    <w:rsid w:val="007E01CF"/>
    <w:rsid w:val="007E051D"/>
    <w:rsid w:val="007E07C0"/>
    <w:rsid w:val="007E186C"/>
    <w:rsid w:val="007E1901"/>
    <w:rsid w:val="007E1C88"/>
    <w:rsid w:val="007E1EB0"/>
    <w:rsid w:val="007E23F6"/>
    <w:rsid w:val="007E2B0A"/>
    <w:rsid w:val="007E36E5"/>
    <w:rsid w:val="007E385F"/>
    <w:rsid w:val="007E3E8A"/>
    <w:rsid w:val="007E41D4"/>
    <w:rsid w:val="007E45E7"/>
    <w:rsid w:val="007E4CBE"/>
    <w:rsid w:val="007E5B45"/>
    <w:rsid w:val="007E70D4"/>
    <w:rsid w:val="007E72F4"/>
    <w:rsid w:val="007E7388"/>
    <w:rsid w:val="007E77DB"/>
    <w:rsid w:val="007F11B6"/>
    <w:rsid w:val="007F1537"/>
    <w:rsid w:val="007F1B39"/>
    <w:rsid w:val="007F1BA6"/>
    <w:rsid w:val="007F2078"/>
    <w:rsid w:val="007F29B1"/>
    <w:rsid w:val="007F3810"/>
    <w:rsid w:val="007F3B3E"/>
    <w:rsid w:val="007F44C2"/>
    <w:rsid w:val="007F4BE3"/>
    <w:rsid w:val="007F5771"/>
    <w:rsid w:val="007F685C"/>
    <w:rsid w:val="007F6A0C"/>
    <w:rsid w:val="007F6FB6"/>
    <w:rsid w:val="00800AA9"/>
    <w:rsid w:val="00800E69"/>
    <w:rsid w:val="00801271"/>
    <w:rsid w:val="008014CB"/>
    <w:rsid w:val="008021BD"/>
    <w:rsid w:val="00802F8D"/>
    <w:rsid w:val="0080318A"/>
    <w:rsid w:val="00803461"/>
    <w:rsid w:val="00804181"/>
    <w:rsid w:val="008043ED"/>
    <w:rsid w:val="00804403"/>
    <w:rsid w:val="008058EC"/>
    <w:rsid w:val="008065BE"/>
    <w:rsid w:val="00807A67"/>
    <w:rsid w:val="00810B31"/>
    <w:rsid w:val="008111BE"/>
    <w:rsid w:val="008113CD"/>
    <w:rsid w:val="00811B48"/>
    <w:rsid w:val="00812823"/>
    <w:rsid w:val="00813E8C"/>
    <w:rsid w:val="008150C3"/>
    <w:rsid w:val="00816C46"/>
    <w:rsid w:val="00817990"/>
    <w:rsid w:val="00817B1E"/>
    <w:rsid w:val="00821882"/>
    <w:rsid w:val="00821903"/>
    <w:rsid w:val="00823926"/>
    <w:rsid w:val="00823DA3"/>
    <w:rsid w:val="008252A3"/>
    <w:rsid w:val="00825595"/>
    <w:rsid w:val="00825FFE"/>
    <w:rsid w:val="00826833"/>
    <w:rsid w:val="00826843"/>
    <w:rsid w:val="008309DA"/>
    <w:rsid w:val="00830E2D"/>
    <w:rsid w:val="0083143F"/>
    <w:rsid w:val="00831987"/>
    <w:rsid w:val="00831F29"/>
    <w:rsid w:val="008328E7"/>
    <w:rsid w:val="00833C34"/>
    <w:rsid w:val="00834792"/>
    <w:rsid w:val="00835238"/>
    <w:rsid w:val="008356BA"/>
    <w:rsid w:val="00835A85"/>
    <w:rsid w:val="00836877"/>
    <w:rsid w:val="008371C5"/>
    <w:rsid w:val="0083786F"/>
    <w:rsid w:val="0083788C"/>
    <w:rsid w:val="00840059"/>
    <w:rsid w:val="00841107"/>
    <w:rsid w:val="008411A6"/>
    <w:rsid w:val="008414C1"/>
    <w:rsid w:val="00841B33"/>
    <w:rsid w:val="0084213D"/>
    <w:rsid w:val="00843FE4"/>
    <w:rsid w:val="008453DD"/>
    <w:rsid w:val="0084594C"/>
    <w:rsid w:val="00846390"/>
    <w:rsid w:val="0084660B"/>
    <w:rsid w:val="008506D0"/>
    <w:rsid w:val="0085171B"/>
    <w:rsid w:val="00851C0C"/>
    <w:rsid w:val="008527B3"/>
    <w:rsid w:val="00852B07"/>
    <w:rsid w:val="00852D93"/>
    <w:rsid w:val="00855010"/>
    <w:rsid w:val="00856411"/>
    <w:rsid w:val="00857647"/>
    <w:rsid w:val="00860071"/>
    <w:rsid w:val="0086025B"/>
    <w:rsid w:val="00860764"/>
    <w:rsid w:val="008610F3"/>
    <w:rsid w:val="008619A4"/>
    <w:rsid w:val="00861CB1"/>
    <w:rsid w:val="00862010"/>
    <w:rsid w:val="0086207C"/>
    <w:rsid w:val="008620C3"/>
    <w:rsid w:val="00862AA2"/>
    <w:rsid w:val="00863C93"/>
    <w:rsid w:val="00863E79"/>
    <w:rsid w:val="00863EAF"/>
    <w:rsid w:val="00864073"/>
    <w:rsid w:val="008650A7"/>
    <w:rsid w:val="00865E24"/>
    <w:rsid w:val="0086630E"/>
    <w:rsid w:val="0086716B"/>
    <w:rsid w:val="008679CF"/>
    <w:rsid w:val="00867D46"/>
    <w:rsid w:val="0087111F"/>
    <w:rsid w:val="00871471"/>
    <w:rsid w:val="00871FBC"/>
    <w:rsid w:val="008726B9"/>
    <w:rsid w:val="00874800"/>
    <w:rsid w:val="00875103"/>
    <w:rsid w:val="008752AC"/>
    <w:rsid w:val="00875345"/>
    <w:rsid w:val="00875768"/>
    <w:rsid w:val="00876147"/>
    <w:rsid w:val="00876773"/>
    <w:rsid w:val="00876CC8"/>
    <w:rsid w:val="00876DCE"/>
    <w:rsid w:val="008773CA"/>
    <w:rsid w:val="0087756E"/>
    <w:rsid w:val="00877E96"/>
    <w:rsid w:val="00880882"/>
    <w:rsid w:val="0088099A"/>
    <w:rsid w:val="008812CE"/>
    <w:rsid w:val="008821B3"/>
    <w:rsid w:val="00882566"/>
    <w:rsid w:val="00884BE1"/>
    <w:rsid w:val="008855C4"/>
    <w:rsid w:val="00885CCD"/>
    <w:rsid w:val="008864CB"/>
    <w:rsid w:val="00886AFB"/>
    <w:rsid w:val="00886F8F"/>
    <w:rsid w:val="008902D5"/>
    <w:rsid w:val="0089047D"/>
    <w:rsid w:val="00890FBB"/>
    <w:rsid w:val="0089236E"/>
    <w:rsid w:val="00892E3B"/>
    <w:rsid w:val="00893FB4"/>
    <w:rsid w:val="0089501B"/>
    <w:rsid w:val="00895F67"/>
    <w:rsid w:val="00896435"/>
    <w:rsid w:val="0089667B"/>
    <w:rsid w:val="0089743D"/>
    <w:rsid w:val="00897E30"/>
    <w:rsid w:val="008A0183"/>
    <w:rsid w:val="008A0BC5"/>
    <w:rsid w:val="008A0FA2"/>
    <w:rsid w:val="008A2A77"/>
    <w:rsid w:val="008A32CD"/>
    <w:rsid w:val="008A4436"/>
    <w:rsid w:val="008A5C58"/>
    <w:rsid w:val="008B01A8"/>
    <w:rsid w:val="008B0479"/>
    <w:rsid w:val="008B1148"/>
    <w:rsid w:val="008B1DF3"/>
    <w:rsid w:val="008B2C70"/>
    <w:rsid w:val="008B3288"/>
    <w:rsid w:val="008B3DCF"/>
    <w:rsid w:val="008B4211"/>
    <w:rsid w:val="008B4395"/>
    <w:rsid w:val="008B469B"/>
    <w:rsid w:val="008B4D8F"/>
    <w:rsid w:val="008B53DB"/>
    <w:rsid w:val="008B5BC2"/>
    <w:rsid w:val="008B5F51"/>
    <w:rsid w:val="008B6A51"/>
    <w:rsid w:val="008B7304"/>
    <w:rsid w:val="008C01D8"/>
    <w:rsid w:val="008C1419"/>
    <w:rsid w:val="008C1682"/>
    <w:rsid w:val="008C3136"/>
    <w:rsid w:val="008C31C0"/>
    <w:rsid w:val="008C406C"/>
    <w:rsid w:val="008C4F8E"/>
    <w:rsid w:val="008C6113"/>
    <w:rsid w:val="008C6C3C"/>
    <w:rsid w:val="008D09C2"/>
    <w:rsid w:val="008D0FB9"/>
    <w:rsid w:val="008D1717"/>
    <w:rsid w:val="008D4652"/>
    <w:rsid w:val="008D4753"/>
    <w:rsid w:val="008D48EB"/>
    <w:rsid w:val="008D5418"/>
    <w:rsid w:val="008D574A"/>
    <w:rsid w:val="008D59FA"/>
    <w:rsid w:val="008D6472"/>
    <w:rsid w:val="008D74DE"/>
    <w:rsid w:val="008D764E"/>
    <w:rsid w:val="008D7841"/>
    <w:rsid w:val="008D7FC2"/>
    <w:rsid w:val="008E1177"/>
    <w:rsid w:val="008E19FB"/>
    <w:rsid w:val="008E35E8"/>
    <w:rsid w:val="008E4444"/>
    <w:rsid w:val="008E4B86"/>
    <w:rsid w:val="008E4C1E"/>
    <w:rsid w:val="008E5086"/>
    <w:rsid w:val="008E5295"/>
    <w:rsid w:val="008E5BB5"/>
    <w:rsid w:val="008E5E9B"/>
    <w:rsid w:val="008E6144"/>
    <w:rsid w:val="008E6472"/>
    <w:rsid w:val="008E7444"/>
    <w:rsid w:val="008F12BA"/>
    <w:rsid w:val="008F1B3F"/>
    <w:rsid w:val="008F1C7A"/>
    <w:rsid w:val="008F1C8C"/>
    <w:rsid w:val="008F1DBF"/>
    <w:rsid w:val="008F2DDB"/>
    <w:rsid w:val="008F566A"/>
    <w:rsid w:val="008F5A4E"/>
    <w:rsid w:val="008F6DF6"/>
    <w:rsid w:val="008F6FCD"/>
    <w:rsid w:val="008F70BD"/>
    <w:rsid w:val="008F7565"/>
    <w:rsid w:val="0090158F"/>
    <w:rsid w:val="00902B38"/>
    <w:rsid w:val="00902C63"/>
    <w:rsid w:val="00902CC1"/>
    <w:rsid w:val="00903725"/>
    <w:rsid w:val="00904EAB"/>
    <w:rsid w:val="009051B3"/>
    <w:rsid w:val="0090580F"/>
    <w:rsid w:val="00907066"/>
    <w:rsid w:val="009078B7"/>
    <w:rsid w:val="00907DE7"/>
    <w:rsid w:val="00910DAE"/>
    <w:rsid w:val="009118E9"/>
    <w:rsid w:val="00912BD3"/>
    <w:rsid w:val="00912D75"/>
    <w:rsid w:val="00913C90"/>
    <w:rsid w:val="009148D7"/>
    <w:rsid w:val="009158D3"/>
    <w:rsid w:val="0091612B"/>
    <w:rsid w:val="00916A1B"/>
    <w:rsid w:val="00920131"/>
    <w:rsid w:val="00924035"/>
    <w:rsid w:val="0092534E"/>
    <w:rsid w:val="00925C00"/>
    <w:rsid w:val="00926238"/>
    <w:rsid w:val="009302C0"/>
    <w:rsid w:val="00930A54"/>
    <w:rsid w:val="00931682"/>
    <w:rsid w:val="0093287E"/>
    <w:rsid w:val="00932DB6"/>
    <w:rsid w:val="0093380C"/>
    <w:rsid w:val="00933D0B"/>
    <w:rsid w:val="009358B0"/>
    <w:rsid w:val="00935E97"/>
    <w:rsid w:val="00935E9B"/>
    <w:rsid w:val="00936E94"/>
    <w:rsid w:val="00937C0E"/>
    <w:rsid w:val="00940DBD"/>
    <w:rsid w:val="0094258B"/>
    <w:rsid w:val="009438CA"/>
    <w:rsid w:val="00944F1F"/>
    <w:rsid w:val="009451FF"/>
    <w:rsid w:val="00946404"/>
    <w:rsid w:val="00946736"/>
    <w:rsid w:val="009467DE"/>
    <w:rsid w:val="0095205C"/>
    <w:rsid w:val="0095277D"/>
    <w:rsid w:val="009528E9"/>
    <w:rsid w:val="00956810"/>
    <w:rsid w:val="00956A5F"/>
    <w:rsid w:val="00957597"/>
    <w:rsid w:val="00960864"/>
    <w:rsid w:val="00961BD6"/>
    <w:rsid w:val="009634A3"/>
    <w:rsid w:val="00963EC1"/>
    <w:rsid w:val="0096572C"/>
    <w:rsid w:val="00965D9A"/>
    <w:rsid w:val="00966634"/>
    <w:rsid w:val="009672C3"/>
    <w:rsid w:val="0097084B"/>
    <w:rsid w:val="009712D3"/>
    <w:rsid w:val="0097167F"/>
    <w:rsid w:val="009720C4"/>
    <w:rsid w:val="009722A0"/>
    <w:rsid w:val="00972593"/>
    <w:rsid w:val="00972A78"/>
    <w:rsid w:val="00973E98"/>
    <w:rsid w:val="0097526E"/>
    <w:rsid w:val="0097532F"/>
    <w:rsid w:val="00975656"/>
    <w:rsid w:val="00977219"/>
    <w:rsid w:val="009774EC"/>
    <w:rsid w:val="009800F3"/>
    <w:rsid w:val="00981D62"/>
    <w:rsid w:val="00982016"/>
    <w:rsid w:val="009824F9"/>
    <w:rsid w:val="00982538"/>
    <w:rsid w:val="0098306C"/>
    <w:rsid w:val="0098374F"/>
    <w:rsid w:val="00983EF9"/>
    <w:rsid w:val="00984F51"/>
    <w:rsid w:val="00986548"/>
    <w:rsid w:val="00986E7F"/>
    <w:rsid w:val="009871A1"/>
    <w:rsid w:val="009878EB"/>
    <w:rsid w:val="009879FB"/>
    <w:rsid w:val="0099035C"/>
    <w:rsid w:val="009909F9"/>
    <w:rsid w:val="00990F96"/>
    <w:rsid w:val="00993E8E"/>
    <w:rsid w:val="0099458E"/>
    <w:rsid w:val="00994972"/>
    <w:rsid w:val="00995ABB"/>
    <w:rsid w:val="00995CDD"/>
    <w:rsid w:val="00997483"/>
    <w:rsid w:val="00997643"/>
    <w:rsid w:val="00997687"/>
    <w:rsid w:val="00997F28"/>
    <w:rsid w:val="009A019B"/>
    <w:rsid w:val="009A1017"/>
    <w:rsid w:val="009A16D4"/>
    <w:rsid w:val="009A36FA"/>
    <w:rsid w:val="009A41F2"/>
    <w:rsid w:val="009A4404"/>
    <w:rsid w:val="009A45E0"/>
    <w:rsid w:val="009A571A"/>
    <w:rsid w:val="009A60FE"/>
    <w:rsid w:val="009A6F85"/>
    <w:rsid w:val="009B1310"/>
    <w:rsid w:val="009B1395"/>
    <w:rsid w:val="009B28F9"/>
    <w:rsid w:val="009B445F"/>
    <w:rsid w:val="009B6BFA"/>
    <w:rsid w:val="009B6CEE"/>
    <w:rsid w:val="009B6FEB"/>
    <w:rsid w:val="009C0AC9"/>
    <w:rsid w:val="009C1096"/>
    <w:rsid w:val="009C13CF"/>
    <w:rsid w:val="009C1BB4"/>
    <w:rsid w:val="009C2F04"/>
    <w:rsid w:val="009C4D9C"/>
    <w:rsid w:val="009C6080"/>
    <w:rsid w:val="009C6D97"/>
    <w:rsid w:val="009C72CE"/>
    <w:rsid w:val="009C7AFE"/>
    <w:rsid w:val="009D03C1"/>
    <w:rsid w:val="009D0F5F"/>
    <w:rsid w:val="009D16C9"/>
    <w:rsid w:val="009D1970"/>
    <w:rsid w:val="009D1B6E"/>
    <w:rsid w:val="009D2160"/>
    <w:rsid w:val="009D2297"/>
    <w:rsid w:val="009D2303"/>
    <w:rsid w:val="009D2351"/>
    <w:rsid w:val="009D2535"/>
    <w:rsid w:val="009D2765"/>
    <w:rsid w:val="009D3F8B"/>
    <w:rsid w:val="009D51B6"/>
    <w:rsid w:val="009D5714"/>
    <w:rsid w:val="009D6511"/>
    <w:rsid w:val="009D6E4C"/>
    <w:rsid w:val="009E0528"/>
    <w:rsid w:val="009E055C"/>
    <w:rsid w:val="009E0EBB"/>
    <w:rsid w:val="009E172F"/>
    <w:rsid w:val="009E1894"/>
    <w:rsid w:val="009E1917"/>
    <w:rsid w:val="009E23D4"/>
    <w:rsid w:val="009E252E"/>
    <w:rsid w:val="009E28A9"/>
    <w:rsid w:val="009E32BE"/>
    <w:rsid w:val="009E497D"/>
    <w:rsid w:val="009E4B89"/>
    <w:rsid w:val="009E5494"/>
    <w:rsid w:val="009E5C4B"/>
    <w:rsid w:val="009E66B8"/>
    <w:rsid w:val="009E70FE"/>
    <w:rsid w:val="009E733C"/>
    <w:rsid w:val="009E743E"/>
    <w:rsid w:val="009E7569"/>
    <w:rsid w:val="009E76CA"/>
    <w:rsid w:val="009E790F"/>
    <w:rsid w:val="009E7928"/>
    <w:rsid w:val="009F08BE"/>
    <w:rsid w:val="009F45A8"/>
    <w:rsid w:val="009F6C1D"/>
    <w:rsid w:val="009F7D08"/>
    <w:rsid w:val="00A00B88"/>
    <w:rsid w:val="00A01915"/>
    <w:rsid w:val="00A029B2"/>
    <w:rsid w:val="00A03B69"/>
    <w:rsid w:val="00A045C8"/>
    <w:rsid w:val="00A05A5E"/>
    <w:rsid w:val="00A067E7"/>
    <w:rsid w:val="00A06F92"/>
    <w:rsid w:val="00A072BD"/>
    <w:rsid w:val="00A104C7"/>
    <w:rsid w:val="00A10550"/>
    <w:rsid w:val="00A10C40"/>
    <w:rsid w:val="00A11035"/>
    <w:rsid w:val="00A11C3A"/>
    <w:rsid w:val="00A128E7"/>
    <w:rsid w:val="00A13537"/>
    <w:rsid w:val="00A13E42"/>
    <w:rsid w:val="00A144E3"/>
    <w:rsid w:val="00A15367"/>
    <w:rsid w:val="00A15D45"/>
    <w:rsid w:val="00A15DBC"/>
    <w:rsid w:val="00A16034"/>
    <w:rsid w:val="00A161D8"/>
    <w:rsid w:val="00A1630C"/>
    <w:rsid w:val="00A16CC4"/>
    <w:rsid w:val="00A17CA3"/>
    <w:rsid w:val="00A17FA2"/>
    <w:rsid w:val="00A200FE"/>
    <w:rsid w:val="00A20C1E"/>
    <w:rsid w:val="00A2218E"/>
    <w:rsid w:val="00A24307"/>
    <w:rsid w:val="00A24E20"/>
    <w:rsid w:val="00A25DD6"/>
    <w:rsid w:val="00A278E2"/>
    <w:rsid w:val="00A27E47"/>
    <w:rsid w:val="00A3160B"/>
    <w:rsid w:val="00A31F04"/>
    <w:rsid w:val="00A32F44"/>
    <w:rsid w:val="00A33CDC"/>
    <w:rsid w:val="00A34601"/>
    <w:rsid w:val="00A348B9"/>
    <w:rsid w:val="00A34CA1"/>
    <w:rsid w:val="00A3547C"/>
    <w:rsid w:val="00A35901"/>
    <w:rsid w:val="00A378AE"/>
    <w:rsid w:val="00A378DE"/>
    <w:rsid w:val="00A4383C"/>
    <w:rsid w:val="00A44F04"/>
    <w:rsid w:val="00A45561"/>
    <w:rsid w:val="00A45B68"/>
    <w:rsid w:val="00A45DE9"/>
    <w:rsid w:val="00A46ABD"/>
    <w:rsid w:val="00A46DF0"/>
    <w:rsid w:val="00A46E73"/>
    <w:rsid w:val="00A471E3"/>
    <w:rsid w:val="00A473AD"/>
    <w:rsid w:val="00A50653"/>
    <w:rsid w:val="00A5084D"/>
    <w:rsid w:val="00A511E9"/>
    <w:rsid w:val="00A52F31"/>
    <w:rsid w:val="00A531ED"/>
    <w:rsid w:val="00A53490"/>
    <w:rsid w:val="00A54B78"/>
    <w:rsid w:val="00A5504D"/>
    <w:rsid w:val="00A56538"/>
    <w:rsid w:val="00A57390"/>
    <w:rsid w:val="00A57C32"/>
    <w:rsid w:val="00A607AA"/>
    <w:rsid w:val="00A608FC"/>
    <w:rsid w:val="00A60AD7"/>
    <w:rsid w:val="00A613BC"/>
    <w:rsid w:val="00A628D1"/>
    <w:rsid w:val="00A628FB"/>
    <w:rsid w:val="00A62DDF"/>
    <w:rsid w:val="00A62DEB"/>
    <w:rsid w:val="00A63ACC"/>
    <w:rsid w:val="00A6463E"/>
    <w:rsid w:val="00A64B5D"/>
    <w:rsid w:val="00A6556B"/>
    <w:rsid w:val="00A65D3F"/>
    <w:rsid w:val="00A65FCD"/>
    <w:rsid w:val="00A6605B"/>
    <w:rsid w:val="00A663BB"/>
    <w:rsid w:val="00A66A8B"/>
    <w:rsid w:val="00A70857"/>
    <w:rsid w:val="00A71394"/>
    <w:rsid w:val="00A71D6C"/>
    <w:rsid w:val="00A73EA2"/>
    <w:rsid w:val="00A7416F"/>
    <w:rsid w:val="00A75241"/>
    <w:rsid w:val="00A755C9"/>
    <w:rsid w:val="00A77635"/>
    <w:rsid w:val="00A801D4"/>
    <w:rsid w:val="00A82A5C"/>
    <w:rsid w:val="00A82C17"/>
    <w:rsid w:val="00A83CEB"/>
    <w:rsid w:val="00A83E8D"/>
    <w:rsid w:val="00A862DB"/>
    <w:rsid w:val="00A86425"/>
    <w:rsid w:val="00A86490"/>
    <w:rsid w:val="00A86D16"/>
    <w:rsid w:val="00A9047F"/>
    <w:rsid w:val="00A90E24"/>
    <w:rsid w:val="00A90E31"/>
    <w:rsid w:val="00A9324F"/>
    <w:rsid w:val="00A952D9"/>
    <w:rsid w:val="00A95328"/>
    <w:rsid w:val="00A957BD"/>
    <w:rsid w:val="00A95F21"/>
    <w:rsid w:val="00A9658C"/>
    <w:rsid w:val="00A96659"/>
    <w:rsid w:val="00A9693F"/>
    <w:rsid w:val="00A96984"/>
    <w:rsid w:val="00A97A30"/>
    <w:rsid w:val="00AA1D80"/>
    <w:rsid w:val="00AA1E63"/>
    <w:rsid w:val="00AA229E"/>
    <w:rsid w:val="00AA2738"/>
    <w:rsid w:val="00AA3160"/>
    <w:rsid w:val="00AA4283"/>
    <w:rsid w:val="00AA5C87"/>
    <w:rsid w:val="00AA60B2"/>
    <w:rsid w:val="00AA68E7"/>
    <w:rsid w:val="00AA6F96"/>
    <w:rsid w:val="00AB152D"/>
    <w:rsid w:val="00AB16FA"/>
    <w:rsid w:val="00AB1C75"/>
    <w:rsid w:val="00AB295D"/>
    <w:rsid w:val="00AB2C27"/>
    <w:rsid w:val="00AB3AD0"/>
    <w:rsid w:val="00AB5ED6"/>
    <w:rsid w:val="00AB6164"/>
    <w:rsid w:val="00AB617B"/>
    <w:rsid w:val="00AB61E2"/>
    <w:rsid w:val="00AB7FF8"/>
    <w:rsid w:val="00AC02CE"/>
    <w:rsid w:val="00AC0822"/>
    <w:rsid w:val="00AC1B51"/>
    <w:rsid w:val="00AC1E9D"/>
    <w:rsid w:val="00AC29AB"/>
    <w:rsid w:val="00AC374F"/>
    <w:rsid w:val="00AC396D"/>
    <w:rsid w:val="00AC46E5"/>
    <w:rsid w:val="00AC5F36"/>
    <w:rsid w:val="00AC6318"/>
    <w:rsid w:val="00AD1E46"/>
    <w:rsid w:val="00AD2351"/>
    <w:rsid w:val="00AD26CA"/>
    <w:rsid w:val="00AD270C"/>
    <w:rsid w:val="00AD409A"/>
    <w:rsid w:val="00AD42A1"/>
    <w:rsid w:val="00AD5B91"/>
    <w:rsid w:val="00AD6310"/>
    <w:rsid w:val="00AD6D35"/>
    <w:rsid w:val="00AD736D"/>
    <w:rsid w:val="00AE02DE"/>
    <w:rsid w:val="00AE0C5E"/>
    <w:rsid w:val="00AE0DA0"/>
    <w:rsid w:val="00AE2376"/>
    <w:rsid w:val="00AE3004"/>
    <w:rsid w:val="00AE3C05"/>
    <w:rsid w:val="00AE4FA8"/>
    <w:rsid w:val="00AE5099"/>
    <w:rsid w:val="00AE509B"/>
    <w:rsid w:val="00AE536B"/>
    <w:rsid w:val="00AE5F11"/>
    <w:rsid w:val="00AE6475"/>
    <w:rsid w:val="00AF083C"/>
    <w:rsid w:val="00AF0896"/>
    <w:rsid w:val="00AF0C15"/>
    <w:rsid w:val="00AF2C94"/>
    <w:rsid w:val="00AF2E00"/>
    <w:rsid w:val="00AF39F0"/>
    <w:rsid w:val="00AF455A"/>
    <w:rsid w:val="00AF5698"/>
    <w:rsid w:val="00AF5F2A"/>
    <w:rsid w:val="00AF7B0E"/>
    <w:rsid w:val="00B00945"/>
    <w:rsid w:val="00B01222"/>
    <w:rsid w:val="00B012B3"/>
    <w:rsid w:val="00B01B27"/>
    <w:rsid w:val="00B01D03"/>
    <w:rsid w:val="00B01DA5"/>
    <w:rsid w:val="00B0296F"/>
    <w:rsid w:val="00B02D9B"/>
    <w:rsid w:val="00B0396F"/>
    <w:rsid w:val="00B03A55"/>
    <w:rsid w:val="00B03FAE"/>
    <w:rsid w:val="00B04389"/>
    <w:rsid w:val="00B05876"/>
    <w:rsid w:val="00B06C6B"/>
    <w:rsid w:val="00B06E60"/>
    <w:rsid w:val="00B078D6"/>
    <w:rsid w:val="00B07A27"/>
    <w:rsid w:val="00B07F08"/>
    <w:rsid w:val="00B07F82"/>
    <w:rsid w:val="00B132F5"/>
    <w:rsid w:val="00B13BFF"/>
    <w:rsid w:val="00B13E00"/>
    <w:rsid w:val="00B16AC9"/>
    <w:rsid w:val="00B17325"/>
    <w:rsid w:val="00B17525"/>
    <w:rsid w:val="00B176E1"/>
    <w:rsid w:val="00B21C06"/>
    <w:rsid w:val="00B21E08"/>
    <w:rsid w:val="00B22121"/>
    <w:rsid w:val="00B22418"/>
    <w:rsid w:val="00B22A14"/>
    <w:rsid w:val="00B23642"/>
    <w:rsid w:val="00B23A31"/>
    <w:rsid w:val="00B23A3D"/>
    <w:rsid w:val="00B23CA0"/>
    <w:rsid w:val="00B249D0"/>
    <w:rsid w:val="00B24ACE"/>
    <w:rsid w:val="00B250A5"/>
    <w:rsid w:val="00B25175"/>
    <w:rsid w:val="00B2564E"/>
    <w:rsid w:val="00B25682"/>
    <w:rsid w:val="00B25993"/>
    <w:rsid w:val="00B25DEC"/>
    <w:rsid w:val="00B264F5"/>
    <w:rsid w:val="00B266DD"/>
    <w:rsid w:val="00B26967"/>
    <w:rsid w:val="00B26E46"/>
    <w:rsid w:val="00B270C6"/>
    <w:rsid w:val="00B27D8B"/>
    <w:rsid w:val="00B27E63"/>
    <w:rsid w:val="00B27FA4"/>
    <w:rsid w:val="00B30695"/>
    <w:rsid w:val="00B306EE"/>
    <w:rsid w:val="00B309CC"/>
    <w:rsid w:val="00B31474"/>
    <w:rsid w:val="00B32AAF"/>
    <w:rsid w:val="00B33B6C"/>
    <w:rsid w:val="00B33EF0"/>
    <w:rsid w:val="00B33FA5"/>
    <w:rsid w:val="00B34F26"/>
    <w:rsid w:val="00B35022"/>
    <w:rsid w:val="00B35B1D"/>
    <w:rsid w:val="00B35B49"/>
    <w:rsid w:val="00B35EBE"/>
    <w:rsid w:val="00B3668A"/>
    <w:rsid w:val="00B36F85"/>
    <w:rsid w:val="00B36FDD"/>
    <w:rsid w:val="00B372D6"/>
    <w:rsid w:val="00B37A64"/>
    <w:rsid w:val="00B42088"/>
    <w:rsid w:val="00B420CD"/>
    <w:rsid w:val="00B43062"/>
    <w:rsid w:val="00B44212"/>
    <w:rsid w:val="00B44667"/>
    <w:rsid w:val="00B44691"/>
    <w:rsid w:val="00B4479C"/>
    <w:rsid w:val="00B45895"/>
    <w:rsid w:val="00B459D4"/>
    <w:rsid w:val="00B4622B"/>
    <w:rsid w:val="00B46349"/>
    <w:rsid w:val="00B476D5"/>
    <w:rsid w:val="00B47E94"/>
    <w:rsid w:val="00B50530"/>
    <w:rsid w:val="00B50709"/>
    <w:rsid w:val="00B51366"/>
    <w:rsid w:val="00B52558"/>
    <w:rsid w:val="00B52B8C"/>
    <w:rsid w:val="00B5365B"/>
    <w:rsid w:val="00B5451A"/>
    <w:rsid w:val="00B557CB"/>
    <w:rsid w:val="00B61C93"/>
    <w:rsid w:val="00B62BF0"/>
    <w:rsid w:val="00B62D74"/>
    <w:rsid w:val="00B643FF"/>
    <w:rsid w:val="00B65964"/>
    <w:rsid w:val="00B70E2B"/>
    <w:rsid w:val="00B70FAB"/>
    <w:rsid w:val="00B71623"/>
    <w:rsid w:val="00B71C3C"/>
    <w:rsid w:val="00B71DCA"/>
    <w:rsid w:val="00B71E19"/>
    <w:rsid w:val="00B72001"/>
    <w:rsid w:val="00B72BB6"/>
    <w:rsid w:val="00B7357A"/>
    <w:rsid w:val="00B73884"/>
    <w:rsid w:val="00B74CEB"/>
    <w:rsid w:val="00B75157"/>
    <w:rsid w:val="00B77626"/>
    <w:rsid w:val="00B77F57"/>
    <w:rsid w:val="00B8037F"/>
    <w:rsid w:val="00B8065F"/>
    <w:rsid w:val="00B80C13"/>
    <w:rsid w:val="00B818E1"/>
    <w:rsid w:val="00B81B21"/>
    <w:rsid w:val="00B81B2B"/>
    <w:rsid w:val="00B81D35"/>
    <w:rsid w:val="00B8233D"/>
    <w:rsid w:val="00B82638"/>
    <w:rsid w:val="00B83E17"/>
    <w:rsid w:val="00B84CCD"/>
    <w:rsid w:val="00B85541"/>
    <w:rsid w:val="00B8569E"/>
    <w:rsid w:val="00B85701"/>
    <w:rsid w:val="00B86A1A"/>
    <w:rsid w:val="00B86B0C"/>
    <w:rsid w:val="00B86C9F"/>
    <w:rsid w:val="00B87887"/>
    <w:rsid w:val="00B909D5"/>
    <w:rsid w:val="00B90B5D"/>
    <w:rsid w:val="00B90CF4"/>
    <w:rsid w:val="00B93492"/>
    <w:rsid w:val="00B93AF2"/>
    <w:rsid w:val="00B94A82"/>
    <w:rsid w:val="00B9688E"/>
    <w:rsid w:val="00BA19EB"/>
    <w:rsid w:val="00BA28D3"/>
    <w:rsid w:val="00BA2DFD"/>
    <w:rsid w:val="00BA3728"/>
    <w:rsid w:val="00BA5E09"/>
    <w:rsid w:val="00BA5ECF"/>
    <w:rsid w:val="00BA6485"/>
    <w:rsid w:val="00BA66EA"/>
    <w:rsid w:val="00BA6E58"/>
    <w:rsid w:val="00BA764B"/>
    <w:rsid w:val="00BA79E6"/>
    <w:rsid w:val="00BA7F7A"/>
    <w:rsid w:val="00BB0BA1"/>
    <w:rsid w:val="00BB0F7D"/>
    <w:rsid w:val="00BB1540"/>
    <w:rsid w:val="00BB27B1"/>
    <w:rsid w:val="00BB44C8"/>
    <w:rsid w:val="00BB4801"/>
    <w:rsid w:val="00BB4A73"/>
    <w:rsid w:val="00BB4E66"/>
    <w:rsid w:val="00BB5033"/>
    <w:rsid w:val="00BB603F"/>
    <w:rsid w:val="00BB71E4"/>
    <w:rsid w:val="00BB73F4"/>
    <w:rsid w:val="00BB7A4D"/>
    <w:rsid w:val="00BB7B60"/>
    <w:rsid w:val="00BB7DEA"/>
    <w:rsid w:val="00BC0268"/>
    <w:rsid w:val="00BC099F"/>
    <w:rsid w:val="00BC1EAF"/>
    <w:rsid w:val="00BC4CB8"/>
    <w:rsid w:val="00BC5B0E"/>
    <w:rsid w:val="00BC5BBC"/>
    <w:rsid w:val="00BC5F24"/>
    <w:rsid w:val="00BC67F7"/>
    <w:rsid w:val="00BC7B95"/>
    <w:rsid w:val="00BD0257"/>
    <w:rsid w:val="00BD02F6"/>
    <w:rsid w:val="00BD12B1"/>
    <w:rsid w:val="00BD2B71"/>
    <w:rsid w:val="00BD2D5E"/>
    <w:rsid w:val="00BD52B2"/>
    <w:rsid w:val="00BD5B72"/>
    <w:rsid w:val="00BD6918"/>
    <w:rsid w:val="00BD69DE"/>
    <w:rsid w:val="00BD6E1E"/>
    <w:rsid w:val="00BD6EC8"/>
    <w:rsid w:val="00BE10E2"/>
    <w:rsid w:val="00BE12C5"/>
    <w:rsid w:val="00BE12CD"/>
    <w:rsid w:val="00BE1C5C"/>
    <w:rsid w:val="00BE22E2"/>
    <w:rsid w:val="00BE2583"/>
    <w:rsid w:val="00BE2CA3"/>
    <w:rsid w:val="00BE3401"/>
    <w:rsid w:val="00BE3A03"/>
    <w:rsid w:val="00BE3D22"/>
    <w:rsid w:val="00BE4058"/>
    <w:rsid w:val="00BE5540"/>
    <w:rsid w:val="00BE580F"/>
    <w:rsid w:val="00BE74F8"/>
    <w:rsid w:val="00BE7E5C"/>
    <w:rsid w:val="00BF1425"/>
    <w:rsid w:val="00BF2462"/>
    <w:rsid w:val="00BF2838"/>
    <w:rsid w:val="00BF2F81"/>
    <w:rsid w:val="00BF37FA"/>
    <w:rsid w:val="00BF3BFD"/>
    <w:rsid w:val="00BF490E"/>
    <w:rsid w:val="00BF4F2E"/>
    <w:rsid w:val="00BF5BD5"/>
    <w:rsid w:val="00BF5DC9"/>
    <w:rsid w:val="00BF622B"/>
    <w:rsid w:val="00BF6686"/>
    <w:rsid w:val="00BF6E76"/>
    <w:rsid w:val="00C01268"/>
    <w:rsid w:val="00C013F2"/>
    <w:rsid w:val="00C03D2D"/>
    <w:rsid w:val="00C03DC2"/>
    <w:rsid w:val="00C04545"/>
    <w:rsid w:val="00C04860"/>
    <w:rsid w:val="00C04F41"/>
    <w:rsid w:val="00C05D84"/>
    <w:rsid w:val="00C05DBC"/>
    <w:rsid w:val="00C0698D"/>
    <w:rsid w:val="00C06B61"/>
    <w:rsid w:val="00C06FDA"/>
    <w:rsid w:val="00C078F3"/>
    <w:rsid w:val="00C07F6A"/>
    <w:rsid w:val="00C109D7"/>
    <w:rsid w:val="00C10A22"/>
    <w:rsid w:val="00C117D9"/>
    <w:rsid w:val="00C11ED4"/>
    <w:rsid w:val="00C1208C"/>
    <w:rsid w:val="00C13A92"/>
    <w:rsid w:val="00C145EF"/>
    <w:rsid w:val="00C15534"/>
    <w:rsid w:val="00C15F29"/>
    <w:rsid w:val="00C16385"/>
    <w:rsid w:val="00C1638E"/>
    <w:rsid w:val="00C16F77"/>
    <w:rsid w:val="00C17E60"/>
    <w:rsid w:val="00C17E6F"/>
    <w:rsid w:val="00C201CD"/>
    <w:rsid w:val="00C20942"/>
    <w:rsid w:val="00C209DA"/>
    <w:rsid w:val="00C21867"/>
    <w:rsid w:val="00C22631"/>
    <w:rsid w:val="00C2310D"/>
    <w:rsid w:val="00C23E00"/>
    <w:rsid w:val="00C24229"/>
    <w:rsid w:val="00C24890"/>
    <w:rsid w:val="00C26498"/>
    <w:rsid w:val="00C30F1F"/>
    <w:rsid w:val="00C3139A"/>
    <w:rsid w:val="00C31CDB"/>
    <w:rsid w:val="00C329FF"/>
    <w:rsid w:val="00C32A1B"/>
    <w:rsid w:val="00C32AA2"/>
    <w:rsid w:val="00C32D4C"/>
    <w:rsid w:val="00C34124"/>
    <w:rsid w:val="00C3414D"/>
    <w:rsid w:val="00C349FA"/>
    <w:rsid w:val="00C35DEA"/>
    <w:rsid w:val="00C36687"/>
    <w:rsid w:val="00C36A0A"/>
    <w:rsid w:val="00C37026"/>
    <w:rsid w:val="00C37254"/>
    <w:rsid w:val="00C37DB1"/>
    <w:rsid w:val="00C4009B"/>
    <w:rsid w:val="00C40F95"/>
    <w:rsid w:val="00C41B18"/>
    <w:rsid w:val="00C422E1"/>
    <w:rsid w:val="00C4255C"/>
    <w:rsid w:val="00C45ED9"/>
    <w:rsid w:val="00C46F94"/>
    <w:rsid w:val="00C47977"/>
    <w:rsid w:val="00C47BEA"/>
    <w:rsid w:val="00C47FBF"/>
    <w:rsid w:val="00C51A7C"/>
    <w:rsid w:val="00C51AB3"/>
    <w:rsid w:val="00C5381B"/>
    <w:rsid w:val="00C552CA"/>
    <w:rsid w:val="00C55C82"/>
    <w:rsid w:val="00C55CF1"/>
    <w:rsid w:val="00C560ED"/>
    <w:rsid w:val="00C5797F"/>
    <w:rsid w:val="00C60587"/>
    <w:rsid w:val="00C614FF"/>
    <w:rsid w:val="00C61652"/>
    <w:rsid w:val="00C61665"/>
    <w:rsid w:val="00C61E8C"/>
    <w:rsid w:val="00C61EA0"/>
    <w:rsid w:val="00C62127"/>
    <w:rsid w:val="00C6471C"/>
    <w:rsid w:val="00C65887"/>
    <w:rsid w:val="00C65F01"/>
    <w:rsid w:val="00C66175"/>
    <w:rsid w:val="00C6734D"/>
    <w:rsid w:val="00C67465"/>
    <w:rsid w:val="00C67998"/>
    <w:rsid w:val="00C67B49"/>
    <w:rsid w:val="00C7004F"/>
    <w:rsid w:val="00C7036B"/>
    <w:rsid w:val="00C71AE6"/>
    <w:rsid w:val="00C71FE7"/>
    <w:rsid w:val="00C721C6"/>
    <w:rsid w:val="00C73173"/>
    <w:rsid w:val="00C736D3"/>
    <w:rsid w:val="00C738EE"/>
    <w:rsid w:val="00C763CE"/>
    <w:rsid w:val="00C76D07"/>
    <w:rsid w:val="00C77441"/>
    <w:rsid w:val="00C77568"/>
    <w:rsid w:val="00C77748"/>
    <w:rsid w:val="00C815F5"/>
    <w:rsid w:val="00C81784"/>
    <w:rsid w:val="00C83CAE"/>
    <w:rsid w:val="00C848A7"/>
    <w:rsid w:val="00C86270"/>
    <w:rsid w:val="00C86894"/>
    <w:rsid w:val="00C86B6D"/>
    <w:rsid w:val="00C876DF"/>
    <w:rsid w:val="00C87BF7"/>
    <w:rsid w:val="00C91BB3"/>
    <w:rsid w:val="00C923A6"/>
    <w:rsid w:val="00C92DEC"/>
    <w:rsid w:val="00C94520"/>
    <w:rsid w:val="00C94AF2"/>
    <w:rsid w:val="00C95661"/>
    <w:rsid w:val="00C959A6"/>
    <w:rsid w:val="00C95B47"/>
    <w:rsid w:val="00C95B69"/>
    <w:rsid w:val="00C95FE4"/>
    <w:rsid w:val="00C96969"/>
    <w:rsid w:val="00C96A21"/>
    <w:rsid w:val="00C96F6B"/>
    <w:rsid w:val="00C97012"/>
    <w:rsid w:val="00C974A0"/>
    <w:rsid w:val="00C97B16"/>
    <w:rsid w:val="00CA16A2"/>
    <w:rsid w:val="00CA178E"/>
    <w:rsid w:val="00CA17B8"/>
    <w:rsid w:val="00CA1C2A"/>
    <w:rsid w:val="00CA2A1E"/>
    <w:rsid w:val="00CA2D4A"/>
    <w:rsid w:val="00CA324C"/>
    <w:rsid w:val="00CA34AE"/>
    <w:rsid w:val="00CA3574"/>
    <w:rsid w:val="00CA461B"/>
    <w:rsid w:val="00CA4848"/>
    <w:rsid w:val="00CA540B"/>
    <w:rsid w:val="00CA6062"/>
    <w:rsid w:val="00CA660B"/>
    <w:rsid w:val="00CA73E6"/>
    <w:rsid w:val="00CA74D0"/>
    <w:rsid w:val="00CB02B2"/>
    <w:rsid w:val="00CB0F31"/>
    <w:rsid w:val="00CB306F"/>
    <w:rsid w:val="00CB3227"/>
    <w:rsid w:val="00CB3A17"/>
    <w:rsid w:val="00CB5A9B"/>
    <w:rsid w:val="00CB5F06"/>
    <w:rsid w:val="00CB61EF"/>
    <w:rsid w:val="00CB6463"/>
    <w:rsid w:val="00CB6E5F"/>
    <w:rsid w:val="00CB792F"/>
    <w:rsid w:val="00CC0473"/>
    <w:rsid w:val="00CC0F0E"/>
    <w:rsid w:val="00CC19D3"/>
    <w:rsid w:val="00CC2B42"/>
    <w:rsid w:val="00CC375F"/>
    <w:rsid w:val="00CC407B"/>
    <w:rsid w:val="00CC4915"/>
    <w:rsid w:val="00CC728E"/>
    <w:rsid w:val="00CD0164"/>
    <w:rsid w:val="00CD0169"/>
    <w:rsid w:val="00CD0F45"/>
    <w:rsid w:val="00CD15D9"/>
    <w:rsid w:val="00CD1805"/>
    <w:rsid w:val="00CD2695"/>
    <w:rsid w:val="00CD287A"/>
    <w:rsid w:val="00CD3E55"/>
    <w:rsid w:val="00CD42AA"/>
    <w:rsid w:val="00CD56DA"/>
    <w:rsid w:val="00CD5B19"/>
    <w:rsid w:val="00CD6228"/>
    <w:rsid w:val="00CD628A"/>
    <w:rsid w:val="00CD641B"/>
    <w:rsid w:val="00CE1CFA"/>
    <w:rsid w:val="00CE2A99"/>
    <w:rsid w:val="00CE2C6C"/>
    <w:rsid w:val="00CE4007"/>
    <w:rsid w:val="00CE5090"/>
    <w:rsid w:val="00CE6F4D"/>
    <w:rsid w:val="00CE7B61"/>
    <w:rsid w:val="00CF1F56"/>
    <w:rsid w:val="00CF2174"/>
    <w:rsid w:val="00CF2607"/>
    <w:rsid w:val="00CF3F3D"/>
    <w:rsid w:val="00CF43C3"/>
    <w:rsid w:val="00CF470C"/>
    <w:rsid w:val="00CF5FE6"/>
    <w:rsid w:val="00CF607C"/>
    <w:rsid w:val="00CF66A3"/>
    <w:rsid w:val="00D00A53"/>
    <w:rsid w:val="00D00F53"/>
    <w:rsid w:val="00D018D5"/>
    <w:rsid w:val="00D0222C"/>
    <w:rsid w:val="00D0238E"/>
    <w:rsid w:val="00D02413"/>
    <w:rsid w:val="00D02B7D"/>
    <w:rsid w:val="00D0341B"/>
    <w:rsid w:val="00D03BC4"/>
    <w:rsid w:val="00D03E06"/>
    <w:rsid w:val="00D04F25"/>
    <w:rsid w:val="00D05E87"/>
    <w:rsid w:val="00D06673"/>
    <w:rsid w:val="00D06761"/>
    <w:rsid w:val="00D06CEE"/>
    <w:rsid w:val="00D1108C"/>
    <w:rsid w:val="00D110E3"/>
    <w:rsid w:val="00D11B12"/>
    <w:rsid w:val="00D124A4"/>
    <w:rsid w:val="00D1252A"/>
    <w:rsid w:val="00D12BA0"/>
    <w:rsid w:val="00D137EB"/>
    <w:rsid w:val="00D13B43"/>
    <w:rsid w:val="00D14937"/>
    <w:rsid w:val="00D14DB7"/>
    <w:rsid w:val="00D15092"/>
    <w:rsid w:val="00D15787"/>
    <w:rsid w:val="00D157EC"/>
    <w:rsid w:val="00D15E2C"/>
    <w:rsid w:val="00D16751"/>
    <w:rsid w:val="00D16D9D"/>
    <w:rsid w:val="00D173A9"/>
    <w:rsid w:val="00D178FF"/>
    <w:rsid w:val="00D201BC"/>
    <w:rsid w:val="00D20A45"/>
    <w:rsid w:val="00D218A0"/>
    <w:rsid w:val="00D22DEA"/>
    <w:rsid w:val="00D23994"/>
    <w:rsid w:val="00D23B0C"/>
    <w:rsid w:val="00D241AD"/>
    <w:rsid w:val="00D24385"/>
    <w:rsid w:val="00D24AB5"/>
    <w:rsid w:val="00D25217"/>
    <w:rsid w:val="00D25822"/>
    <w:rsid w:val="00D25EB7"/>
    <w:rsid w:val="00D2656B"/>
    <w:rsid w:val="00D2662A"/>
    <w:rsid w:val="00D26FDF"/>
    <w:rsid w:val="00D2795F"/>
    <w:rsid w:val="00D30596"/>
    <w:rsid w:val="00D30DE9"/>
    <w:rsid w:val="00D31DA7"/>
    <w:rsid w:val="00D32A6F"/>
    <w:rsid w:val="00D349F3"/>
    <w:rsid w:val="00D36DD3"/>
    <w:rsid w:val="00D409A7"/>
    <w:rsid w:val="00D41E24"/>
    <w:rsid w:val="00D42A3B"/>
    <w:rsid w:val="00D439EB"/>
    <w:rsid w:val="00D44622"/>
    <w:rsid w:val="00D44941"/>
    <w:rsid w:val="00D45DCD"/>
    <w:rsid w:val="00D4610F"/>
    <w:rsid w:val="00D46D86"/>
    <w:rsid w:val="00D473A1"/>
    <w:rsid w:val="00D50612"/>
    <w:rsid w:val="00D51993"/>
    <w:rsid w:val="00D52AC9"/>
    <w:rsid w:val="00D52EF4"/>
    <w:rsid w:val="00D53693"/>
    <w:rsid w:val="00D53B8B"/>
    <w:rsid w:val="00D56297"/>
    <w:rsid w:val="00D5723D"/>
    <w:rsid w:val="00D60C6B"/>
    <w:rsid w:val="00D615EC"/>
    <w:rsid w:val="00D6200B"/>
    <w:rsid w:val="00D62D63"/>
    <w:rsid w:val="00D630B8"/>
    <w:rsid w:val="00D63AF1"/>
    <w:rsid w:val="00D659BB"/>
    <w:rsid w:val="00D666FF"/>
    <w:rsid w:val="00D667E9"/>
    <w:rsid w:val="00D6766E"/>
    <w:rsid w:val="00D70FE5"/>
    <w:rsid w:val="00D72147"/>
    <w:rsid w:val="00D7649B"/>
    <w:rsid w:val="00D76BDD"/>
    <w:rsid w:val="00D772EC"/>
    <w:rsid w:val="00D77304"/>
    <w:rsid w:val="00D8017C"/>
    <w:rsid w:val="00D803EC"/>
    <w:rsid w:val="00D80BAA"/>
    <w:rsid w:val="00D826A1"/>
    <w:rsid w:val="00D83398"/>
    <w:rsid w:val="00D838CA"/>
    <w:rsid w:val="00D8395C"/>
    <w:rsid w:val="00D846BD"/>
    <w:rsid w:val="00D84D26"/>
    <w:rsid w:val="00D86327"/>
    <w:rsid w:val="00D870D6"/>
    <w:rsid w:val="00D87EB6"/>
    <w:rsid w:val="00D90211"/>
    <w:rsid w:val="00D91B99"/>
    <w:rsid w:val="00D927D4"/>
    <w:rsid w:val="00D92CC4"/>
    <w:rsid w:val="00D92E8A"/>
    <w:rsid w:val="00D9321B"/>
    <w:rsid w:val="00D95860"/>
    <w:rsid w:val="00D9640B"/>
    <w:rsid w:val="00D96AEC"/>
    <w:rsid w:val="00D96D64"/>
    <w:rsid w:val="00D96FB7"/>
    <w:rsid w:val="00D973AD"/>
    <w:rsid w:val="00D97B0C"/>
    <w:rsid w:val="00D97C85"/>
    <w:rsid w:val="00D97E0C"/>
    <w:rsid w:val="00DA053A"/>
    <w:rsid w:val="00DA0DFD"/>
    <w:rsid w:val="00DA1185"/>
    <w:rsid w:val="00DA3272"/>
    <w:rsid w:val="00DA577F"/>
    <w:rsid w:val="00DA68A0"/>
    <w:rsid w:val="00DA715C"/>
    <w:rsid w:val="00DA7246"/>
    <w:rsid w:val="00DA7782"/>
    <w:rsid w:val="00DA7BBB"/>
    <w:rsid w:val="00DA7D45"/>
    <w:rsid w:val="00DB0B4E"/>
    <w:rsid w:val="00DB2410"/>
    <w:rsid w:val="00DB31D4"/>
    <w:rsid w:val="00DB3210"/>
    <w:rsid w:val="00DB37A5"/>
    <w:rsid w:val="00DB3ABF"/>
    <w:rsid w:val="00DB3FD9"/>
    <w:rsid w:val="00DB5D34"/>
    <w:rsid w:val="00DB6A56"/>
    <w:rsid w:val="00DB6EAB"/>
    <w:rsid w:val="00DB737B"/>
    <w:rsid w:val="00DB7A38"/>
    <w:rsid w:val="00DC25A2"/>
    <w:rsid w:val="00DC3F7C"/>
    <w:rsid w:val="00DC553F"/>
    <w:rsid w:val="00DC6042"/>
    <w:rsid w:val="00DC6611"/>
    <w:rsid w:val="00DC6C89"/>
    <w:rsid w:val="00DC72A7"/>
    <w:rsid w:val="00DC7716"/>
    <w:rsid w:val="00DD03AE"/>
    <w:rsid w:val="00DD054A"/>
    <w:rsid w:val="00DD22EF"/>
    <w:rsid w:val="00DD3211"/>
    <w:rsid w:val="00DD32BB"/>
    <w:rsid w:val="00DD3F88"/>
    <w:rsid w:val="00DD4176"/>
    <w:rsid w:val="00DD41BA"/>
    <w:rsid w:val="00DD5A03"/>
    <w:rsid w:val="00DD5C23"/>
    <w:rsid w:val="00DD5FCC"/>
    <w:rsid w:val="00DD7B41"/>
    <w:rsid w:val="00DE2000"/>
    <w:rsid w:val="00DE26AB"/>
    <w:rsid w:val="00DE2A86"/>
    <w:rsid w:val="00DE2CB2"/>
    <w:rsid w:val="00DE4CF2"/>
    <w:rsid w:val="00DE4FF6"/>
    <w:rsid w:val="00DE5B7B"/>
    <w:rsid w:val="00DE6B78"/>
    <w:rsid w:val="00DE6D6E"/>
    <w:rsid w:val="00DE73FC"/>
    <w:rsid w:val="00DF0FD7"/>
    <w:rsid w:val="00DF1518"/>
    <w:rsid w:val="00DF1824"/>
    <w:rsid w:val="00DF2C54"/>
    <w:rsid w:val="00DF314A"/>
    <w:rsid w:val="00DF35E2"/>
    <w:rsid w:val="00DF4435"/>
    <w:rsid w:val="00DF47AC"/>
    <w:rsid w:val="00DF4E2C"/>
    <w:rsid w:val="00DF57C9"/>
    <w:rsid w:val="00DF5FDB"/>
    <w:rsid w:val="00DF6B1D"/>
    <w:rsid w:val="00DF7AE3"/>
    <w:rsid w:val="00E00583"/>
    <w:rsid w:val="00E006D3"/>
    <w:rsid w:val="00E008D6"/>
    <w:rsid w:val="00E01148"/>
    <w:rsid w:val="00E01267"/>
    <w:rsid w:val="00E03943"/>
    <w:rsid w:val="00E04117"/>
    <w:rsid w:val="00E04809"/>
    <w:rsid w:val="00E07877"/>
    <w:rsid w:val="00E11753"/>
    <w:rsid w:val="00E1274E"/>
    <w:rsid w:val="00E13F95"/>
    <w:rsid w:val="00E16A8F"/>
    <w:rsid w:val="00E1745C"/>
    <w:rsid w:val="00E177C8"/>
    <w:rsid w:val="00E17A64"/>
    <w:rsid w:val="00E17D2A"/>
    <w:rsid w:val="00E2033A"/>
    <w:rsid w:val="00E207C8"/>
    <w:rsid w:val="00E212E2"/>
    <w:rsid w:val="00E21C4D"/>
    <w:rsid w:val="00E21E4F"/>
    <w:rsid w:val="00E21FC0"/>
    <w:rsid w:val="00E22084"/>
    <w:rsid w:val="00E22DD8"/>
    <w:rsid w:val="00E235D4"/>
    <w:rsid w:val="00E23E24"/>
    <w:rsid w:val="00E241F6"/>
    <w:rsid w:val="00E25548"/>
    <w:rsid w:val="00E263AC"/>
    <w:rsid w:val="00E27E84"/>
    <w:rsid w:val="00E27F24"/>
    <w:rsid w:val="00E30281"/>
    <w:rsid w:val="00E3055B"/>
    <w:rsid w:val="00E30807"/>
    <w:rsid w:val="00E3247D"/>
    <w:rsid w:val="00E32DFF"/>
    <w:rsid w:val="00E3350F"/>
    <w:rsid w:val="00E33618"/>
    <w:rsid w:val="00E3383D"/>
    <w:rsid w:val="00E353A3"/>
    <w:rsid w:val="00E36A64"/>
    <w:rsid w:val="00E37B54"/>
    <w:rsid w:val="00E40743"/>
    <w:rsid w:val="00E40C83"/>
    <w:rsid w:val="00E40FCF"/>
    <w:rsid w:val="00E41A04"/>
    <w:rsid w:val="00E429F7"/>
    <w:rsid w:val="00E42CAD"/>
    <w:rsid w:val="00E443F2"/>
    <w:rsid w:val="00E444DA"/>
    <w:rsid w:val="00E44537"/>
    <w:rsid w:val="00E46463"/>
    <w:rsid w:val="00E47344"/>
    <w:rsid w:val="00E505B0"/>
    <w:rsid w:val="00E50C5B"/>
    <w:rsid w:val="00E52B6C"/>
    <w:rsid w:val="00E53850"/>
    <w:rsid w:val="00E53B61"/>
    <w:rsid w:val="00E53D0B"/>
    <w:rsid w:val="00E54030"/>
    <w:rsid w:val="00E54363"/>
    <w:rsid w:val="00E554C5"/>
    <w:rsid w:val="00E56250"/>
    <w:rsid w:val="00E56D9D"/>
    <w:rsid w:val="00E57EA0"/>
    <w:rsid w:val="00E61228"/>
    <w:rsid w:val="00E612A7"/>
    <w:rsid w:val="00E61F33"/>
    <w:rsid w:val="00E623D5"/>
    <w:rsid w:val="00E62BC3"/>
    <w:rsid w:val="00E63067"/>
    <w:rsid w:val="00E6335B"/>
    <w:rsid w:val="00E6468C"/>
    <w:rsid w:val="00E64CC9"/>
    <w:rsid w:val="00E65EA9"/>
    <w:rsid w:val="00E66095"/>
    <w:rsid w:val="00E6617C"/>
    <w:rsid w:val="00E710E3"/>
    <w:rsid w:val="00E712EC"/>
    <w:rsid w:val="00E71F22"/>
    <w:rsid w:val="00E727FE"/>
    <w:rsid w:val="00E73444"/>
    <w:rsid w:val="00E734DE"/>
    <w:rsid w:val="00E738E8"/>
    <w:rsid w:val="00E7501D"/>
    <w:rsid w:val="00E75CD0"/>
    <w:rsid w:val="00E77580"/>
    <w:rsid w:val="00E77A70"/>
    <w:rsid w:val="00E8005D"/>
    <w:rsid w:val="00E81224"/>
    <w:rsid w:val="00E8167F"/>
    <w:rsid w:val="00E81717"/>
    <w:rsid w:val="00E82F26"/>
    <w:rsid w:val="00E838DC"/>
    <w:rsid w:val="00E84694"/>
    <w:rsid w:val="00E84BA5"/>
    <w:rsid w:val="00E8559F"/>
    <w:rsid w:val="00E864D3"/>
    <w:rsid w:val="00E87185"/>
    <w:rsid w:val="00E873CC"/>
    <w:rsid w:val="00E876C7"/>
    <w:rsid w:val="00E87F9D"/>
    <w:rsid w:val="00E923C4"/>
    <w:rsid w:val="00E92CD9"/>
    <w:rsid w:val="00E939E5"/>
    <w:rsid w:val="00E960A9"/>
    <w:rsid w:val="00E96B44"/>
    <w:rsid w:val="00E971B4"/>
    <w:rsid w:val="00E9741B"/>
    <w:rsid w:val="00E9760D"/>
    <w:rsid w:val="00EA0150"/>
    <w:rsid w:val="00EA13F1"/>
    <w:rsid w:val="00EA1DD0"/>
    <w:rsid w:val="00EA23B8"/>
    <w:rsid w:val="00EA2D9C"/>
    <w:rsid w:val="00EA31B3"/>
    <w:rsid w:val="00EA3BF4"/>
    <w:rsid w:val="00EA3DF0"/>
    <w:rsid w:val="00EA43AD"/>
    <w:rsid w:val="00EA518A"/>
    <w:rsid w:val="00EA5757"/>
    <w:rsid w:val="00EA5789"/>
    <w:rsid w:val="00EA5B09"/>
    <w:rsid w:val="00EA5EF0"/>
    <w:rsid w:val="00EA5F2A"/>
    <w:rsid w:val="00EA7165"/>
    <w:rsid w:val="00EA79AA"/>
    <w:rsid w:val="00EA7F85"/>
    <w:rsid w:val="00EB022A"/>
    <w:rsid w:val="00EB17B6"/>
    <w:rsid w:val="00EB195D"/>
    <w:rsid w:val="00EB1A21"/>
    <w:rsid w:val="00EB1C09"/>
    <w:rsid w:val="00EB2683"/>
    <w:rsid w:val="00EB2DAE"/>
    <w:rsid w:val="00EB54CE"/>
    <w:rsid w:val="00EB6A8B"/>
    <w:rsid w:val="00EB7C08"/>
    <w:rsid w:val="00EC061F"/>
    <w:rsid w:val="00EC10A7"/>
    <w:rsid w:val="00EC17E7"/>
    <w:rsid w:val="00EC272E"/>
    <w:rsid w:val="00EC3B36"/>
    <w:rsid w:val="00EC4164"/>
    <w:rsid w:val="00EC42F2"/>
    <w:rsid w:val="00EC4980"/>
    <w:rsid w:val="00EC5484"/>
    <w:rsid w:val="00EC59AC"/>
    <w:rsid w:val="00EC5FDA"/>
    <w:rsid w:val="00EC63D5"/>
    <w:rsid w:val="00EC7397"/>
    <w:rsid w:val="00EC7A19"/>
    <w:rsid w:val="00EC7F50"/>
    <w:rsid w:val="00EC7F6E"/>
    <w:rsid w:val="00ED0E21"/>
    <w:rsid w:val="00ED1844"/>
    <w:rsid w:val="00ED219B"/>
    <w:rsid w:val="00ED4648"/>
    <w:rsid w:val="00ED47C7"/>
    <w:rsid w:val="00ED6C7A"/>
    <w:rsid w:val="00ED7096"/>
    <w:rsid w:val="00ED7771"/>
    <w:rsid w:val="00ED7ABC"/>
    <w:rsid w:val="00EE015C"/>
    <w:rsid w:val="00EE07C3"/>
    <w:rsid w:val="00EE0C74"/>
    <w:rsid w:val="00EE0F67"/>
    <w:rsid w:val="00EE2CC2"/>
    <w:rsid w:val="00EE3C27"/>
    <w:rsid w:val="00EE4C3E"/>
    <w:rsid w:val="00EE54DB"/>
    <w:rsid w:val="00EE6082"/>
    <w:rsid w:val="00EE6D32"/>
    <w:rsid w:val="00EE7B55"/>
    <w:rsid w:val="00EF03EA"/>
    <w:rsid w:val="00EF0EC0"/>
    <w:rsid w:val="00EF12D0"/>
    <w:rsid w:val="00EF27F3"/>
    <w:rsid w:val="00EF2975"/>
    <w:rsid w:val="00EF3122"/>
    <w:rsid w:val="00EF34DF"/>
    <w:rsid w:val="00EF38A8"/>
    <w:rsid w:val="00EF3C45"/>
    <w:rsid w:val="00EF5556"/>
    <w:rsid w:val="00EF56CF"/>
    <w:rsid w:val="00EF5953"/>
    <w:rsid w:val="00EF6012"/>
    <w:rsid w:val="00EF60BD"/>
    <w:rsid w:val="00EF6609"/>
    <w:rsid w:val="00EF7B0E"/>
    <w:rsid w:val="00F00168"/>
    <w:rsid w:val="00F009BC"/>
    <w:rsid w:val="00F00C68"/>
    <w:rsid w:val="00F01A31"/>
    <w:rsid w:val="00F01BEF"/>
    <w:rsid w:val="00F01EE2"/>
    <w:rsid w:val="00F02801"/>
    <w:rsid w:val="00F03181"/>
    <w:rsid w:val="00F0352F"/>
    <w:rsid w:val="00F0416B"/>
    <w:rsid w:val="00F05B08"/>
    <w:rsid w:val="00F060AA"/>
    <w:rsid w:val="00F06843"/>
    <w:rsid w:val="00F101E6"/>
    <w:rsid w:val="00F1040D"/>
    <w:rsid w:val="00F127D1"/>
    <w:rsid w:val="00F13329"/>
    <w:rsid w:val="00F13EA0"/>
    <w:rsid w:val="00F14059"/>
    <w:rsid w:val="00F14664"/>
    <w:rsid w:val="00F14C4A"/>
    <w:rsid w:val="00F14E2B"/>
    <w:rsid w:val="00F17530"/>
    <w:rsid w:val="00F1795D"/>
    <w:rsid w:val="00F201AF"/>
    <w:rsid w:val="00F219E9"/>
    <w:rsid w:val="00F24971"/>
    <w:rsid w:val="00F24AFC"/>
    <w:rsid w:val="00F272E3"/>
    <w:rsid w:val="00F275E9"/>
    <w:rsid w:val="00F30498"/>
    <w:rsid w:val="00F31466"/>
    <w:rsid w:val="00F31EA9"/>
    <w:rsid w:val="00F3200A"/>
    <w:rsid w:val="00F32D50"/>
    <w:rsid w:val="00F32D92"/>
    <w:rsid w:val="00F32E21"/>
    <w:rsid w:val="00F3324A"/>
    <w:rsid w:val="00F33282"/>
    <w:rsid w:val="00F3457D"/>
    <w:rsid w:val="00F35C2E"/>
    <w:rsid w:val="00F36EEB"/>
    <w:rsid w:val="00F37066"/>
    <w:rsid w:val="00F40F51"/>
    <w:rsid w:val="00F416E0"/>
    <w:rsid w:val="00F41E8D"/>
    <w:rsid w:val="00F4213C"/>
    <w:rsid w:val="00F43BEE"/>
    <w:rsid w:val="00F43CB1"/>
    <w:rsid w:val="00F447A3"/>
    <w:rsid w:val="00F44ABD"/>
    <w:rsid w:val="00F4587B"/>
    <w:rsid w:val="00F45D84"/>
    <w:rsid w:val="00F468D5"/>
    <w:rsid w:val="00F46CE3"/>
    <w:rsid w:val="00F50A53"/>
    <w:rsid w:val="00F51975"/>
    <w:rsid w:val="00F530DA"/>
    <w:rsid w:val="00F539D0"/>
    <w:rsid w:val="00F53D7C"/>
    <w:rsid w:val="00F542D4"/>
    <w:rsid w:val="00F542DF"/>
    <w:rsid w:val="00F5444F"/>
    <w:rsid w:val="00F548E7"/>
    <w:rsid w:val="00F5492E"/>
    <w:rsid w:val="00F54FC2"/>
    <w:rsid w:val="00F55A6C"/>
    <w:rsid w:val="00F56585"/>
    <w:rsid w:val="00F567B0"/>
    <w:rsid w:val="00F56EF3"/>
    <w:rsid w:val="00F6090C"/>
    <w:rsid w:val="00F62694"/>
    <w:rsid w:val="00F626B3"/>
    <w:rsid w:val="00F62DBC"/>
    <w:rsid w:val="00F6396B"/>
    <w:rsid w:val="00F63E8B"/>
    <w:rsid w:val="00F647E6"/>
    <w:rsid w:val="00F654DD"/>
    <w:rsid w:val="00F65A18"/>
    <w:rsid w:val="00F65AEE"/>
    <w:rsid w:val="00F65C2E"/>
    <w:rsid w:val="00F66BB0"/>
    <w:rsid w:val="00F66FCC"/>
    <w:rsid w:val="00F6772B"/>
    <w:rsid w:val="00F701A5"/>
    <w:rsid w:val="00F71597"/>
    <w:rsid w:val="00F723B4"/>
    <w:rsid w:val="00F72BA9"/>
    <w:rsid w:val="00F72F2A"/>
    <w:rsid w:val="00F72FF2"/>
    <w:rsid w:val="00F73E04"/>
    <w:rsid w:val="00F76D19"/>
    <w:rsid w:val="00F774EC"/>
    <w:rsid w:val="00F77F7D"/>
    <w:rsid w:val="00F800CD"/>
    <w:rsid w:val="00F80202"/>
    <w:rsid w:val="00F80B74"/>
    <w:rsid w:val="00F80F41"/>
    <w:rsid w:val="00F810D8"/>
    <w:rsid w:val="00F83E4D"/>
    <w:rsid w:val="00F84E95"/>
    <w:rsid w:val="00F87788"/>
    <w:rsid w:val="00F9022E"/>
    <w:rsid w:val="00F91160"/>
    <w:rsid w:val="00F92586"/>
    <w:rsid w:val="00F94CFE"/>
    <w:rsid w:val="00F95A35"/>
    <w:rsid w:val="00F95DCF"/>
    <w:rsid w:val="00F96ED1"/>
    <w:rsid w:val="00F96EDE"/>
    <w:rsid w:val="00F97E1F"/>
    <w:rsid w:val="00FA010D"/>
    <w:rsid w:val="00FA1472"/>
    <w:rsid w:val="00FA14A1"/>
    <w:rsid w:val="00FA1E72"/>
    <w:rsid w:val="00FA1F77"/>
    <w:rsid w:val="00FA230A"/>
    <w:rsid w:val="00FA2A54"/>
    <w:rsid w:val="00FA3E75"/>
    <w:rsid w:val="00FA4255"/>
    <w:rsid w:val="00FA4BC6"/>
    <w:rsid w:val="00FA5297"/>
    <w:rsid w:val="00FA650A"/>
    <w:rsid w:val="00FA6B69"/>
    <w:rsid w:val="00FA6BEE"/>
    <w:rsid w:val="00FA6C8F"/>
    <w:rsid w:val="00FA78F9"/>
    <w:rsid w:val="00FB01CC"/>
    <w:rsid w:val="00FB08DB"/>
    <w:rsid w:val="00FB0928"/>
    <w:rsid w:val="00FB0B60"/>
    <w:rsid w:val="00FB1639"/>
    <w:rsid w:val="00FB197E"/>
    <w:rsid w:val="00FB3A98"/>
    <w:rsid w:val="00FB3C72"/>
    <w:rsid w:val="00FB48A7"/>
    <w:rsid w:val="00FB4B97"/>
    <w:rsid w:val="00FB51EB"/>
    <w:rsid w:val="00FB586A"/>
    <w:rsid w:val="00FB610D"/>
    <w:rsid w:val="00FB7C70"/>
    <w:rsid w:val="00FC03D6"/>
    <w:rsid w:val="00FC0A71"/>
    <w:rsid w:val="00FC27EF"/>
    <w:rsid w:val="00FC3152"/>
    <w:rsid w:val="00FC4051"/>
    <w:rsid w:val="00FC48EC"/>
    <w:rsid w:val="00FC4C6E"/>
    <w:rsid w:val="00FC5638"/>
    <w:rsid w:val="00FC5A4C"/>
    <w:rsid w:val="00FC649F"/>
    <w:rsid w:val="00FC6CBE"/>
    <w:rsid w:val="00FC7104"/>
    <w:rsid w:val="00FC72C9"/>
    <w:rsid w:val="00FC7F9C"/>
    <w:rsid w:val="00FD0110"/>
    <w:rsid w:val="00FD11CA"/>
    <w:rsid w:val="00FD14BE"/>
    <w:rsid w:val="00FD1541"/>
    <w:rsid w:val="00FD1B02"/>
    <w:rsid w:val="00FD1DC2"/>
    <w:rsid w:val="00FD213F"/>
    <w:rsid w:val="00FD29A6"/>
    <w:rsid w:val="00FD2D96"/>
    <w:rsid w:val="00FD365A"/>
    <w:rsid w:val="00FD485B"/>
    <w:rsid w:val="00FD53FA"/>
    <w:rsid w:val="00FD5DBC"/>
    <w:rsid w:val="00FD5E24"/>
    <w:rsid w:val="00FD6079"/>
    <w:rsid w:val="00FD68EE"/>
    <w:rsid w:val="00FE008A"/>
    <w:rsid w:val="00FE0B06"/>
    <w:rsid w:val="00FE0BF3"/>
    <w:rsid w:val="00FE1622"/>
    <w:rsid w:val="00FE178B"/>
    <w:rsid w:val="00FE21A2"/>
    <w:rsid w:val="00FE3472"/>
    <w:rsid w:val="00FE34D2"/>
    <w:rsid w:val="00FE49FB"/>
    <w:rsid w:val="00FE4EB7"/>
    <w:rsid w:val="00FE70F5"/>
    <w:rsid w:val="00FF0386"/>
    <w:rsid w:val="00FF0FDB"/>
    <w:rsid w:val="00FF14B4"/>
    <w:rsid w:val="00FF1DC7"/>
    <w:rsid w:val="00FF32CC"/>
    <w:rsid w:val="00FF3E77"/>
    <w:rsid w:val="00FF4904"/>
    <w:rsid w:val="00FF5113"/>
    <w:rsid w:val="00FF5303"/>
    <w:rsid w:val="00FF5D60"/>
    <w:rsid w:val="00FF6976"/>
    <w:rsid w:val="00FF6D88"/>
    <w:rsid w:val="00FF731C"/>
    <w:rsid w:val="00FF7746"/>
    <w:rsid w:val="011E0E14"/>
    <w:rsid w:val="016659A3"/>
    <w:rsid w:val="01B446F6"/>
    <w:rsid w:val="01C33B02"/>
    <w:rsid w:val="01D953E5"/>
    <w:rsid w:val="01E53AAB"/>
    <w:rsid w:val="02107F0B"/>
    <w:rsid w:val="021B0702"/>
    <w:rsid w:val="02444F58"/>
    <w:rsid w:val="02465C5B"/>
    <w:rsid w:val="026652FE"/>
    <w:rsid w:val="02ED0A5A"/>
    <w:rsid w:val="02FD0CF5"/>
    <w:rsid w:val="030E6009"/>
    <w:rsid w:val="03100FD0"/>
    <w:rsid w:val="032851D3"/>
    <w:rsid w:val="03381309"/>
    <w:rsid w:val="0364779F"/>
    <w:rsid w:val="03976F04"/>
    <w:rsid w:val="03EA02BC"/>
    <w:rsid w:val="041E56C0"/>
    <w:rsid w:val="04216D88"/>
    <w:rsid w:val="04285557"/>
    <w:rsid w:val="044B786F"/>
    <w:rsid w:val="04615905"/>
    <w:rsid w:val="049633F4"/>
    <w:rsid w:val="04BB7663"/>
    <w:rsid w:val="04D1404D"/>
    <w:rsid w:val="05053FC0"/>
    <w:rsid w:val="05054E9D"/>
    <w:rsid w:val="05A2593F"/>
    <w:rsid w:val="05AF1959"/>
    <w:rsid w:val="05C54482"/>
    <w:rsid w:val="05E95416"/>
    <w:rsid w:val="06047B07"/>
    <w:rsid w:val="061809C1"/>
    <w:rsid w:val="06C14E61"/>
    <w:rsid w:val="06CA61D5"/>
    <w:rsid w:val="06D0215B"/>
    <w:rsid w:val="074D3A78"/>
    <w:rsid w:val="07A24FF6"/>
    <w:rsid w:val="07AE1B14"/>
    <w:rsid w:val="07DF673B"/>
    <w:rsid w:val="082654E3"/>
    <w:rsid w:val="08720109"/>
    <w:rsid w:val="08C31371"/>
    <w:rsid w:val="08E1269F"/>
    <w:rsid w:val="090D6BB5"/>
    <w:rsid w:val="09132887"/>
    <w:rsid w:val="098552F6"/>
    <w:rsid w:val="099346C1"/>
    <w:rsid w:val="09A3752E"/>
    <w:rsid w:val="09E718F7"/>
    <w:rsid w:val="0A81498E"/>
    <w:rsid w:val="0A8D792B"/>
    <w:rsid w:val="0A8E1991"/>
    <w:rsid w:val="0AA7734F"/>
    <w:rsid w:val="0AC076B1"/>
    <w:rsid w:val="0AC74ABE"/>
    <w:rsid w:val="0AD153CD"/>
    <w:rsid w:val="0AFE6D9B"/>
    <w:rsid w:val="0B015A69"/>
    <w:rsid w:val="0B2C69E0"/>
    <w:rsid w:val="0B36385F"/>
    <w:rsid w:val="0B5007FB"/>
    <w:rsid w:val="0B623656"/>
    <w:rsid w:val="0B735CDC"/>
    <w:rsid w:val="0B7D54E6"/>
    <w:rsid w:val="0B996E37"/>
    <w:rsid w:val="0B9B38EC"/>
    <w:rsid w:val="0BDF4286"/>
    <w:rsid w:val="0C150E00"/>
    <w:rsid w:val="0C1856E4"/>
    <w:rsid w:val="0C26136F"/>
    <w:rsid w:val="0CE912F0"/>
    <w:rsid w:val="0D0A1659"/>
    <w:rsid w:val="0D3D54C7"/>
    <w:rsid w:val="0DBE33D5"/>
    <w:rsid w:val="0DC25720"/>
    <w:rsid w:val="0DD643C0"/>
    <w:rsid w:val="0E7C03D1"/>
    <w:rsid w:val="0E9809C4"/>
    <w:rsid w:val="0EA45708"/>
    <w:rsid w:val="0ED057F2"/>
    <w:rsid w:val="0EF22731"/>
    <w:rsid w:val="0EF71E41"/>
    <w:rsid w:val="0F2F317A"/>
    <w:rsid w:val="0F3B25A1"/>
    <w:rsid w:val="0F4765FA"/>
    <w:rsid w:val="0F5300B8"/>
    <w:rsid w:val="0F5822E6"/>
    <w:rsid w:val="0F664C3C"/>
    <w:rsid w:val="0F763029"/>
    <w:rsid w:val="0F770868"/>
    <w:rsid w:val="10137342"/>
    <w:rsid w:val="1043053E"/>
    <w:rsid w:val="1065327D"/>
    <w:rsid w:val="10A40392"/>
    <w:rsid w:val="10CC699D"/>
    <w:rsid w:val="114A289D"/>
    <w:rsid w:val="11D471CF"/>
    <w:rsid w:val="11E12C61"/>
    <w:rsid w:val="11EB590F"/>
    <w:rsid w:val="11FF7DB4"/>
    <w:rsid w:val="122D52DF"/>
    <w:rsid w:val="123D337B"/>
    <w:rsid w:val="12415807"/>
    <w:rsid w:val="126C0EEC"/>
    <w:rsid w:val="1279795D"/>
    <w:rsid w:val="12867AF7"/>
    <w:rsid w:val="129A06D9"/>
    <w:rsid w:val="12A130A0"/>
    <w:rsid w:val="12A65839"/>
    <w:rsid w:val="137C0484"/>
    <w:rsid w:val="13920429"/>
    <w:rsid w:val="13987DB4"/>
    <w:rsid w:val="139B4F76"/>
    <w:rsid w:val="14155180"/>
    <w:rsid w:val="14231F17"/>
    <w:rsid w:val="14386639"/>
    <w:rsid w:val="143B09BF"/>
    <w:rsid w:val="144E1943"/>
    <w:rsid w:val="146F6147"/>
    <w:rsid w:val="14D54AD2"/>
    <w:rsid w:val="14F50D97"/>
    <w:rsid w:val="151571E1"/>
    <w:rsid w:val="152E36CE"/>
    <w:rsid w:val="15410204"/>
    <w:rsid w:val="15B73898"/>
    <w:rsid w:val="15C80049"/>
    <w:rsid w:val="15C942D6"/>
    <w:rsid w:val="160C7BAA"/>
    <w:rsid w:val="163B7BB0"/>
    <w:rsid w:val="166246C5"/>
    <w:rsid w:val="16EB2678"/>
    <w:rsid w:val="16EB6534"/>
    <w:rsid w:val="16F353E2"/>
    <w:rsid w:val="17010E39"/>
    <w:rsid w:val="17623942"/>
    <w:rsid w:val="17895AAB"/>
    <w:rsid w:val="17DE7734"/>
    <w:rsid w:val="17F4515B"/>
    <w:rsid w:val="18345121"/>
    <w:rsid w:val="18752231"/>
    <w:rsid w:val="18915EA1"/>
    <w:rsid w:val="189F77F2"/>
    <w:rsid w:val="18BA5E1D"/>
    <w:rsid w:val="18D97CAE"/>
    <w:rsid w:val="191517F7"/>
    <w:rsid w:val="19342300"/>
    <w:rsid w:val="195924A3"/>
    <w:rsid w:val="196562B6"/>
    <w:rsid w:val="19AF5B64"/>
    <w:rsid w:val="19BE046D"/>
    <w:rsid w:val="19CF7B58"/>
    <w:rsid w:val="19D652F0"/>
    <w:rsid w:val="1A1B2DF6"/>
    <w:rsid w:val="1A325A0A"/>
    <w:rsid w:val="1A9953AD"/>
    <w:rsid w:val="1AD70716"/>
    <w:rsid w:val="1AF03D17"/>
    <w:rsid w:val="1B3C244D"/>
    <w:rsid w:val="1C055A2E"/>
    <w:rsid w:val="1C4908DD"/>
    <w:rsid w:val="1C7D35B9"/>
    <w:rsid w:val="1D0C6137"/>
    <w:rsid w:val="1D185159"/>
    <w:rsid w:val="1D886409"/>
    <w:rsid w:val="1DEB7D24"/>
    <w:rsid w:val="1E0C29E4"/>
    <w:rsid w:val="1E517502"/>
    <w:rsid w:val="1E723480"/>
    <w:rsid w:val="1E926CF4"/>
    <w:rsid w:val="1E95273B"/>
    <w:rsid w:val="1EA44F54"/>
    <w:rsid w:val="1F723023"/>
    <w:rsid w:val="1F76404B"/>
    <w:rsid w:val="1FB91747"/>
    <w:rsid w:val="1FD706E1"/>
    <w:rsid w:val="20387569"/>
    <w:rsid w:val="203D42E8"/>
    <w:rsid w:val="20596388"/>
    <w:rsid w:val="20B02857"/>
    <w:rsid w:val="20BA489F"/>
    <w:rsid w:val="20DB25F5"/>
    <w:rsid w:val="210B266F"/>
    <w:rsid w:val="2139298F"/>
    <w:rsid w:val="21543872"/>
    <w:rsid w:val="216D057C"/>
    <w:rsid w:val="21920809"/>
    <w:rsid w:val="21CE03A1"/>
    <w:rsid w:val="21FA01E6"/>
    <w:rsid w:val="22394CF1"/>
    <w:rsid w:val="224940B0"/>
    <w:rsid w:val="224B4871"/>
    <w:rsid w:val="22C3017A"/>
    <w:rsid w:val="22CE5878"/>
    <w:rsid w:val="230B64BD"/>
    <w:rsid w:val="23514C93"/>
    <w:rsid w:val="235D2694"/>
    <w:rsid w:val="23A8799E"/>
    <w:rsid w:val="23E8783A"/>
    <w:rsid w:val="2443571A"/>
    <w:rsid w:val="24557005"/>
    <w:rsid w:val="246D02D3"/>
    <w:rsid w:val="248A1FB1"/>
    <w:rsid w:val="24E63660"/>
    <w:rsid w:val="255824CE"/>
    <w:rsid w:val="25AD0C5F"/>
    <w:rsid w:val="25F03B9E"/>
    <w:rsid w:val="26347CE2"/>
    <w:rsid w:val="26492CDC"/>
    <w:rsid w:val="265D08E6"/>
    <w:rsid w:val="267A6D2E"/>
    <w:rsid w:val="26B4690A"/>
    <w:rsid w:val="26BA3C0A"/>
    <w:rsid w:val="26CA3ADD"/>
    <w:rsid w:val="26E15FF9"/>
    <w:rsid w:val="27555798"/>
    <w:rsid w:val="27584163"/>
    <w:rsid w:val="276F6341"/>
    <w:rsid w:val="2860137D"/>
    <w:rsid w:val="28B27484"/>
    <w:rsid w:val="28BF6452"/>
    <w:rsid w:val="29116510"/>
    <w:rsid w:val="29295CA0"/>
    <w:rsid w:val="293A776B"/>
    <w:rsid w:val="29672C50"/>
    <w:rsid w:val="299B63E3"/>
    <w:rsid w:val="29BB3C6A"/>
    <w:rsid w:val="29E14AC1"/>
    <w:rsid w:val="29FB6052"/>
    <w:rsid w:val="2A070581"/>
    <w:rsid w:val="2A0F5F09"/>
    <w:rsid w:val="2A1F711B"/>
    <w:rsid w:val="2A4A6CC6"/>
    <w:rsid w:val="2AF54989"/>
    <w:rsid w:val="2B0A5D04"/>
    <w:rsid w:val="2B342280"/>
    <w:rsid w:val="2B4B7916"/>
    <w:rsid w:val="2B7A4BE2"/>
    <w:rsid w:val="2C2262F5"/>
    <w:rsid w:val="2C2C2488"/>
    <w:rsid w:val="2C547DC9"/>
    <w:rsid w:val="2C631EE5"/>
    <w:rsid w:val="2CA241D4"/>
    <w:rsid w:val="2CEF21C5"/>
    <w:rsid w:val="2D323F34"/>
    <w:rsid w:val="2D3C48A2"/>
    <w:rsid w:val="2D3F5F50"/>
    <w:rsid w:val="2D854ED7"/>
    <w:rsid w:val="2E0F0247"/>
    <w:rsid w:val="2E293BD1"/>
    <w:rsid w:val="2E4A4A00"/>
    <w:rsid w:val="2E660AAD"/>
    <w:rsid w:val="2E6905A4"/>
    <w:rsid w:val="2E7F113B"/>
    <w:rsid w:val="2E8552CA"/>
    <w:rsid w:val="2E9438E5"/>
    <w:rsid w:val="2E9D3528"/>
    <w:rsid w:val="2EF2402D"/>
    <w:rsid w:val="2EF9001C"/>
    <w:rsid w:val="2F35516E"/>
    <w:rsid w:val="2F7F5767"/>
    <w:rsid w:val="2FA50335"/>
    <w:rsid w:val="2FBD3697"/>
    <w:rsid w:val="303134C3"/>
    <w:rsid w:val="30440E1B"/>
    <w:rsid w:val="3048164E"/>
    <w:rsid w:val="30825925"/>
    <w:rsid w:val="30CF6BAA"/>
    <w:rsid w:val="31026712"/>
    <w:rsid w:val="3171402C"/>
    <w:rsid w:val="31CE7B45"/>
    <w:rsid w:val="31E032E3"/>
    <w:rsid w:val="32045FB5"/>
    <w:rsid w:val="326D0948"/>
    <w:rsid w:val="32730F2A"/>
    <w:rsid w:val="32D33B70"/>
    <w:rsid w:val="3303027D"/>
    <w:rsid w:val="33337523"/>
    <w:rsid w:val="334F7007"/>
    <w:rsid w:val="3388793F"/>
    <w:rsid w:val="342F5983"/>
    <w:rsid w:val="34432ACD"/>
    <w:rsid w:val="34692B61"/>
    <w:rsid w:val="34C15B80"/>
    <w:rsid w:val="34D92C69"/>
    <w:rsid w:val="34F81AAD"/>
    <w:rsid w:val="34FE1ED9"/>
    <w:rsid w:val="351608A7"/>
    <w:rsid w:val="35B6712B"/>
    <w:rsid w:val="36182EB1"/>
    <w:rsid w:val="362F1373"/>
    <w:rsid w:val="36414B11"/>
    <w:rsid w:val="3649295F"/>
    <w:rsid w:val="364D1456"/>
    <w:rsid w:val="36715FD4"/>
    <w:rsid w:val="36992FA1"/>
    <w:rsid w:val="36B166DF"/>
    <w:rsid w:val="375C7ABF"/>
    <w:rsid w:val="37B27657"/>
    <w:rsid w:val="37BF12B5"/>
    <w:rsid w:val="381A4397"/>
    <w:rsid w:val="38A04AE7"/>
    <w:rsid w:val="38B26939"/>
    <w:rsid w:val="38DC2091"/>
    <w:rsid w:val="390534CF"/>
    <w:rsid w:val="39246C67"/>
    <w:rsid w:val="393F2071"/>
    <w:rsid w:val="397E0157"/>
    <w:rsid w:val="39A46099"/>
    <w:rsid w:val="39E24C55"/>
    <w:rsid w:val="3A013538"/>
    <w:rsid w:val="3A3C7CF0"/>
    <w:rsid w:val="3A53144C"/>
    <w:rsid w:val="3AA51A04"/>
    <w:rsid w:val="3AC26874"/>
    <w:rsid w:val="3ADE3C33"/>
    <w:rsid w:val="3AE66A91"/>
    <w:rsid w:val="3AE762BA"/>
    <w:rsid w:val="3B651900"/>
    <w:rsid w:val="3BB54307"/>
    <w:rsid w:val="3BCD6114"/>
    <w:rsid w:val="3BFF4B4F"/>
    <w:rsid w:val="3C684F3F"/>
    <w:rsid w:val="3C9E707E"/>
    <w:rsid w:val="3D5854BC"/>
    <w:rsid w:val="3DB67B4B"/>
    <w:rsid w:val="3E2E16FF"/>
    <w:rsid w:val="3E534080"/>
    <w:rsid w:val="3E7E2C9D"/>
    <w:rsid w:val="3E9A0644"/>
    <w:rsid w:val="3EE86FEB"/>
    <w:rsid w:val="3F5A7497"/>
    <w:rsid w:val="3F6A6298"/>
    <w:rsid w:val="3F941F46"/>
    <w:rsid w:val="3FFA172F"/>
    <w:rsid w:val="40522289"/>
    <w:rsid w:val="406B78E6"/>
    <w:rsid w:val="407E021A"/>
    <w:rsid w:val="40B717BD"/>
    <w:rsid w:val="412A0477"/>
    <w:rsid w:val="412D251C"/>
    <w:rsid w:val="41743D8D"/>
    <w:rsid w:val="417A6B51"/>
    <w:rsid w:val="41C815FA"/>
    <w:rsid w:val="41EF4D3D"/>
    <w:rsid w:val="4258035E"/>
    <w:rsid w:val="428D0233"/>
    <w:rsid w:val="42BF5592"/>
    <w:rsid w:val="42D737C5"/>
    <w:rsid w:val="43295E4C"/>
    <w:rsid w:val="43575BF4"/>
    <w:rsid w:val="43B26B9C"/>
    <w:rsid w:val="43BF43DE"/>
    <w:rsid w:val="43E47E82"/>
    <w:rsid w:val="43EE1255"/>
    <w:rsid w:val="43FA2813"/>
    <w:rsid w:val="442060FF"/>
    <w:rsid w:val="44631243"/>
    <w:rsid w:val="44935579"/>
    <w:rsid w:val="44970E80"/>
    <w:rsid w:val="45145155"/>
    <w:rsid w:val="452A7916"/>
    <w:rsid w:val="4537448D"/>
    <w:rsid w:val="45570552"/>
    <w:rsid w:val="45A5284F"/>
    <w:rsid w:val="45C844D6"/>
    <w:rsid w:val="45D30BBA"/>
    <w:rsid w:val="46284C7E"/>
    <w:rsid w:val="462D14AE"/>
    <w:rsid w:val="468034B7"/>
    <w:rsid w:val="4691231E"/>
    <w:rsid w:val="46E147D5"/>
    <w:rsid w:val="46EE6563"/>
    <w:rsid w:val="46F73F48"/>
    <w:rsid w:val="472A0B4B"/>
    <w:rsid w:val="47FA2D23"/>
    <w:rsid w:val="48463F68"/>
    <w:rsid w:val="48925E6F"/>
    <w:rsid w:val="48BF3D66"/>
    <w:rsid w:val="48ED35B0"/>
    <w:rsid w:val="496D7354"/>
    <w:rsid w:val="49796A18"/>
    <w:rsid w:val="49D94E4E"/>
    <w:rsid w:val="49FD0A87"/>
    <w:rsid w:val="4A4E776D"/>
    <w:rsid w:val="4B182C41"/>
    <w:rsid w:val="4B234855"/>
    <w:rsid w:val="4B49281C"/>
    <w:rsid w:val="4B767F17"/>
    <w:rsid w:val="4BB17AF9"/>
    <w:rsid w:val="4BB75AF7"/>
    <w:rsid w:val="4BBC05E7"/>
    <w:rsid w:val="4C6F46DC"/>
    <w:rsid w:val="4C81306E"/>
    <w:rsid w:val="4CAB710D"/>
    <w:rsid w:val="4CFD3A89"/>
    <w:rsid w:val="4D1F6C5C"/>
    <w:rsid w:val="4D203FBB"/>
    <w:rsid w:val="4D411081"/>
    <w:rsid w:val="4D480957"/>
    <w:rsid w:val="4D5108E3"/>
    <w:rsid w:val="4D5353DF"/>
    <w:rsid w:val="4D8D2521"/>
    <w:rsid w:val="4DF61785"/>
    <w:rsid w:val="4E2C224E"/>
    <w:rsid w:val="4E364B42"/>
    <w:rsid w:val="4E603D2D"/>
    <w:rsid w:val="4E6D3230"/>
    <w:rsid w:val="4E970EE5"/>
    <w:rsid w:val="4EF32AA6"/>
    <w:rsid w:val="4F060038"/>
    <w:rsid w:val="4FCC57B2"/>
    <w:rsid w:val="4FCC5ACF"/>
    <w:rsid w:val="50087659"/>
    <w:rsid w:val="508F1A38"/>
    <w:rsid w:val="50CE4FF6"/>
    <w:rsid w:val="513C2F79"/>
    <w:rsid w:val="513F5A74"/>
    <w:rsid w:val="514C32C9"/>
    <w:rsid w:val="519B0C71"/>
    <w:rsid w:val="51A64A80"/>
    <w:rsid w:val="51E02C7B"/>
    <w:rsid w:val="51EA16AB"/>
    <w:rsid w:val="528A2DC6"/>
    <w:rsid w:val="52B4288B"/>
    <w:rsid w:val="52F65BF6"/>
    <w:rsid w:val="53142CA0"/>
    <w:rsid w:val="536A2D4D"/>
    <w:rsid w:val="539D713D"/>
    <w:rsid w:val="53AB6A45"/>
    <w:rsid w:val="53B15DDD"/>
    <w:rsid w:val="53B21724"/>
    <w:rsid w:val="54471B54"/>
    <w:rsid w:val="549B26C2"/>
    <w:rsid w:val="552D3642"/>
    <w:rsid w:val="55382303"/>
    <w:rsid w:val="553B04B7"/>
    <w:rsid w:val="55DE5D88"/>
    <w:rsid w:val="569C70D2"/>
    <w:rsid w:val="56E25395"/>
    <w:rsid w:val="56E65920"/>
    <w:rsid w:val="56E800D7"/>
    <w:rsid w:val="571D30B2"/>
    <w:rsid w:val="572A2B91"/>
    <w:rsid w:val="57676F0B"/>
    <w:rsid w:val="57936B53"/>
    <w:rsid w:val="57BA337A"/>
    <w:rsid w:val="57CB0CAE"/>
    <w:rsid w:val="57EB3DA0"/>
    <w:rsid w:val="57FC79FA"/>
    <w:rsid w:val="58A058F6"/>
    <w:rsid w:val="58DD13B3"/>
    <w:rsid w:val="5946741A"/>
    <w:rsid w:val="598773CF"/>
    <w:rsid w:val="59AB0B53"/>
    <w:rsid w:val="59FA280C"/>
    <w:rsid w:val="5A8F18F1"/>
    <w:rsid w:val="5ADF2C22"/>
    <w:rsid w:val="5AE54681"/>
    <w:rsid w:val="5B1B3B1F"/>
    <w:rsid w:val="5B3B660F"/>
    <w:rsid w:val="5B640C32"/>
    <w:rsid w:val="5B667984"/>
    <w:rsid w:val="5B8D65B0"/>
    <w:rsid w:val="5B920D76"/>
    <w:rsid w:val="5B984571"/>
    <w:rsid w:val="5B9E1D5B"/>
    <w:rsid w:val="5BA10761"/>
    <w:rsid w:val="5BC13756"/>
    <w:rsid w:val="5C1874A6"/>
    <w:rsid w:val="5C5A4DF2"/>
    <w:rsid w:val="5C5C660B"/>
    <w:rsid w:val="5CAB157E"/>
    <w:rsid w:val="5CBE1010"/>
    <w:rsid w:val="5CC80831"/>
    <w:rsid w:val="5D13639D"/>
    <w:rsid w:val="5D361E7D"/>
    <w:rsid w:val="5D691708"/>
    <w:rsid w:val="5DDF386D"/>
    <w:rsid w:val="5DE50D1C"/>
    <w:rsid w:val="5E07644D"/>
    <w:rsid w:val="5E342BE0"/>
    <w:rsid w:val="5EDB472C"/>
    <w:rsid w:val="5F535687"/>
    <w:rsid w:val="5F5B45A2"/>
    <w:rsid w:val="5F767E64"/>
    <w:rsid w:val="5FC24D03"/>
    <w:rsid w:val="5FDD2291"/>
    <w:rsid w:val="606E7D63"/>
    <w:rsid w:val="609806CC"/>
    <w:rsid w:val="609E6037"/>
    <w:rsid w:val="60F63B21"/>
    <w:rsid w:val="60FF6093"/>
    <w:rsid w:val="61253F23"/>
    <w:rsid w:val="616E5504"/>
    <w:rsid w:val="620A15DF"/>
    <w:rsid w:val="62804EEA"/>
    <w:rsid w:val="62934847"/>
    <w:rsid w:val="62F0274B"/>
    <w:rsid w:val="638B4DDF"/>
    <w:rsid w:val="639339E2"/>
    <w:rsid w:val="639A54F9"/>
    <w:rsid w:val="63AB2175"/>
    <w:rsid w:val="63AB5C45"/>
    <w:rsid w:val="64176BC2"/>
    <w:rsid w:val="64AD61BC"/>
    <w:rsid w:val="64C256BB"/>
    <w:rsid w:val="64D14B18"/>
    <w:rsid w:val="65564830"/>
    <w:rsid w:val="655B4C1E"/>
    <w:rsid w:val="65AE4402"/>
    <w:rsid w:val="65D65B98"/>
    <w:rsid w:val="65DA7B27"/>
    <w:rsid w:val="65FD4AF6"/>
    <w:rsid w:val="667438E7"/>
    <w:rsid w:val="66A22E85"/>
    <w:rsid w:val="66AA0457"/>
    <w:rsid w:val="66C45526"/>
    <w:rsid w:val="66D03B96"/>
    <w:rsid w:val="670F150B"/>
    <w:rsid w:val="673067BA"/>
    <w:rsid w:val="673C1CED"/>
    <w:rsid w:val="673F60B8"/>
    <w:rsid w:val="67522C52"/>
    <w:rsid w:val="67580AC9"/>
    <w:rsid w:val="67AB2F19"/>
    <w:rsid w:val="67C85FE5"/>
    <w:rsid w:val="67DC5256"/>
    <w:rsid w:val="67E1247B"/>
    <w:rsid w:val="68127151"/>
    <w:rsid w:val="68182BBA"/>
    <w:rsid w:val="681E004E"/>
    <w:rsid w:val="68A57B87"/>
    <w:rsid w:val="68D44859"/>
    <w:rsid w:val="68E42FA2"/>
    <w:rsid w:val="6923630A"/>
    <w:rsid w:val="696B7139"/>
    <w:rsid w:val="6994549A"/>
    <w:rsid w:val="69C27265"/>
    <w:rsid w:val="69D04B4F"/>
    <w:rsid w:val="69D67FCE"/>
    <w:rsid w:val="6A0708F1"/>
    <w:rsid w:val="6A461579"/>
    <w:rsid w:val="6A4F3879"/>
    <w:rsid w:val="6A8C7D0B"/>
    <w:rsid w:val="6A961A6F"/>
    <w:rsid w:val="6AED3582"/>
    <w:rsid w:val="6B967262"/>
    <w:rsid w:val="6BC04C9E"/>
    <w:rsid w:val="6C5938CE"/>
    <w:rsid w:val="6C6B706C"/>
    <w:rsid w:val="6C8B60EA"/>
    <w:rsid w:val="6C9F5A16"/>
    <w:rsid w:val="6CD656DC"/>
    <w:rsid w:val="6CEB1DB1"/>
    <w:rsid w:val="6D023A3C"/>
    <w:rsid w:val="6D2948E1"/>
    <w:rsid w:val="6D43755F"/>
    <w:rsid w:val="6D6B0293"/>
    <w:rsid w:val="6DA944F5"/>
    <w:rsid w:val="6DBE2E2E"/>
    <w:rsid w:val="6DD3602E"/>
    <w:rsid w:val="6DEA6D0A"/>
    <w:rsid w:val="6DFC1D81"/>
    <w:rsid w:val="6E2C5E31"/>
    <w:rsid w:val="6E3C2AFD"/>
    <w:rsid w:val="6E713F3E"/>
    <w:rsid w:val="6E81510C"/>
    <w:rsid w:val="6EA665E9"/>
    <w:rsid w:val="6EBF1ABE"/>
    <w:rsid w:val="6F0931B7"/>
    <w:rsid w:val="6F59676B"/>
    <w:rsid w:val="6F6A4AA7"/>
    <w:rsid w:val="6F7B3827"/>
    <w:rsid w:val="6FCA19A7"/>
    <w:rsid w:val="6FF5793D"/>
    <w:rsid w:val="704020FA"/>
    <w:rsid w:val="70640AED"/>
    <w:rsid w:val="70860337"/>
    <w:rsid w:val="709A1E77"/>
    <w:rsid w:val="70CC637A"/>
    <w:rsid w:val="71864E34"/>
    <w:rsid w:val="72540721"/>
    <w:rsid w:val="72564A94"/>
    <w:rsid w:val="72616DBE"/>
    <w:rsid w:val="72B574C1"/>
    <w:rsid w:val="732B66F0"/>
    <w:rsid w:val="73ED71BD"/>
    <w:rsid w:val="7426061C"/>
    <w:rsid w:val="742D7321"/>
    <w:rsid w:val="744912A8"/>
    <w:rsid w:val="746A200A"/>
    <w:rsid w:val="74886ECF"/>
    <w:rsid w:val="74BB3B63"/>
    <w:rsid w:val="74BF2C46"/>
    <w:rsid w:val="74C62872"/>
    <w:rsid w:val="75602922"/>
    <w:rsid w:val="756957B0"/>
    <w:rsid w:val="75A004DF"/>
    <w:rsid w:val="75ED4243"/>
    <w:rsid w:val="75EE2520"/>
    <w:rsid w:val="75EE7398"/>
    <w:rsid w:val="760B4FB9"/>
    <w:rsid w:val="76381B00"/>
    <w:rsid w:val="768D3600"/>
    <w:rsid w:val="76982C90"/>
    <w:rsid w:val="76A2591A"/>
    <w:rsid w:val="76CC1A1F"/>
    <w:rsid w:val="76D144DC"/>
    <w:rsid w:val="773C6885"/>
    <w:rsid w:val="776158EB"/>
    <w:rsid w:val="776970F5"/>
    <w:rsid w:val="776E3304"/>
    <w:rsid w:val="776F6427"/>
    <w:rsid w:val="77AA0186"/>
    <w:rsid w:val="77CA471E"/>
    <w:rsid w:val="77DA7E81"/>
    <w:rsid w:val="77EF513A"/>
    <w:rsid w:val="78033825"/>
    <w:rsid w:val="78197978"/>
    <w:rsid w:val="78607A12"/>
    <w:rsid w:val="787A737D"/>
    <w:rsid w:val="788A6F1D"/>
    <w:rsid w:val="7890432D"/>
    <w:rsid w:val="78A643C0"/>
    <w:rsid w:val="78B056D0"/>
    <w:rsid w:val="78BE58F7"/>
    <w:rsid w:val="78E8666B"/>
    <w:rsid w:val="79665D54"/>
    <w:rsid w:val="79D211D2"/>
    <w:rsid w:val="79D40F94"/>
    <w:rsid w:val="7A0016B7"/>
    <w:rsid w:val="7A5C4305"/>
    <w:rsid w:val="7A7D4D09"/>
    <w:rsid w:val="7B114D77"/>
    <w:rsid w:val="7B154287"/>
    <w:rsid w:val="7B3850C7"/>
    <w:rsid w:val="7B452CFB"/>
    <w:rsid w:val="7B590E61"/>
    <w:rsid w:val="7B96149E"/>
    <w:rsid w:val="7BEF640B"/>
    <w:rsid w:val="7C0C283B"/>
    <w:rsid w:val="7CCA3D48"/>
    <w:rsid w:val="7D0F3644"/>
    <w:rsid w:val="7D2330C8"/>
    <w:rsid w:val="7D2D4C99"/>
    <w:rsid w:val="7DB13FA2"/>
    <w:rsid w:val="7E1562E9"/>
    <w:rsid w:val="7EDF636A"/>
    <w:rsid w:val="7F0D17A2"/>
    <w:rsid w:val="7F107B84"/>
    <w:rsid w:val="7F2A52B0"/>
    <w:rsid w:val="7F851491"/>
    <w:rsid w:val="7F91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79"/>
    <w:qFormat/>
    <w:uiPriority w:val="0"/>
    <w:pPr>
      <w:keepNext/>
      <w:keepLines/>
      <w:spacing w:before="340" w:after="330" w:line="576" w:lineRule="auto"/>
      <w:outlineLvl w:val="0"/>
    </w:pPr>
    <w:rPr>
      <w:b/>
      <w:bCs/>
      <w:kern w:val="44"/>
      <w:sz w:val="30"/>
      <w:szCs w:val="44"/>
    </w:rPr>
  </w:style>
  <w:style w:type="paragraph" w:styleId="6">
    <w:name w:val="heading 2"/>
    <w:basedOn w:val="1"/>
    <w:next w:val="1"/>
    <w:link w:val="88"/>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7">
    <w:name w:val="heading 3"/>
    <w:basedOn w:val="1"/>
    <w:next w:val="1"/>
    <w:link w:val="89"/>
    <w:qFormat/>
    <w:uiPriority w:val="0"/>
    <w:pPr>
      <w:keepNext/>
      <w:keepLines/>
      <w:spacing w:before="260" w:after="260" w:line="413"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link w:val="73"/>
    <w:qFormat/>
    <w:uiPriority w:val="0"/>
    <w:pPr>
      <w:keepNext/>
      <w:outlineLvl w:val="4"/>
    </w:pPr>
    <w:rPr>
      <w:rFonts w:ascii="宋体" w:hAnsi="Arial"/>
      <w:bCs/>
      <w:sz w:val="28"/>
    </w:rPr>
  </w:style>
  <w:style w:type="paragraph" w:styleId="10">
    <w:name w:val="heading 6"/>
    <w:basedOn w:val="1"/>
    <w:next w:val="1"/>
    <w:link w:val="92"/>
    <w:qFormat/>
    <w:uiPriority w:val="0"/>
    <w:pPr>
      <w:keepNext/>
      <w:autoSpaceDE w:val="0"/>
      <w:autoSpaceDN w:val="0"/>
      <w:adjustRightInd w:val="0"/>
      <w:spacing w:before="156" w:beforeLines="50" w:after="156" w:afterLines="50" w:line="300" w:lineRule="exact"/>
      <w:jc w:val="center"/>
      <w:outlineLvl w:val="5"/>
    </w:pPr>
    <w:rPr>
      <w:rFonts w:ascii="宋体" w:hAnsi="宋体"/>
      <w:kern w:val="0"/>
      <w:sz w:val="28"/>
    </w:rPr>
  </w:style>
  <w:style w:type="paragraph" w:styleId="11">
    <w:name w:val="heading 7"/>
    <w:basedOn w:val="1"/>
    <w:next w:val="1"/>
    <w:link w:val="66"/>
    <w:qFormat/>
    <w:uiPriority w:val="0"/>
    <w:pPr>
      <w:keepNext/>
      <w:keepLines/>
      <w:spacing w:before="240" w:after="64" w:line="317" w:lineRule="auto"/>
      <w:ind w:right="-24" w:rightChars="-10" w:firstLine="464" w:firstLineChars="225"/>
      <w:jc w:val="left"/>
      <w:outlineLvl w:val="6"/>
    </w:pPr>
    <w:rPr>
      <w:rFonts w:ascii="Arial" w:hAnsi="Arial" w:eastAsia="仿宋_GB2312" w:cs="Arial"/>
      <w:b/>
      <w:bCs/>
      <w:spacing w:val="-4"/>
      <w:sz w:val="24"/>
      <w:szCs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7"/>
    <w:unhideWhenUsed/>
    <w:qFormat/>
    <w:uiPriority w:val="99"/>
    <w:pPr>
      <w:spacing w:after="120"/>
      <w:ind w:left="420" w:leftChars="200" w:firstLine="420" w:firstLineChars="200"/>
    </w:pPr>
    <w:rPr>
      <w:sz w:val="21"/>
    </w:rPr>
  </w:style>
  <w:style w:type="paragraph" w:styleId="3">
    <w:name w:val="Body Text Indent"/>
    <w:basedOn w:val="1"/>
    <w:next w:val="4"/>
    <w:link w:val="69"/>
    <w:qFormat/>
    <w:uiPriority w:val="0"/>
    <w:pPr>
      <w:ind w:firstLine="645"/>
    </w:pPr>
    <w:rPr>
      <w:rFonts w:ascii="楷体_GB2312" w:eastAsia="楷体_GB2312"/>
      <w:sz w:val="32"/>
    </w:rPr>
  </w:style>
  <w:style w:type="paragraph" w:styleId="4">
    <w:name w:val="envelope return"/>
    <w:basedOn w:val="1"/>
    <w:unhideWhenUsed/>
    <w:qFormat/>
    <w:uiPriority w:val="99"/>
    <w:pPr>
      <w:snapToGrid w:val="0"/>
    </w:pPr>
    <w:rPr>
      <w:rFonts w:ascii="Arial" w:hAnsi="Arial"/>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index 5"/>
    <w:basedOn w:val="1"/>
    <w:next w:val="1"/>
    <w:qFormat/>
    <w:uiPriority w:val="0"/>
    <w:pPr>
      <w:ind w:left="800" w:leftChars="800"/>
    </w:pPr>
  </w:style>
  <w:style w:type="paragraph" w:styleId="16">
    <w:name w:val="Document Map"/>
    <w:basedOn w:val="1"/>
    <w:link w:val="61"/>
    <w:qFormat/>
    <w:uiPriority w:val="0"/>
    <w:pPr>
      <w:shd w:val="clear" w:color="auto" w:fill="000080"/>
    </w:pPr>
  </w:style>
  <w:style w:type="paragraph" w:styleId="17">
    <w:name w:val="toa heading"/>
    <w:basedOn w:val="1"/>
    <w:next w:val="1"/>
    <w:qFormat/>
    <w:uiPriority w:val="0"/>
    <w:pPr>
      <w:spacing w:before="120"/>
    </w:pPr>
    <w:rPr>
      <w:rFonts w:ascii="Arial" w:hAnsi="Arial"/>
      <w:b/>
      <w:bCs/>
      <w:szCs w:val="24"/>
    </w:rPr>
  </w:style>
  <w:style w:type="paragraph" w:styleId="18">
    <w:name w:val="annotation text"/>
    <w:basedOn w:val="1"/>
    <w:link w:val="93"/>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link w:val="74"/>
    <w:qFormat/>
    <w:uiPriority w:val="0"/>
    <w:rPr>
      <w:rFonts w:ascii="黑体" w:hAnsi="Arial" w:eastAsia="黑体"/>
      <w:b/>
      <w:sz w:val="28"/>
    </w:rPr>
  </w:style>
  <w:style w:type="paragraph" w:styleId="21">
    <w:name w:val="Body Text"/>
    <w:basedOn w:val="1"/>
    <w:link w:val="94"/>
    <w:qFormat/>
    <w:uiPriority w:val="0"/>
    <w:rPr>
      <w:rFonts w:ascii="宋体" w:hAnsi="Arial"/>
      <w:sz w:val="28"/>
    </w:rPr>
  </w:style>
  <w:style w:type="paragraph" w:styleId="22">
    <w:name w:val="List 2"/>
    <w:basedOn w:val="1"/>
    <w:qFormat/>
    <w:uiPriority w:val="0"/>
    <w:pPr>
      <w:ind w:left="100" w:leftChars="200" w:hanging="200" w:hangingChars="200"/>
    </w:pPr>
    <w:rPr>
      <w:szCs w:val="24"/>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
      <w:iCs/>
      <w:szCs w:val="24"/>
    </w:rPr>
  </w:style>
  <w:style w:type="paragraph" w:styleId="26">
    <w:name w:val="Plain Text"/>
    <w:basedOn w:val="1"/>
    <w:link w:val="68"/>
    <w:qFormat/>
    <w:uiPriority w:val="0"/>
    <w:rPr>
      <w:rFonts w:ascii="宋体" w:hAnsi="Courier New"/>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style>
  <w:style w:type="paragraph" w:styleId="29">
    <w:name w:val="Date"/>
    <w:basedOn w:val="1"/>
    <w:next w:val="1"/>
    <w:link w:val="90"/>
    <w:qFormat/>
    <w:uiPriority w:val="0"/>
    <w:rPr>
      <w:b/>
      <w:sz w:val="28"/>
    </w:rPr>
  </w:style>
  <w:style w:type="paragraph" w:styleId="30">
    <w:name w:val="Body Text Indent 2"/>
    <w:basedOn w:val="1"/>
    <w:link w:val="81"/>
    <w:qFormat/>
    <w:uiPriority w:val="0"/>
    <w:pPr>
      <w:ind w:left="630" w:firstLine="645"/>
    </w:pPr>
    <w:rPr>
      <w:rFonts w:ascii="Arial" w:hAnsi="Arial" w:eastAsia="仿宋_GB2312"/>
      <w:sz w:val="32"/>
    </w:rPr>
  </w:style>
  <w:style w:type="paragraph" w:styleId="31">
    <w:name w:val="Balloon Text"/>
    <w:basedOn w:val="1"/>
    <w:link w:val="83"/>
    <w:qFormat/>
    <w:uiPriority w:val="0"/>
    <w:rPr>
      <w:sz w:val="18"/>
      <w:szCs w:val="18"/>
    </w:rPr>
  </w:style>
  <w:style w:type="paragraph" w:styleId="32">
    <w:name w:val="footer"/>
    <w:basedOn w:val="1"/>
    <w:link w:val="95"/>
    <w:qFormat/>
    <w:uiPriority w:val="99"/>
    <w:pPr>
      <w:tabs>
        <w:tab w:val="center" w:pos="4153"/>
        <w:tab w:val="right" w:pos="8306"/>
      </w:tabs>
      <w:snapToGrid w:val="0"/>
      <w:jc w:val="left"/>
    </w:pPr>
    <w:rPr>
      <w:sz w:val="18"/>
    </w:rPr>
  </w:style>
  <w:style w:type="paragraph" w:styleId="33">
    <w:name w:val="header"/>
    <w:basedOn w:val="1"/>
    <w:link w:val="86"/>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style>
  <w:style w:type="paragraph" w:styleId="37">
    <w:name w:val="index 1"/>
    <w:basedOn w:val="1"/>
    <w:next w:val="1"/>
    <w:qFormat/>
    <w:uiPriority w:val="0"/>
    <w:pPr>
      <w:jc w:val="center"/>
    </w:pPr>
    <w:rPr>
      <w:rFonts w:ascii="仿宋_GB2312" w:eastAsia="仿宋_GB2312"/>
      <w:b/>
      <w:bCs/>
      <w:sz w:val="28"/>
    </w:rPr>
  </w:style>
  <w:style w:type="paragraph" w:styleId="38">
    <w:name w:val="toc 6"/>
    <w:basedOn w:val="1"/>
    <w:next w:val="1"/>
    <w:qFormat/>
    <w:uiPriority w:val="0"/>
    <w:pPr>
      <w:ind w:left="1050"/>
      <w:jc w:val="left"/>
    </w:pPr>
    <w:rPr>
      <w:szCs w:val="21"/>
    </w:rPr>
  </w:style>
  <w:style w:type="paragraph" w:styleId="39">
    <w:name w:val="Body Text Indent 3"/>
    <w:basedOn w:val="1"/>
    <w:link w:val="96"/>
    <w:qFormat/>
    <w:uiPriority w:val="0"/>
    <w:pPr>
      <w:ind w:firstLine="645"/>
    </w:pPr>
    <w:rPr>
      <w:rFonts w:ascii="仿宋_GB2312" w:hAnsi="Arial" w:eastAsia="仿宋_GB2312"/>
      <w:color w:val="000000"/>
      <w:sz w:val="30"/>
    </w:rPr>
  </w:style>
  <w:style w:type="paragraph" w:styleId="40">
    <w:name w:val="index 7"/>
    <w:basedOn w:val="1"/>
    <w:next w:val="1"/>
    <w:qFormat/>
    <w:uiPriority w:val="0"/>
    <w:pPr>
      <w:ind w:left="1200" w:leftChars="1200"/>
    </w:pPr>
  </w:style>
  <w:style w:type="paragraph" w:styleId="41">
    <w:name w:val="index 9"/>
    <w:basedOn w:val="1"/>
    <w:next w:val="1"/>
    <w:qFormat/>
    <w:uiPriority w:val="0"/>
    <w:pPr>
      <w:ind w:left="1600" w:leftChars="1600"/>
    </w:pPr>
  </w:style>
  <w:style w:type="paragraph" w:styleId="42">
    <w:name w:val="toc 2"/>
    <w:basedOn w:val="1"/>
    <w:next w:val="1"/>
    <w:qFormat/>
    <w:uiPriority w:val="39"/>
    <w:pPr>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8"/>
    <w:qFormat/>
    <w:uiPriority w:val="0"/>
    <w:rPr>
      <w:rFonts w:ascii="仿宋_GB2312" w:eastAsia="仿宋_GB2312"/>
      <w:b/>
      <w:sz w:val="24"/>
    </w:rPr>
  </w:style>
  <w:style w:type="paragraph" w:styleId="45">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7">
    <w:name w:val="index 2"/>
    <w:basedOn w:val="1"/>
    <w:next w:val="1"/>
    <w:qFormat/>
    <w:uiPriority w:val="0"/>
    <w:pPr>
      <w:ind w:left="200" w:leftChars="200"/>
    </w:pPr>
  </w:style>
  <w:style w:type="paragraph" w:styleId="48">
    <w:name w:val="Title"/>
    <w:basedOn w:val="1"/>
    <w:link w:val="62"/>
    <w:qFormat/>
    <w:uiPriority w:val="10"/>
    <w:pPr>
      <w:jc w:val="center"/>
    </w:pPr>
    <w:rPr>
      <w:b/>
      <w:color w:val="000000"/>
      <w:sz w:val="32"/>
    </w:rPr>
  </w:style>
  <w:style w:type="paragraph" w:styleId="49">
    <w:name w:val="annotation subject"/>
    <w:basedOn w:val="18"/>
    <w:next w:val="18"/>
    <w:link w:val="72"/>
    <w:qFormat/>
    <w:uiPriority w:val="0"/>
    <w:rPr>
      <w:b/>
      <w:bCs/>
    </w:rPr>
  </w:style>
  <w:style w:type="paragraph" w:styleId="50">
    <w:name w:val="Body Text First Indent"/>
    <w:basedOn w:val="21"/>
    <w:link w:val="80"/>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table" w:styleId="52">
    <w:name w:val="Table Grid"/>
    <w:basedOn w:val="5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61">
    <w:name w:val="文档结构图 字符"/>
    <w:link w:val="16"/>
    <w:qFormat/>
    <w:uiPriority w:val="0"/>
    <w:rPr>
      <w:rFonts w:eastAsia="宋体"/>
      <w:kern w:val="2"/>
      <w:sz w:val="21"/>
      <w:lang w:val="en-US" w:eastAsia="zh-CN" w:bidi="ar-SA"/>
    </w:rPr>
  </w:style>
  <w:style w:type="character" w:customStyle="1" w:styleId="62">
    <w:name w:val="标题 字符"/>
    <w:link w:val="48"/>
    <w:qFormat/>
    <w:uiPriority w:val="10"/>
    <w:rPr>
      <w:b/>
      <w:color w:val="000000"/>
      <w:kern w:val="2"/>
      <w:sz w:val="32"/>
    </w:rPr>
  </w:style>
  <w:style w:type="character" w:customStyle="1" w:styleId="63">
    <w:name w:val="f-red2"/>
    <w:qFormat/>
    <w:uiPriority w:val="0"/>
    <w:rPr>
      <w:b/>
      <w:bCs/>
      <w:color w:val="3E90DF"/>
      <w:sz w:val="24"/>
      <w:szCs w:val="24"/>
    </w:rPr>
  </w:style>
  <w:style w:type="character" w:customStyle="1" w:styleId="64">
    <w:name w:val="列出段落 Char Char"/>
    <w:link w:val="65"/>
    <w:qFormat/>
    <w:uiPriority w:val="0"/>
    <w:rPr>
      <w:sz w:val="28"/>
    </w:rPr>
  </w:style>
  <w:style w:type="paragraph" w:customStyle="1" w:styleId="65">
    <w:name w:val="列出段落1"/>
    <w:basedOn w:val="1"/>
    <w:link w:val="64"/>
    <w:qFormat/>
    <w:uiPriority w:val="0"/>
    <w:pPr>
      <w:ind w:firstLine="420" w:firstLineChars="200"/>
    </w:pPr>
    <w:rPr>
      <w:kern w:val="0"/>
      <w:sz w:val="28"/>
    </w:rPr>
  </w:style>
  <w:style w:type="character" w:customStyle="1" w:styleId="66">
    <w:name w:val="标题 7 字符"/>
    <w:link w:val="11"/>
    <w:qFormat/>
    <w:uiPriority w:val="0"/>
    <w:rPr>
      <w:rFonts w:ascii="Arial" w:hAnsi="Arial" w:eastAsia="仿宋_GB2312" w:cs="Arial"/>
      <w:b/>
      <w:bCs/>
      <w:spacing w:val="-4"/>
      <w:kern w:val="2"/>
      <w:sz w:val="24"/>
      <w:szCs w:val="24"/>
      <w:lang w:val="en-US" w:eastAsia="zh-CN" w:bidi="ar-SA"/>
    </w:rPr>
  </w:style>
  <w:style w:type="character" w:customStyle="1" w:styleId="67">
    <w:name w:val="fontstyle01"/>
    <w:qFormat/>
    <w:uiPriority w:val="0"/>
    <w:rPr>
      <w:rFonts w:hint="eastAsia" w:ascii="宋体" w:hAnsi="宋体" w:eastAsia="宋体"/>
      <w:color w:val="000000"/>
      <w:sz w:val="24"/>
      <w:szCs w:val="24"/>
    </w:rPr>
  </w:style>
  <w:style w:type="character" w:customStyle="1" w:styleId="68">
    <w:name w:val="纯文本 字符"/>
    <w:link w:val="26"/>
    <w:qFormat/>
    <w:uiPriority w:val="0"/>
    <w:rPr>
      <w:rFonts w:ascii="宋体" w:hAnsi="Courier New" w:eastAsia="宋体"/>
      <w:kern w:val="2"/>
      <w:sz w:val="21"/>
      <w:lang w:val="en-US" w:eastAsia="zh-CN" w:bidi="ar-SA"/>
    </w:rPr>
  </w:style>
  <w:style w:type="character" w:customStyle="1" w:styleId="69">
    <w:name w:val="正文文本缩进 字符"/>
    <w:link w:val="3"/>
    <w:qFormat/>
    <w:uiPriority w:val="0"/>
    <w:rPr>
      <w:rFonts w:ascii="楷体_GB2312" w:eastAsia="楷体_GB2312"/>
      <w:kern w:val="2"/>
      <w:sz w:val="32"/>
      <w:lang w:val="en-US" w:eastAsia="zh-CN" w:bidi="ar-SA"/>
    </w:rPr>
  </w:style>
  <w:style w:type="character" w:customStyle="1" w:styleId="70">
    <w:name w:val="Plain Text Char"/>
    <w:link w:val="71"/>
    <w:qFormat/>
    <w:uiPriority w:val="0"/>
    <w:rPr>
      <w:rFonts w:ascii="宋体" w:hAnsi="Courier New" w:eastAsia="宋体" w:cs="Times New Roman"/>
      <w:kern w:val="2"/>
      <w:sz w:val="21"/>
      <w:lang w:val="en-US" w:eastAsia="zh-CN" w:bidi="ar-SA"/>
    </w:rPr>
  </w:style>
  <w:style w:type="paragraph" w:customStyle="1" w:styleId="71">
    <w:name w:val="纯文本1"/>
    <w:basedOn w:val="1"/>
    <w:link w:val="70"/>
    <w:qFormat/>
    <w:uiPriority w:val="0"/>
    <w:pPr>
      <w:widowControl/>
      <w:adjustRightInd w:val="0"/>
      <w:jc w:val="left"/>
      <w:textAlignment w:val="baseline"/>
    </w:pPr>
    <w:rPr>
      <w:rFonts w:ascii="宋体" w:hAnsi="Courier New"/>
    </w:rPr>
  </w:style>
  <w:style w:type="character" w:customStyle="1" w:styleId="72">
    <w:name w:val="批注主题 字符"/>
    <w:link w:val="49"/>
    <w:qFormat/>
    <w:uiPriority w:val="0"/>
    <w:rPr>
      <w:rFonts w:eastAsia="宋体"/>
      <w:b/>
      <w:bCs/>
      <w:kern w:val="2"/>
      <w:sz w:val="21"/>
      <w:lang w:val="en-US" w:eastAsia="zh-CN" w:bidi="ar-SA"/>
    </w:rPr>
  </w:style>
  <w:style w:type="character" w:customStyle="1" w:styleId="73">
    <w:name w:val="标题 5 字符"/>
    <w:link w:val="9"/>
    <w:qFormat/>
    <w:uiPriority w:val="0"/>
    <w:rPr>
      <w:rFonts w:ascii="宋体" w:hAnsi="Arial" w:eastAsia="宋体"/>
      <w:bCs/>
      <w:kern w:val="2"/>
      <w:sz w:val="28"/>
      <w:lang w:val="en-US" w:eastAsia="zh-CN" w:bidi="ar-SA"/>
    </w:rPr>
  </w:style>
  <w:style w:type="character" w:customStyle="1" w:styleId="74">
    <w:name w:val="正文文本 3 字符"/>
    <w:link w:val="20"/>
    <w:qFormat/>
    <w:uiPriority w:val="0"/>
    <w:rPr>
      <w:rFonts w:ascii="黑体" w:hAnsi="Arial" w:eastAsia="黑体"/>
      <w:b/>
      <w:kern w:val="2"/>
      <w:sz w:val="28"/>
      <w:lang w:val="en-US" w:eastAsia="zh-CN" w:bidi="ar-SA"/>
    </w:rPr>
  </w:style>
  <w:style w:type="character" w:customStyle="1" w:styleId="75">
    <w:name w:val="批注文字 Char1"/>
    <w:qFormat/>
    <w:uiPriority w:val="0"/>
    <w:rPr>
      <w:rFonts w:eastAsia="宋体"/>
      <w:kern w:val="2"/>
      <w:sz w:val="21"/>
      <w:lang w:val="en-US" w:eastAsia="zh-CN" w:bidi="ar-SA"/>
    </w:rPr>
  </w:style>
  <w:style w:type="character" w:customStyle="1" w:styleId="76">
    <w:name w:val="正文文本缩进 2 Char1"/>
    <w:semiHidden/>
    <w:qFormat/>
    <w:locked/>
    <w:uiPriority w:val="0"/>
    <w:rPr>
      <w:rFonts w:ascii="Arial" w:hAnsi="Arial" w:eastAsia="仿宋_GB2312"/>
      <w:kern w:val="2"/>
      <w:sz w:val="32"/>
    </w:rPr>
  </w:style>
  <w:style w:type="character" w:customStyle="1" w:styleId="77">
    <w:name w:val="Body Text Char"/>
    <w:qFormat/>
    <w:uiPriority w:val="0"/>
    <w:rPr>
      <w:rFonts w:ascii="宋体" w:hAnsi="Arial" w:eastAsia="宋体" w:cs="Times New Roman"/>
      <w:kern w:val="2"/>
      <w:sz w:val="28"/>
      <w:lang w:val="en-US" w:eastAsia="zh-CN" w:bidi="ar-SA"/>
    </w:rPr>
  </w:style>
  <w:style w:type="character" w:customStyle="1" w:styleId="78">
    <w:name w:val="正文文本 2 字符"/>
    <w:link w:val="44"/>
    <w:qFormat/>
    <w:uiPriority w:val="0"/>
    <w:rPr>
      <w:rFonts w:ascii="仿宋_GB2312" w:eastAsia="仿宋_GB2312"/>
      <w:b/>
      <w:kern w:val="2"/>
      <w:sz w:val="24"/>
      <w:lang w:val="en-US" w:eastAsia="zh-CN" w:bidi="ar-SA"/>
    </w:rPr>
  </w:style>
  <w:style w:type="character" w:customStyle="1" w:styleId="79">
    <w:name w:val="标题 1 字符"/>
    <w:link w:val="5"/>
    <w:qFormat/>
    <w:uiPriority w:val="0"/>
    <w:rPr>
      <w:rFonts w:eastAsia="宋体"/>
      <w:b/>
      <w:bCs/>
      <w:kern w:val="44"/>
      <w:sz w:val="30"/>
      <w:szCs w:val="44"/>
      <w:lang w:val="en-US" w:eastAsia="zh-CN" w:bidi="ar-SA"/>
    </w:rPr>
  </w:style>
  <w:style w:type="character" w:customStyle="1" w:styleId="80">
    <w:name w:val="正文首行缩进 字符"/>
    <w:link w:val="50"/>
    <w:qFormat/>
    <w:uiPriority w:val="0"/>
    <w:rPr>
      <w:rFonts w:ascii="Arial" w:hAnsi="Arial" w:eastAsia="仿宋_GB2312" w:cs="Arial"/>
      <w:kern w:val="2"/>
      <w:sz w:val="24"/>
      <w:szCs w:val="32"/>
      <w:lang w:val="en-US" w:eastAsia="zh-CN" w:bidi="ar-SA"/>
    </w:rPr>
  </w:style>
  <w:style w:type="character" w:customStyle="1" w:styleId="81">
    <w:name w:val="正文文本缩进 2 字符"/>
    <w:link w:val="30"/>
    <w:qFormat/>
    <w:uiPriority w:val="0"/>
    <w:rPr>
      <w:rFonts w:ascii="Arial" w:hAnsi="Arial" w:eastAsia="仿宋_GB2312"/>
      <w:kern w:val="2"/>
      <w:sz w:val="32"/>
      <w:lang w:val="en-US" w:eastAsia="zh-CN" w:bidi="ar-SA"/>
    </w:rPr>
  </w:style>
  <w:style w:type="character" w:customStyle="1" w:styleId="82">
    <w:name w:val="apple-style-span"/>
    <w:basedOn w:val="53"/>
    <w:qFormat/>
    <w:uiPriority w:val="0"/>
  </w:style>
  <w:style w:type="character" w:customStyle="1" w:styleId="83">
    <w:name w:val="批注框文本 字符"/>
    <w:link w:val="31"/>
    <w:qFormat/>
    <w:uiPriority w:val="0"/>
    <w:rPr>
      <w:rFonts w:eastAsia="宋体"/>
      <w:kern w:val="2"/>
      <w:sz w:val="18"/>
      <w:szCs w:val="18"/>
      <w:lang w:val="en-US" w:eastAsia="zh-CN" w:bidi="ar-SA"/>
    </w:rPr>
  </w:style>
  <w:style w:type="character" w:customStyle="1" w:styleId="84">
    <w:name w:val="GHT-正文 Char Char"/>
    <w:link w:val="85"/>
    <w:qFormat/>
    <w:uiPriority w:val="0"/>
    <w:rPr>
      <w:color w:val="000000"/>
      <w:spacing w:val="10"/>
      <w:sz w:val="24"/>
    </w:rPr>
  </w:style>
  <w:style w:type="paragraph" w:customStyle="1" w:styleId="85">
    <w:name w:val="GHT-正文"/>
    <w:basedOn w:val="1"/>
    <w:link w:val="84"/>
    <w:qFormat/>
    <w:uiPriority w:val="0"/>
    <w:pPr>
      <w:adjustRightInd w:val="0"/>
      <w:spacing w:line="400" w:lineRule="exact"/>
      <w:ind w:firstLine="520" w:firstLineChars="200"/>
      <w:textAlignment w:val="baseline"/>
    </w:pPr>
    <w:rPr>
      <w:color w:val="000000"/>
      <w:spacing w:val="10"/>
      <w:kern w:val="0"/>
      <w:sz w:val="24"/>
    </w:rPr>
  </w:style>
  <w:style w:type="character" w:customStyle="1" w:styleId="86">
    <w:name w:val="页眉 字符"/>
    <w:link w:val="33"/>
    <w:qFormat/>
    <w:uiPriority w:val="0"/>
    <w:rPr>
      <w:rFonts w:eastAsia="宋体"/>
      <w:kern w:val="2"/>
      <w:sz w:val="18"/>
      <w:lang w:val="en-US" w:eastAsia="zh-CN" w:bidi="ar-SA"/>
    </w:rPr>
  </w:style>
  <w:style w:type="character" w:customStyle="1" w:styleId="87">
    <w:name w:val="正文首行缩进 2 字符"/>
    <w:link w:val="2"/>
    <w:semiHidden/>
    <w:qFormat/>
    <w:uiPriority w:val="99"/>
    <w:rPr>
      <w:rFonts w:ascii="楷体_GB2312" w:eastAsia="楷体_GB2312"/>
      <w:kern w:val="2"/>
      <w:sz w:val="21"/>
      <w:lang w:val="en-US" w:eastAsia="zh-CN" w:bidi="ar-SA"/>
    </w:rPr>
  </w:style>
  <w:style w:type="character" w:customStyle="1" w:styleId="88">
    <w:name w:val="标题 2 字符"/>
    <w:link w:val="6"/>
    <w:qFormat/>
    <w:uiPriority w:val="0"/>
    <w:rPr>
      <w:rFonts w:ascii="Arial" w:hAnsi="Arial" w:eastAsia="黑体"/>
      <w:b/>
      <w:bCs/>
      <w:kern w:val="2"/>
      <w:sz w:val="32"/>
      <w:szCs w:val="32"/>
      <w:lang w:val="en-US" w:eastAsia="zh-CN" w:bidi="ar-SA"/>
    </w:rPr>
  </w:style>
  <w:style w:type="character" w:customStyle="1" w:styleId="89">
    <w:name w:val="标题 3 字符"/>
    <w:link w:val="7"/>
    <w:qFormat/>
    <w:uiPriority w:val="0"/>
    <w:rPr>
      <w:rFonts w:ascii="宋体" w:eastAsia="宋体"/>
      <w:b/>
      <w:bCs/>
      <w:kern w:val="2"/>
      <w:sz w:val="32"/>
      <w:szCs w:val="32"/>
      <w:lang w:val="en-US" w:eastAsia="zh-CN" w:bidi="ar-SA"/>
    </w:rPr>
  </w:style>
  <w:style w:type="character" w:customStyle="1" w:styleId="90">
    <w:name w:val="日期 字符"/>
    <w:link w:val="29"/>
    <w:qFormat/>
    <w:uiPriority w:val="0"/>
    <w:rPr>
      <w:rFonts w:eastAsia="宋体"/>
      <w:b/>
      <w:kern w:val="2"/>
      <w:sz w:val="28"/>
      <w:lang w:val="en-US" w:eastAsia="zh-CN" w:bidi="ar-SA"/>
    </w:rPr>
  </w:style>
  <w:style w:type="character" w:customStyle="1" w:styleId="91">
    <w:name w:val="标题 4 字符"/>
    <w:link w:val="8"/>
    <w:qFormat/>
    <w:uiPriority w:val="0"/>
    <w:rPr>
      <w:rFonts w:ascii="Arial" w:hAnsi="Arial" w:eastAsia="黑体"/>
      <w:b/>
      <w:bCs/>
      <w:kern w:val="2"/>
      <w:sz w:val="28"/>
      <w:szCs w:val="28"/>
      <w:lang w:val="en-US" w:eastAsia="zh-CN" w:bidi="ar-SA"/>
    </w:rPr>
  </w:style>
  <w:style w:type="character" w:customStyle="1" w:styleId="92">
    <w:name w:val="标题 6 字符"/>
    <w:link w:val="10"/>
    <w:qFormat/>
    <w:uiPriority w:val="0"/>
    <w:rPr>
      <w:rFonts w:ascii="宋体" w:hAnsi="宋体" w:eastAsia="宋体"/>
      <w:sz w:val="28"/>
      <w:lang w:val="en-US" w:eastAsia="zh-CN" w:bidi="ar-SA"/>
    </w:rPr>
  </w:style>
  <w:style w:type="character" w:customStyle="1" w:styleId="93">
    <w:name w:val="批注文字 字符"/>
    <w:link w:val="18"/>
    <w:qFormat/>
    <w:uiPriority w:val="0"/>
    <w:rPr>
      <w:kern w:val="2"/>
      <w:sz w:val="21"/>
    </w:rPr>
  </w:style>
  <w:style w:type="character" w:customStyle="1" w:styleId="94">
    <w:name w:val="正文文本 字符"/>
    <w:link w:val="21"/>
    <w:qFormat/>
    <w:uiPriority w:val="0"/>
    <w:rPr>
      <w:rFonts w:ascii="宋体" w:hAnsi="Arial" w:eastAsia="宋体"/>
      <w:kern w:val="2"/>
      <w:sz w:val="28"/>
      <w:lang w:val="en-US" w:eastAsia="zh-CN" w:bidi="ar-SA"/>
    </w:rPr>
  </w:style>
  <w:style w:type="character" w:customStyle="1" w:styleId="95">
    <w:name w:val="页脚 字符"/>
    <w:link w:val="32"/>
    <w:qFormat/>
    <w:uiPriority w:val="99"/>
    <w:rPr>
      <w:rFonts w:eastAsia="宋体"/>
      <w:kern w:val="2"/>
      <w:sz w:val="18"/>
      <w:lang w:val="en-US" w:eastAsia="zh-CN" w:bidi="ar-SA"/>
    </w:rPr>
  </w:style>
  <w:style w:type="character" w:customStyle="1" w:styleId="96">
    <w:name w:val="正文文本缩进 3 字符"/>
    <w:link w:val="39"/>
    <w:qFormat/>
    <w:uiPriority w:val="0"/>
    <w:rPr>
      <w:rFonts w:ascii="仿宋_GB2312" w:hAnsi="Arial" w:eastAsia="仿宋_GB2312"/>
      <w:color w:val="000000"/>
      <w:kern w:val="2"/>
      <w:sz w:val="30"/>
      <w:lang w:val="en-US" w:eastAsia="zh-CN" w:bidi="ar-SA"/>
    </w:rPr>
  </w:style>
  <w:style w:type="character" w:customStyle="1" w:styleId="97">
    <w:name w:val="HTML 预设格式 字符"/>
    <w:link w:val="45"/>
    <w:qFormat/>
    <w:uiPriority w:val="0"/>
    <w:rPr>
      <w:rFonts w:ascii="Arial" w:hAnsi="Arial" w:eastAsia="宋体" w:cs="Arial"/>
      <w:sz w:val="21"/>
      <w:szCs w:val="21"/>
      <w:lang w:val="en-US" w:eastAsia="zh-CN" w:bidi="ar-SA"/>
    </w:rPr>
  </w:style>
  <w:style w:type="character" w:customStyle="1" w:styleId="98">
    <w:name w:val="正文文本缩进 Char1"/>
    <w:semiHidden/>
    <w:qFormat/>
    <w:locked/>
    <w:uiPriority w:val="0"/>
    <w:rPr>
      <w:rFonts w:ascii="楷体_GB2312" w:eastAsia="楷体_GB2312"/>
      <w:kern w:val="2"/>
      <w:sz w:val="32"/>
    </w:rPr>
  </w:style>
  <w:style w:type="character" w:customStyle="1" w:styleId="99">
    <w:name w:val="Char Char1"/>
    <w:qFormat/>
    <w:uiPriority w:val="0"/>
    <w:rPr>
      <w:rFonts w:ascii="宋体" w:hAnsi="Courier New" w:eastAsia="宋体"/>
      <w:kern w:val="2"/>
      <w:sz w:val="21"/>
      <w:lang w:val="en-US" w:eastAsia="zh-CN" w:bidi="ar-SA"/>
    </w:rPr>
  </w:style>
  <w:style w:type="character" w:customStyle="1" w:styleId="100">
    <w:name w:val="Char Char Char"/>
    <w:qFormat/>
    <w:uiPriority w:val="0"/>
    <w:rPr>
      <w:rFonts w:ascii="宋体" w:hAnsi="Courier New" w:eastAsia="宋体"/>
      <w:kern w:val="2"/>
      <w:sz w:val="21"/>
      <w:lang w:val="en-US" w:eastAsia="zh-CN" w:bidi="ar-SA"/>
    </w:rPr>
  </w:style>
  <w:style w:type="character" w:customStyle="1" w:styleId="101">
    <w:name w:val="标题 Char1"/>
    <w:qFormat/>
    <w:uiPriority w:val="10"/>
    <w:rPr>
      <w:rFonts w:ascii="Cambria" w:hAnsi="Cambria" w:cs="Times New Roman"/>
      <w:b/>
      <w:bCs/>
      <w:kern w:val="2"/>
      <w:sz w:val="32"/>
      <w:szCs w:val="32"/>
    </w:rPr>
  </w:style>
  <w:style w:type="character" w:customStyle="1" w:styleId="102">
    <w:name w:val="未处理的提及"/>
    <w:unhideWhenUsed/>
    <w:qFormat/>
    <w:uiPriority w:val="99"/>
    <w:rPr>
      <w:color w:val="605E5C"/>
      <w:shd w:val="clear" w:color="auto" w:fill="E1DFDD"/>
    </w:rPr>
  </w:style>
  <w:style w:type="paragraph" w:customStyle="1" w:styleId="10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04">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szCs w:val="24"/>
    </w:rPr>
  </w:style>
  <w:style w:type="paragraph" w:customStyle="1" w:styleId="105">
    <w:name w:val="Char Char Char Char Char Char Char1 Char"/>
    <w:basedOn w:val="1"/>
    <w:qFormat/>
    <w:uiPriority w:val="0"/>
    <w:rPr>
      <w:rFonts w:ascii="Tahoma" w:hAnsi="Tahoma"/>
      <w:sz w:val="24"/>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10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09">
    <w:name w:val="二级标题"/>
    <w:basedOn w:val="1"/>
    <w:next w:val="104"/>
    <w:qFormat/>
    <w:uiPriority w:val="0"/>
    <w:pPr>
      <w:tabs>
        <w:tab w:val="left" w:pos="992"/>
      </w:tabs>
      <w:ind w:left="992" w:hanging="567"/>
      <w:outlineLvl w:val="1"/>
    </w:pPr>
    <w:rPr>
      <w:rFonts w:ascii="黑体" w:eastAsia="黑体"/>
      <w:sz w:val="28"/>
      <w:szCs w:val="24"/>
    </w:rPr>
  </w:style>
  <w:style w:type="paragraph" w:customStyle="1" w:styleId="110">
    <w:name w:val="List Paragraph1"/>
    <w:basedOn w:val="1"/>
    <w:qFormat/>
    <w:uiPriority w:val="34"/>
    <w:pPr>
      <w:ind w:firstLine="420" w:firstLineChars="200"/>
    </w:pPr>
  </w:style>
  <w:style w:type="paragraph" w:customStyle="1" w:styleId="111">
    <w:name w:val="D&amp;L"/>
    <w:basedOn w:val="3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12">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3">
    <w:name w:val="Char"/>
    <w:basedOn w:val="1"/>
    <w:qFormat/>
    <w:uiPriority w:val="0"/>
    <w:rPr>
      <w:rFonts w:ascii="Tahoma" w:hAnsi="Tahoma"/>
      <w:sz w:val="24"/>
    </w:rPr>
  </w:style>
  <w:style w:type="paragraph" w:styleId="114">
    <w:name w:val="List Paragraph"/>
    <w:basedOn w:val="1"/>
    <w:qFormat/>
    <w:uiPriority w:val="34"/>
    <w:pPr>
      <w:ind w:firstLine="420" w:firstLineChars="200"/>
    </w:pPr>
  </w:style>
  <w:style w:type="paragraph" w:customStyle="1" w:styleId="115">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6">
    <w:name w:val="_Style 115"/>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7">
    <w:name w:val="Char1"/>
    <w:basedOn w:val="1"/>
    <w:next w:val="1"/>
    <w:qFormat/>
    <w:uiPriority w:val="0"/>
    <w:pPr>
      <w:widowControl/>
      <w:spacing w:line="360" w:lineRule="auto"/>
      <w:jc w:val="left"/>
    </w:pPr>
    <w:rPr>
      <w:szCs w:val="24"/>
    </w:rPr>
  </w:style>
  <w:style w:type="paragraph" w:customStyle="1" w:styleId="118">
    <w:name w:val="表格内容"/>
    <w:basedOn w:val="1"/>
    <w:qFormat/>
    <w:uiPriority w:val="0"/>
    <w:pPr>
      <w:widowControl/>
      <w:suppressLineNumbers/>
      <w:jc w:val="left"/>
    </w:pPr>
    <w:rPr>
      <w:rFonts w:ascii="Liberation Serif" w:hAnsi="Liberation Serif" w:cs="Arial"/>
      <w:color w:val="00000A"/>
      <w:kern w:val="0"/>
      <w:sz w:val="24"/>
      <w:szCs w:val="24"/>
      <w:lang w:bidi="hi-IN"/>
    </w:rPr>
  </w:style>
  <w:style w:type="paragraph" w:customStyle="1" w:styleId="11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0">
    <w:name w:val="Char2"/>
    <w:basedOn w:val="1"/>
    <w:next w:val="1"/>
    <w:qFormat/>
    <w:uiPriority w:val="0"/>
    <w:pPr>
      <w:widowControl/>
      <w:spacing w:line="360" w:lineRule="auto"/>
      <w:jc w:val="left"/>
    </w:pPr>
    <w:rPr>
      <w:szCs w:val="24"/>
    </w:rPr>
  </w:style>
  <w:style w:type="paragraph" w:customStyle="1" w:styleId="121">
    <w:name w:val="p0"/>
    <w:basedOn w:val="1"/>
    <w:qFormat/>
    <w:uiPriority w:val="0"/>
    <w:pPr>
      <w:widowControl/>
    </w:pPr>
    <w:rPr>
      <w:kern w:val="0"/>
      <w:szCs w:val="21"/>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3">
    <w:name w:val="Char Char Char Char"/>
    <w:basedOn w:val="1"/>
    <w:qFormat/>
    <w:uiPriority w:val="0"/>
    <w:rPr>
      <w:rFonts w:ascii="Tahoma" w:hAnsi="Tahoma"/>
      <w:sz w:val="24"/>
    </w:rPr>
  </w:style>
  <w:style w:type="paragraph" w:customStyle="1" w:styleId="12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5">
    <w:name w:val="Char Char Char Char1"/>
    <w:basedOn w:val="1"/>
    <w:qFormat/>
    <w:uiPriority w:val="0"/>
    <w:rPr>
      <w:rFonts w:ascii="Tahoma" w:hAnsi="Tahoma"/>
      <w:sz w:val="24"/>
    </w:rPr>
  </w:style>
  <w:style w:type="paragraph" w:customStyle="1" w:styleId="126">
    <w:name w:val="基本文字 Char"/>
    <w:basedOn w:val="1"/>
    <w:qFormat/>
    <w:uiPriority w:val="0"/>
    <w:pPr>
      <w:spacing w:before="156" w:line="400" w:lineRule="atLeast"/>
      <w:ind w:firstLine="540" w:firstLineChars="225"/>
    </w:pPr>
    <w:rPr>
      <w:sz w:val="24"/>
    </w:rPr>
  </w:style>
  <w:style w:type="paragraph" w:customStyle="1" w:styleId="127">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0">
    <w:name w:val="一级标题"/>
    <w:basedOn w:val="1"/>
    <w:next w:val="109"/>
    <w:qFormat/>
    <w:uiPriority w:val="0"/>
    <w:pPr>
      <w:tabs>
        <w:tab w:val="left" w:pos="425"/>
        <w:tab w:val="left" w:pos="1418"/>
      </w:tabs>
      <w:spacing w:after="312" w:afterLines="100"/>
      <w:ind w:left="850" w:hanging="425"/>
      <w:outlineLvl w:val="0"/>
    </w:pPr>
    <w:rPr>
      <w:rFonts w:ascii="黑体" w:eastAsia="黑体"/>
      <w:sz w:val="30"/>
      <w:szCs w:val="28"/>
    </w:rPr>
  </w:style>
  <w:style w:type="paragraph" w:customStyle="1" w:styleId="1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33">
    <w:name w:val="Char Char Char Char Char Char Char Char Char Char"/>
    <w:basedOn w:val="1"/>
    <w:qFormat/>
    <w:uiPriority w:val="0"/>
    <w:pPr>
      <w:tabs>
        <w:tab w:val="left" w:pos="4665"/>
        <w:tab w:val="left" w:pos="8970"/>
      </w:tabs>
      <w:ind w:firstLine="400"/>
    </w:p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36">
    <w:name w:val="默认"/>
    <w:qFormat/>
    <w:uiPriority w:val="0"/>
    <w:pPr>
      <w:spacing w:before="160" w:line="288" w:lineRule="auto"/>
    </w:pPr>
    <w:rPr>
      <w:rFonts w:hint="eastAsia" w:ascii="Arial Unicode MS" w:hAnsi="Arial Unicode MS" w:eastAsia="PingFang SC Regular" w:cs="Arial Unicode MS"/>
      <w:color w:val="000000"/>
      <w:sz w:val="24"/>
      <w:szCs w:val="24"/>
      <w:lang w:val="zh-CN" w:eastAsia="zh-CN" w:bidi="ar-SA"/>
    </w:rPr>
  </w:style>
  <w:style w:type="paragraph" w:customStyle="1" w:styleId="137">
    <w:name w:val="_Style 26"/>
    <w:basedOn w:val="21"/>
    <w:next w:val="50"/>
    <w:qFormat/>
    <w:uiPriority w:val="0"/>
    <w:pPr>
      <w:framePr w:wrap="auto" w:vAnchor="margin" w:hAnchor="text" w:yAlign="inline"/>
      <w:widowControl w:val="0"/>
      <w:spacing w:after="60" w:line="360" w:lineRule="auto"/>
      <w:ind w:firstLine="200" w:firstLineChars="200"/>
      <w:jc w:val="both"/>
    </w:pPr>
    <w:rPr>
      <w:rFonts w:ascii="Arial" w:hAnsi="Arial" w:eastAsia="宋体"/>
      <w:color w:val="auto"/>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28956</Words>
  <Characters>30296</Characters>
  <Lines>212</Lines>
  <Paragraphs>59</Paragraphs>
  <TotalTime>124</TotalTime>
  <ScaleCrop>false</ScaleCrop>
  <LinksUpToDate>false</LinksUpToDate>
  <CharactersWithSpaces>32048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2022-07-08T00:12:00Z</dcterms:created>
  <dc:creator>何平</dc:creator>
  <cp:lastModifiedBy>凌xx</cp:lastModifiedBy>
  <cp:lastPrinted>2022-06-21T01:03:00Z</cp:lastPrinted>
  <dcterms:modified xsi:type="dcterms:W3CDTF">2025-01-23T09:42:34Z</dcterms:modified>
  <dc:title>  </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D9E890114C7142CDB4F9C68AE2F07299_13</vt:lpwstr>
  </property>
</Properties>
</file>