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eastAsia="黑体"/>
          <w:sz w:val="44"/>
          <w:szCs w:val="44"/>
        </w:rPr>
      </w:pPr>
      <w:r>
        <w:rPr>
          <w:rFonts w:hint="eastAsia" w:eastAsia="黑体"/>
          <w:sz w:val="44"/>
          <w:szCs w:val="44"/>
        </w:rPr>
        <w:t>安徽省第二人民医院专科医疗及科教功能区建设项目楼层配电箱采购项目</w:t>
      </w:r>
    </w:p>
    <w:p>
      <w:pPr>
        <w:spacing w:beforeLines="100" w:line="460" w:lineRule="exact"/>
        <w:ind w:firstLine="437"/>
        <w:jc w:val="center"/>
        <w:rPr>
          <w:rFonts w:hint="eastAsia" w:eastAsia="黑体"/>
          <w:sz w:val="32"/>
          <w:szCs w:val="32"/>
        </w:rPr>
      </w:pPr>
      <w:r>
        <w:rPr>
          <w:rFonts w:hint="eastAsia" w:eastAsia="黑体"/>
          <w:sz w:val="32"/>
          <w:szCs w:val="32"/>
        </w:rPr>
        <w:t>（招标编号：</w:t>
      </w:r>
      <w:r>
        <w:rPr>
          <w:rFonts w:hint="eastAsia" w:eastAsia="黑体"/>
          <w:sz w:val="32"/>
          <w:szCs w:val="32"/>
          <w:u w:val="single"/>
        </w:rPr>
        <w:t xml:space="preserve">      </w:t>
      </w:r>
      <w:r>
        <w:rPr>
          <w:rFonts w:hint="eastAsia" w:eastAsia="黑体"/>
          <w:sz w:val="32"/>
          <w:szCs w:val="32"/>
        </w:rPr>
        <w:t>）</w:t>
      </w:r>
    </w:p>
    <w:p>
      <w:pPr>
        <w:spacing w:line="540" w:lineRule="exact"/>
        <w:rPr>
          <w:rFonts w:hint="eastAsia"/>
          <w:szCs w:val="21"/>
        </w:rPr>
      </w:pP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招 标 文 件</w:t>
      </w:r>
    </w:p>
    <w:p>
      <w:pPr>
        <w:spacing w:line="540" w:lineRule="exact"/>
        <w:ind w:firstLine="437"/>
        <w:rPr>
          <w:rFonts w:hint="eastAsia"/>
          <w:szCs w:val="21"/>
        </w:rPr>
      </w:pPr>
    </w:p>
    <w:p>
      <w:pPr>
        <w:spacing w:line="540" w:lineRule="exact"/>
        <w:ind w:firstLine="437"/>
        <w:rPr>
          <w:rFonts w:hint="eastAsia"/>
          <w:szCs w:val="21"/>
        </w:rPr>
      </w:pPr>
    </w:p>
    <w:p>
      <w:pPr>
        <w:tabs>
          <w:tab w:val="left" w:pos="315"/>
          <w:tab w:val="left" w:pos="8820"/>
        </w:tabs>
        <w:ind w:right="267" w:rightChars="127"/>
        <w:jc w:val="center"/>
        <w:rPr>
          <w:rFonts w:ascii="仿宋_GB2312" w:eastAsia="仿宋_GB2312"/>
          <w:sz w:val="44"/>
        </w:rPr>
      </w:pPr>
      <w:r>
        <w:rPr>
          <w:rFonts w:ascii="仿宋_GB2312" w:eastAsia="仿宋_GB2312"/>
          <w:b/>
          <w:sz w:val="32"/>
        </w:rPr>
        <w:drawing>
          <wp:inline distT="0" distB="0" distL="0" distR="0">
            <wp:extent cx="1949450" cy="1871345"/>
            <wp:effectExtent l="19050" t="0" r="0" b="0"/>
            <wp:docPr id="1" name="图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LOGO"/>
                    <pic:cNvPicPr>
                      <a:picLocks noChangeAspect="1" noChangeArrowheads="1"/>
                    </pic:cNvPicPr>
                  </pic:nvPicPr>
                  <pic:blipFill>
                    <a:blip r:embed="rId16" cstate="print"/>
                    <a:srcRect/>
                    <a:stretch>
                      <a:fillRect/>
                    </a:stretch>
                  </pic:blipFill>
                  <pic:spPr>
                    <a:xfrm>
                      <a:off x="0" y="0"/>
                      <a:ext cx="1949450" cy="1871345"/>
                    </a:xfrm>
                    <a:prstGeom prst="rect">
                      <a:avLst/>
                    </a:prstGeom>
                    <a:noFill/>
                    <a:ln w="9525" cmpd="sng">
                      <a:noFill/>
                      <a:miter lim="800000"/>
                      <a:headEnd/>
                      <a:tailEnd/>
                    </a:ln>
                  </pic:spPr>
                </pic:pic>
              </a:graphicData>
            </a:graphic>
          </wp:inline>
        </w:drawing>
      </w:r>
    </w:p>
    <w:p>
      <w:pPr>
        <w:spacing w:line="540" w:lineRule="exact"/>
        <w:ind w:firstLine="437"/>
        <w:rPr>
          <w:rFonts w:hint="eastAsia"/>
          <w:szCs w:val="21"/>
        </w:rPr>
      </w:pPr>
    </w:p>
    <w:p>
      <w:pPr>
        <w:spacing w:line="540" w:lineRule="exact"/>
        <w:ind w:firstLine="437"/>
        <w:rPr>
          <w:rFonts w:hint="eastAsia"/>
          <w:szCs w:val="21"/>
        </w:rPr>
      </w:pPr>
    </w:p>
    <w:p>
      <w:pPr>
        <w:spacing w:line="360" w:lineRule="auto"/>
        <w:ind w:firstLine="437"/>
        <w:jc w:val="center"/>
        <w:rPr>
          <w:rFonts w:hint="eastAsia"/>
          <w:sz w:val="32"/>
          <w:szCs w:val="32"/>
        </w:rPr>
      </w:pPr>
      <w:r>
        <w:rPr>
          <w:rFonts w:hint="eastAsia" w:eastAsia="黑体"/>
          <w:sz w:val="32"/>
          <w:szCs w:val="32"/>
        </w:rPr>
        <w:t xml:space="preserve"> 招   标   人：</w:t>
      </w:r>
      <w:r>
        <w:rPr>
          <w:rFonts w:hint="eastAsia" w:eastAsia="黑体"/>
          <w:sz w:val="32"/>
          <w:szCs w:val="32"/>
          <w:u w:val="single"/>
        </w:rPr>
        <w:t>安徽省第二人民医院</w:t>
      </w:r>
      <w:r>
        <w:rPr>
          <w:rFonts w:hint="eastAsia"/>
          <w:sz w:val="32"/>
          <w:szCs w:val="32"/>
        </w:rPr>
        <w:t>（盖单位章）</w:t>
      </w:r>
    </w:p>
    <w:p>
      <w:pPr>
        <w:spacing w:line="360" w:lineRule="auto"/>
        <w:ind w:firstLine="437"/>
        <w:jc w:val="center"/>
        <w:rPr>
          <w:rFonts w:hint="eastAsia"/>
          <w:sz w:val="32"/>
          <w:szCs w:val="32"/>
        </w:rPr>
      </w:pPr>
      <w:r>
        <w:rPr>
          <w:rFonts w:hint="eastAsia" w:eastAsia="黑体"/>
          <w:sz w:val="32"/>
          <w:szCs w:val="32"/>
        </w:rPr>
        <w:t>招标代理机构：</w:t>
      </w:r>
      <w:r>
        <w:rPr>
          <w:rFonts w:hint="eastAsia" w:eastAsia="黑体"/>
          <w:sz w:val="32"/>
          <w:szCs w:val="32"/>
          <w:u w:val="single"/>
        </w:rPr>
        <w:t xml:space="preserve"> 大成工程咨询有限公司 </w:t>
      </w:r>
      <w:r>
        <w:rPr>
          <w:rFonts w:hint="eastAsia"/>
          <w:sz w:val="32"/>
          <w:szCs w:val="32"/>
        </w:rPr>
        <w:t>（盖单位章）</w:t>
      </w:r>
    </w:p>
    <w:p>
      <w:pPr>
        <w:spacing w:line="360" w:lineRule="auto"/>
        <w:ind w:firstLine="437"/>
        <w:jc w:val="center"/>
        <w:rPr>
          <w:rFonts w:hint="eastAsia"/>
          <w:sz w:val="32"/>
          <w:szCs w:val="32"/>
          <w:u w:val="single"/>
        </w:rPr>
      </w:pPr>
    </w:p>
    <w:p>
      <w:pPr>
        <w:spacing w:line="540" w:lineRule="exact"/>
        <w:ind w:firstLine="437"/>
        <w:jc w:val="center"/>
        <w:rPr>
          <w:sz w:val="32"/>
          <w:szCs w:val="32"/>
        </w:rPr>
      </w:pPr>
      <w:r>
        <w:rPr>
          <w:rFonts w:hint="eastAsia" w:eastAsia="黑体"/>
          <w:sz w:val="32"/>
          <w:szCs w:val="32"/>
        </w:rPr>
        <w:t>日    期</w:t>
      </w:r>
      <w:r>
        <w:rPr>
          <w:rFonts w:hint="eastAsia"/>
          <w:sz w:val="32"/>
          <w:szCs w:val="32"/>
        </w:rPr>
        <w:t>：</w:t>
      </w:r>
      <w:r>
        <w:rPr>
          <w:rFonts w:hint="eastAsia" w:eastAsia="黑体"/>
          <w:sz w:val="32"/>
          <w:szCs w:val="32"/>
          <w:u w:val="single"/>
        </w:rPr>
        <w:t>2022</w:t>
      </w:r>
      <w:r>
        <w:rPr>
          <w:rFonts w:hint="eastAsia"/>
          <w:sz w:val="32"/>
          <w:szCs w:val="32"/>
        </w:rPr>
        <w:t>年</w:t>
      </w:r>
      <w:r>
        <w:rPr>
          <w:rFonts w:hint="eastAsia" w:eastAsia="黑体"/>
          <w:sz w:val="32"/>
          <w:szCs w:val="32"/>
          <w:u w:val="single"/>
        </w:rPr>
        <w:t xml:space="preserve"> 12</w:t>
      </w:r>
      <w:r>
        <w:rPr>
          <w:rFonts w:hint="eastAsia"/>
          <w:sz w:val="32"/>
          <w:szCs w:val="32"/>
        </w:rPr>
        <w:t>月</w:t>
      </w:r>
      <w:r>
        <w:rPr>
          <w:rFonts w:hint="eastAsia" w:eastAsia="黑体"/>
          <w:sz w:val="32"/>
          <w:szCs w:val="32"/>
          <w:u w:val="single"/>
        </w:rPr>
        <w:t xml:space="preserve">   </w:t>
      </w:r>
      <w:r>
        <w:rPr>
          <w:rFonts w:hint="eastAsia"/>
          <w:sz w:val="32"/>
          <w:szCs w:val="32"/>
        </w:rPr>
        <w:t>日</w:t>
      </w:r>
    </w:p>
    <w:p>
      <w:pPr>
        <w:spacing w:afterLines="150" w:line="540" w:lineRule="exact"/>
        <w:ind w:firstLine="437"/>
        <w:jc w:val="center"/>
        <w:rPr>
          <w:rFonts w:hint="eastAsia"/>
          <w:b/>
          <w:sz w:val="52"/>
          <w:szCs w:val="52"/>
        </w:rPr>
      </w:pPr>
      <w:r>
        <w:rPr>
          <w:b/>
          <w:sz w:val="52"/>
          <w:szCs w:val="52"/>
        </w:rPr>
        <w:br w:type="page"/>
      </w:r>
      <w:r>
        <w:rPr>
          <w:rFonts w:hint="eastAsia"/>
          <w:b/>
          <w:sz w:val="52"/>
          <w:szCs w:val="52"/>
        </w:rPr>
        <w:t>目  录</w:t>
      </w:r>
    </w:p>
    <w:p>
      <w:pPr>
        <w:pStyle w:val="35"/>
        <w:tabs>
          <w:tab w:val="right" w:leader="dot" w:pos="8949"/>
        </w:tabs>
        <w:spacing w:line="480" w:lineRule="exact"/>
        <w:rPr>
          <w:rFonts w:ascii="Times New Roman" w:hAnsi="Times New Roman" w:eastAsia="黑体" w:cs="Times New Roman"/>
          <w:b w:val="0"/>
          <w:bCs w:val="0"/>
          <w:caps w:val="0"/>
          <w:sz w:val="21"/>
          <w:szCs w:val="22"/>
          <w:lang w:val="en-US" w:eastAsia="zh-CN"/>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r>
        <w:fldChar w:fldCharType="begin"/>
      </w:r>
      <w:r>
        <w:instrText xml:space="preserve"> HYPERLINK \l "_Toc26781045" </w:instrText>
      </w:r>
      <w:r>
        <w:fldChar w:fldCharType="separate"/>
      </w:r>
      <w:r>
        <w:rPr>
          <w:rStyle w:val="62"/>
          <w:rFonts w:hint="eastAsia" w:ascii="Times New Roman" w:hAnsi="Times New Roman"/>
          <w:color w:val="000000"/>
          <w:lang w:val="en-US" w:eastAsia="zh-CN"/>
        </w:rPr>
        <w:t>第一章</w:t>
      </w:r>
      <w:r>
        <w:rPr>
          <w:rStyle w:val="62"/>
          <w:rFonts w:ascii="Times New Roman" w:hAnsi="Times New Roman"/>
          <w:color w:val="000000"/>
          <w:lang w:val="en-US" w:eastAsia="zh-CN"/>
        </w:rPr>
        <w:t xml:space="preserve">  </w:t>
      </w:r>
      <w:r>
        <w:rPr>
          <w:rStyle w:val="62"/>
          <w:rFonts w:hint="eastAsia" w:ascii="Times New Roman" w:hAnsi="Times New Roman"/>
          <w:color w:val="000000"/>
          <w:lang w:val="en-US" w:eastAsia="zh-CN"/>
        </w:rPr>
        <w:t>招标公告</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_Toc26781045 \h </w:instrText>
      </w:r>
      <w:r>
        <w:rPr>
          <w:rFonts w:ascii="Times New Roman" w:hAnsi="Times New Roman" w:eastAsia="黑体"/>
          <w:lang w:val="en-US" w:eastAsia="zh-CN"/>
        </w:rPr>
        <w:fldChar w:fldCharType="separate"/>
      </w:r>
      <w:r>
        <w:rPr>
          <w:rFonts w:ascii="Times New Roman" w:hAnsi="Times New Roman" w:eastAsia="黑体"/>
          <w:lang w:val="en-US" w:eastAsia="zh-CN"/>
        </w:rPr>
        <w:t>3</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35"/>
        <w:tabs>
          <w:tab w:val="right" w:leader="dot" w:pos="8949"/>
        </w:tabs>
        <w:spacing w:line="480" w:lineRule="exact"/>
        <w:rPr>
          <w:rFonts w:ascii="Times New Roman" w:hAnsi="Times New Roman" w:eastAsia="黑体" w:cs="Times New Roman"/>
          <w:b w:val="0"/>
          <w:bCs w:val="0"/>
          <w:caps w:val="0"/>
          <w:sz w:val="21"/>
          <w:szCs w:val="22"/>
          <w:lang w:val="en-US" w:eastAsia="zh-CN"/>
        </w:rPr>
      </w:pPr>
      <w:r>
        <w:fldChar w:fldCharType="begin"/>
      </w:r>
      <w:r>
        <w:instrText xml:space="preserve"> HYPERLINK \l "_Toc26781046" </w:instrText>
      </w:r>
      <w:r>
        <w:fldChar w:fldCharType="separate"/>
      </w:r>
      <w:r>
        <w:rPr>
          <w:rStyle w:val="62"/>
          <w:rFonts w:hint="eastAsia" w:ascii="Times New Roman" w:hAnsi="Times New Roman"/>
          <w:color w:val="000000"/>
          <w:lang w:val="en-US" w:eastAsia="zh-CN"/>
        </w:rPr>
        <w:t>第二章</w:t>
      </w:r>
      <w:r>
        <w:rPr>
          <w:rStyle w:val="62"/>
          <w:rFonts w:ascii="Times New Roman" w:hAnsi="Times New Roman"/>
          <w:color w:val="000000"/>
          <w:lang w:val="en-US" w:eastAsia="zh-CN"/>
        </w:rPr>
        <w:t xml:space="preserve">  </w:t>
      </w:r>
      <w:r>
        <w:rPr>
          <w:rStyle w:val="62"/>
          <w:rFonts w:hint="eastAsia" w:ascii="Times New Roman" w:hAnsi="Times New Roman"/>
          <w:color w:val="000000"/>
          <w:lang w:val="en-US" w:eastAsia="zh-CN"/>
        </w:rPr>
        <w:t>投标人须知</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_Toc26781046 \h </w:instrText>
      </w:r>
      <w:r>
        <w:rPr>
          <w:rFonts w:ascii="Times New Roman" w:hAnsi="Times New Roman" w:eastAsia="黑体"/>
          <w:lang w:val="en-US" w:eastAsia="zh-CN"/>
        </w:rPr>
        <w:fldChar w:fldCharType="separate"/>
      </w:r>
      <w:r>
        <w:rPr>
          <w:rFonts w:ascii="Times New Roman" w:hAnsi="Times New Roman" w:eastAsia="黑体"/>
          <w:lang w:val="en-US" w:eastAsia="zh-CN"/>
        </w:rPr>
        <w:t>3</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45"/>
        <w:spacing w:line="480" w:lineRule="exact"/>
        <w:rPr>
          <w:rFonts w:ascii="Times New Roman" w:hAnsi="Times New Roman" w:cs="Times New Roman"/>
          <w:smallCaps w:val="0"/>
          <w:sz w:val="21"/>
          <w:szCs w:val="22"/>
        </w:rPr>
      </w:pPr>
      <w:r>
        <w:fldChar w:fldCharType="begin"/>
      </w:r>
      <w:r>
        <w:instrText xml:space="preserve"> HYPERLINK \l "_Toc26781047" </w:instrText>
      </w:r>
      <w:r>
        <w:fldChar w:fldCharType="separate"/>
      </w:r>
      <w:r>
        <w:rPr>
          <w:rStyle w:val="62"/>
          <w:rFonts w:hint="eastAsia" w:ascii="Times New Roman" w:hAnsi="Times New Roman" w:eastAsia="宋体"/>
          <w:color w:val="000000"/>
        </w:rPr>
        <w:t>投标人须知前附表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_Toc26781047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35"/>
        <w:tabs>
          <w:tab w:val="right" w:leader="dot" w:pos="8949"/>
        </w:tabs>
        <w:spacing w:line="480" w:lineRule="exact"/>
        <w:rPr>
          <w:rFonts w:ascii="Times New Roman" w:hAnsi="Times New Roman" w:eastAsia="黑体" w:cs="Times New Roman"/>
          <w:b w:val="0"/>
          <w:bCs w:val="0"/>
          <w:caps w:val="0"/>
          <w:sz w:val="21"/>
          <w:szCs w:val="22"/>
          <w:lang w:val="en-US" w:eastAsia="zh-CN"/>
        </w:rPr>
      </w:pPr>
      <w:r>
        <w:fldChar w:fldCharType="begin"/>
      </w:r>
      <w:r>
        <w:instrText xml:space="preserve"> HYPERLINK \l "_Toc26781063" </w:instrText>
      </w:r>
      <w:r>
        <w:fldChar w:fldCharType="separate"/>
      </w:r>
      <w:r>
        <w:rPr>
          <w:rStyle w:val="62"/>
          <w:rFonts w:hint="eastAsia" w:ascii="Times New Roman" w:hAnsi="Times New Roman"/>
          <w:color w:val="000000"/>
          <w:lang w:val="en-US" w:eastAsia="zh-CN"/>
        </w:rPr>
        <w:t>附件：合肥市公共资源交易电子招标投标操作规程</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_Toc26781063 \h </w:instrText>
      </w:r>
      <w:r>
        <w:rPr>
          <w:rFonts w:ascii="Times New Roman" w:hAnsi="Times New Roman" w:eastAsia="黑体"/>
          <w:lang w:val="en-US" w:eastAsia="zh-CN"/>
        </w:rPr>
        <w:fldChar w:fldCharType="separate"/>
      </w:r>
      <w:r>
        <w:rPr>
          <w:rFonts w:ascii="Times New Roman" w:hAnsi="Times New Roman" w:eastAsia="黑体"/>
          <w:lang w:val="en-US" w:eastAsia="zh-CN"/>
        </w:rPr>
        <w:t>36</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35"/>
        <w:tabs>
          <w:tab w:val="right" w:leader="dot" w:pos="8949"/>
        </w:tabs>
        <w:spacing w:line="480" w:lineRule="exact"/>
        <w:rPr>
          <w:rFonts w:ascii="Times New Roman" w:hAnsi="Times New Roman" w:cs="Times New Roman"/>
          <w:smallCaps/>
          <w:sz w:val="21"/>
          <w:szCs w:val="22"/>
        </w:rPr>
      </w:pPr>
      <w:r>
        <w:fldChar w:fldCharType="begin"/>
      </w:r>
      <w:r>
        <w:instrText xml:space="preserve"> HYPERLINK \l "_Toc26781064" </w:instrText>
      </w:r>
      <w:r>
        <w:fldChar w:fldCharType="separate"/>
      </w:r>
      <w:r>
        <w:rPr>
          <w:rStyle w:val="62"/>
          <w:rFonts w:hint="eastAsia" w:ascii="Times New Roman" w:hAnsi="Times New Roman"/>
          <w:color w:val="000000"/>
          <w:lang w:val="en-US" w:eastAsia="zh-CN"/>
        </w:rPr>
        <w:t>第三章</w:t>
      </w:r>
      <w:r>
        <w:rPr>
          <w:rStyle w:val="62"/>
          <w:rFonts w:ascii="Times New Roman" w:hAnsi="Times New Roman"/>
          <w:color w:val="000000"/>
          <w:lang w:val="en-US" w:eastAsia="zh-CN"/>
        </w:rPr>
        <w:t xml:space="preserve">  </w:t>
      </w:r>
      <w:r>
        <w:rPr>
          <w:rStyle w:val="62"/>
          <w:rFonts w:hint="eastAsia" w:ascii="Times New Roman" w:hAnsi="Times New Roman"/>
          <w:color w:val="000000"/>
          <w:lang w:val="en-US" w:eastAsia="zh-CN"/>
        </w:rPr>
        <w:t>评标办法</w:t>
      </w:r>
      <w:r>
        <w:rPr>
          <w:rStyle w:val="62"/>
          <w:rFonts w:ascii="Times New Roman" w:hAnsi="Times New Roman"/>
          <w:color w:val="000000"/>
          <w:lang w:val="en-US" w:eastAsia="zh-CN"/>
        </w:rPr>
        <w:t xml:space="preserve"> </w:t>
      </w:r>
      <w:r>
        <w:rPr>
          <w:rStyle w:val="62"/>
          <w:rFonts w:hint="eastAsia" w:ascii="Times New Roman" w:hAnsi="Times New Roman"/>
          <w:color w:val="000000"/>
          <w:lang w:val="en-US" w:eastAsia="zh-CN"/>
        </w:rPr>
        <w:t>（第一种：</w:t>
      </w:r>
      <w:r>
        <w:rPr>
          <w:rStyle w:val="62"/>
          <w:rFonts w:hint="eastAsia" w:ascii="Times New Roman" w:hAnsi="Times New Roman"/>
          <w:color w:val="000000"/>
        </w:rPr>
        <w:t>综合评估法（一次平均）</w:t>
      </w:r>
      <w:r>
        <w:rPr>
          <w:rStyle w:val="62"/>
          <w:rFonts w:hint="eastAsia" w:ascii="Times New Roman" w:hAnsi="Times New Roman"/>
          <w:color w:val="000000"/>
          <w:lang w:val="en-US" w:eastAsia="zh-CN"/>
        </w:rPr>
        <w:t>）</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_Toc26781064 \h </w:instrText>
      </w:r>
      <w:r>
        <w:rPr>
          <w:rFonts w:ascii="Times New Roman" w:hAnsi="Times New Roman" w:eastAsia="黑体"/>
          <w:lang w:val="en-US" w:eastAsia="zh-CN"/>
        </w:rPr>
        <w:fldChar w:fldCharType="separate"/>
      </w:r>
      <w:r>
        <w:rPr>
          <w:rFonts w:ascii="Times New Roman" w:hAnsi="Times New Roman" w:eastAsia="黑体"/>
          <w:lang w:val="en-US" w:eastAsia="zh-CN"/>
        </w:rPr>
        <w:t>39</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35"/>
        <w:tabs>
          <w:tab w:val="right" w:leader="dot" w:pos="8949"/>
        </w:tabs>
        <w:spacing w:line="480" w:lineRule="exact"/>
        <w:rPr>
          <w:rFonts w:ascii="Times New Roman" w:hAnsi="Times New Roman" w:eastAsia="黑体" w:cs="Times New Roman"/>
          <w:b w:val="0"/>
          <w:bCs w:val="0"/>
          <w:caps w:val="0"/>
          <w:sz w:val="21"/>
          <w:szCs w:val="22"/>
          <w:lang w:val="en-US" w:eastAsia="zh-CN"/>
        </w:rPr>
      </w:pPr>
      <w:r>
        <w:fldChar w:fldCharType="begin"/>
      </w:r>
      <w:r>
        <w:instrText xml:space="preserve"> HYPERLINK \l "_Toc26781084" </w:instrText>
      </w:r>
      <w:r>
        <w:fldChar w:fldCharType="separate"/>
      </w:r>
      <w:r>
        <w:rPr>
          <w:rStyle w:val="62"/>
          <w:rFonts w:hint="eastAsia" w:ascii="Times New Roman" w:hAnsi="Times New Roman"/>
          <w:color w:val="000000"/>
          <w:lang w:val="en-US" w:eastAsia="zh-CN"/>
        </w:rPr>
        <w:t>第四章</w:t>
      </w:r>
      <w:r>
        <w:rPr>
          <w:rStyle w:val="62"/>
          <w:rFonts w:ascii="Times New Roman" w:hAnsi="Times New Roman"/>
          <w:color w:val="000000"/>
          <w:lang w:val="en-US" w:eastAsia="zh-CN"/>
        </w:rPr>
        <w:t xml:space="preserve">  </w:t>
      </w:r>
      <w:r>
        <w:rPr>
          <w:rStyle w:val="62"/>
          <w:rFonts w:hint="eastAsia" w:ascii="Times New Roman" w:hAnsi="Times New Roman"/>
          <w:color w:val="000000"/>
          <w:lang w:val="en-US" w:eastAsia="zh-CN"/>
        </w:rPr>
        <w:t>合同条款及格式</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_Toc26781084 \h </w:instrText>
      </w:r>
      <w:r>
        <w:rPr>
          <w:rFonts w:ascii="Times New Roman" w:hAnsi="Times New Roman" w:eastAsia="黑体"/>
          <w:lang w:val="en-US" w:eastAsia="zh-CN"/>
        </w:rPr>
        <w:fldChar w:fldCharType="separate"/>
      </w:r>
      <w:r>
        <w:rPr>
          <w:rFonts w:ascii="Times New Roman" w:hAnsi="Times New Roman" w:eastAsia="黑体"/>
          <w:lang w:val="en-US" w:eastAsia="zh-CN"/>
        </w:rPr>
        <w:t>49</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35"/>
        <w:tabs>
          <w:tab w:val="right" w:leader="dot" w:pos="8949"/>
        </w:tabs>
        <w:spacing w:line="480" w:lineRule="exact"/>
        <w:rPr>
          <w:rFonts w:ascii="Times New Roman" w:hAnsi="Times New Roman" w:cs="Times New Roman"/>
          <w:smallCaps/>
          <w:sz w:val="21"/>
          <w:szCs w:val="22"/>
        </w:rPr>
      </w:pPr>
      <w:r>
        <w:fldChar w:fldCharType="begin"/>
      </w:r>
      <w:r>
        <w:instrText xml:space="preserve"> HYPERLINK \l "_Toc26781111" </w:instrText>
      </w:r>
      <w:r>
        <w:fldChar w:fldCharType="separate"/>
      </w:r>
      <w:r>
        <w:rPr>
          <w:rStyle w:val="62"/>
          <w:rFonts w:hint="eastAsia" w:ascii="Times New Roman" w:hAnsi="Times New Roman"/>
          <w:color w:val="000000"/>
          <w:kern w:val="44"/>
          <w:lang w:val="en-US" w:eastAsia="zh-CN"/>
        </w:rPr>
        <w:t>第五章</w:t>
      </w:r>
      <w:r>
        <w:rPr>
          <w:rStyle w:val="62"/>
          <w:rFonts w:ascii="Times New Roman" w:hAnsi="Times New Roman"/>
          <w:color w:val="000000"/>
          <w:kern w:val="44"/>
          <w:lang w:val="en-US" w:eastAsia="zh-CN"/>
        </w:rPr>
        <w:t xml:space="preserve">  </w:t>
      </w:r>
      <w:r>
        <w:rPr>
          <w:rStyle w:val="62"/>
          <w:rFonts w:hint="eastAsia" w:ascii="Times New Roman" w:hAnsi="Times New Roman"/>
          <w:color w:val="000000"/>
          <w:kern w:val="44"/>
          <w:lang w:val="en-US" w:eastAsia="zh-CN"/>
        </w:rPr>
        <w:t>供货要求</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_Toc26781111 \h </w:instrText>
      </w:r>
      <w:r>
        <w:rPr>
          <w:rFonts w:ascii="Times New Roman" w:hAnsi="Times New Roman" w:eastAsia="黑体"/>
          <w:lang w:val="en-US" w:eastAsia="zh-CN"/>
        </w:rPr>
        <w:fldChar w:fldCharType="separate"/>
      </w:r>
      <w:r>
        <w:rPr>
          <w:rFonts w:ascii="Times New Roman" w:hAnsi="Times New Roman" w:eastAsia="黑体"/>
          <w:lang w:val="en-US" w:eastAsia="zh-CN"/>
        </w:rPr>
        <w:t>77</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35"/>
        <w:tabs>
          <w:tab w:val="right" w:leader="dot" w:pos="8949"/>
        </w:tabs>
        <w:spacing w:line="480" w:lineRule="exact"/>
        <w:rPr>
          <w:rFonts w:ascii="Times New Roman" w:hAnsi="Times New Roman" w:eastAsia="黑体" w:cs="Times New Roman"/>
          <w:b w:val="0"/>
          <w:bCs w:val="0"/>
          <w:caps w:val="0"/>
          <w:sz w:val="21"/>
          <w:szCs w:val="22"/>
          <w:lang w:val="en-US" w:eastAsia="zh-CN"/>
        </w:rPr>
      </w:pPr>
      <w:r>
        <w:fldChar w:fldCharType="begin"/>
      </w:r>
      <w:r>
        <w:instrText xml:space="preserve"> HYPERLINK \l "_Toc26781118" </w:instrText>
      </w:r>
      <w:r>
        <w:fldChar w:fldCharType="separate"/>
      </w:r>
      <w:r>
        <w:rPr>
          <w:rStyle w:val="62"/>
          <w:rFonts w:hint="eastAsia" w:ascii="Times New Roman" w:hAnsi="Times New Roman"/>
          <w:color w:val="000000"/>
          <w:kern w:val="44"/>
          <w:lang w:val="en-US" w:eastAsia="zh-CN"/>
        </w:rPr>
        <w:t>第六章</w:t>
      </w:r>
      <w:r>
        <w:rPr>
          <w:rStyle w:val="62"/>
          <w:rFonts w:ascii="Times New Roman" w:hAnsi="Times New Roman"/>
          <w:color w:val="000000"/>
          <w:kern w:val="44"/>
          <w:lang w:val="en-US" w:eastAsia="zh-CN"/>
        </w:rPr>
        <w:t xml:space="preserve">  </w:t>
      </w:r>
      <w:r>
        <w:rPr>
          <w:rStyle w:val="62"/>
          <w:rFonts w:hint="eastAsia" w:ascii="Times New Roman" w:hAnsi="Times New Roman"/>
          <w:color w:val="000000"/>
          <w:kern w:val="44"/>
          <w:lang w:val="en-US" w:eastAsia="zh-CN"/>
        </w:rPr>
        <w:t>投标文件格式</w:t>
      </w:r>
      <w:r>
        <w:rPr>
          <w:rFonts w:ascii="Times New Roman" w:hAnsi="Times New Roman" w:eastAsia="黑体"/>
          <w:lang w:val="en-US" w:eastAsia="zh-CN"/>
        </w:rPr>
        <w:tab/>
      </w:r>
      <w:r>
        <w:rPr>
          <w:rFonts w:ascii="Times New Roman" w:hAnsi="Times New Roman" w:eastAsia="黑体"/>
          <w:lang w:val="en-US" w:eastAsia="zh-CN"/>
        </w:rPr>
        <w:fldChar w:fldCharType="begin"/>
      </w:r>
      <w:r>
        <w:rPr>
          <w:rFonts w:ascii="Times New Roman" w:hAnsi="Times New Roman" w:eastAsia="黑体"/>
          <w:lang w:val="en-US" w:eastAsia="zh-CN"/>
        </w:rPr>
        <w:instrText xml:space="preserve"> PAGEREF _Toc26781118 \h </w:instrText>
      </w:r>
      <w:r>
        <w:rPr>
          <w:rFonts w:ascii="Times New Roman" w:hAnsi="Times New Roman" w:eastAsia="黑体"/>
          <w:lang w:val="en-US" w:eastAsia="zh-CN"/>
        </w:rPr>
        <w:fldChar w:fldCharType="separate"/>
      </w:r>
      <w:r>
        <w:rPr>
          <w:rFonts w:ascii="Times New Roman" w:hAnsi="Times New Roman" w:eastAsia="黑体"/>
          <w:lang w:val="en-US" w:eastAsia="zh-CN"/>
        </w:rPr>
        <w:t>78</w:t>
      </w:r>
      <w:r>
        <w:rPr>
          <w:rFonts w:ascii="Times New Roman" w:hAnsi="Times New Roman" w:eastAsia="黑体"/>
          <w:lang w:val="en-US" w:eastAsia="zh-CN"/>
        </w:rPr>
        <w:fldChar w:fldCharType="end"/>
      </w:r>
      <w:r>
        <w:rPr>
          <w:rFonts w:ascii="Times New Roman" w:hAnsi="Times New Roman" w:eastAsia="黑体"/>
          <w:lang w:val="en-US" w:eastAsia="zh-CN"/>
        </w:rPr>
        <w:fldChar w:fldCharType="end"/>
      </w:r>
    </w:p>
    <w:p>
      <w:pPr>
        <w:pStyle w:val="45"/>
        <w:spacing w:line="480" w:lineRule="exact"/>
        <w:rPr>
          <w:rFonts w:ascii="Times New Roman" w:hAnsi="Times New Roman" w:cs="Times New Roman"/>
          <w:smallCaps w:val="0"/>
          <w:sz w:val="21"/>
          <w:szCs w:val="22"/>
        </w:rPr>
      </w:pPr>
      <w:r>
        <w:fldChar w:fldCharType="begin"/>
      </w:r>
      <w:r>
        <w:instrText xml:space="preserve"> HYPERLINK \l "_Toc26781119" </w:instrText>
      </w:r>
      <w:r>
        <w:fldChar w:fldCharType="separate"/>
      </w:r>
      <w:r>
        <w:rPr>
          <w:rStyle w:val="62"/>
          <w:rFonts w:hint="eastAsia" w:ascii="Times New Roman" w:hAnsi="Times New Roman" w:eastAsia="宋体"/>
          <w:color w:val="000000"/>
        </w:rPr>
        <w:t>投标文件</w:t>
      </w:r>
      <w:r>
        <w:rPr>
          <w:rStyle w:val="62"/>
          <w:rFonts w:ascii="Times New Roman" w:hAnsi="Times New Roman" w:eastAsia="宋体"/>
          <w:color w:val="000000"/>
        </w:rPr>
        <w:t xml:space="preserve"> </w:t>
      </w:r>
      <w:r>
        <w:rPr>
          <w:rStyle w:val="62"/>
          <w:rFonts w:hint="eastAsia" w:ascii="Times New Roman" w:hAnsi="Times New Roman" w:eastAsia="宋体"/>
          <w:color w:val="000000"/>
        </w:rPr>
        <w:t>（商务及技术文件）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_Toc26781119 \h </w:instrText>
      </w:r>
      <w:r>
        <w:rPr>
          <w:rFonts w:ascii="Times New Roman" w:hAnsi="Times New Roman"/>
        </w:rPr>
        <w:fldChar w:fldCharType="separate"/>
      </w:r>
      <w:r>
        <w:rPr>
          <w:rFonts w:ascii="Times New Roman" w:hAnsi="Times New Roman"/>
        </w:rPr>
        <w:t>78</w:t>
      </w:r>
      <w:r>
        <w:rPr>
          <w:rFonts w:ascii="Times New Roman" w:hAnsi="Times New Roman"/>
        </w:rPr>
        <w:fldChar w:fldCharType="end"/>
      </w:r>
      <w:r>
        <w:rPr>
          <w:rFonts w:ascii="Times New Roman" w:hAnsi="Times New Roman"/>
        </w:rPr>
        <w:fldChar w:fldCharType="end"/>
      </w:r>
    </w:p>
    <w:p>
      <w:pPr>
        <w:pStyle w:val="45"/>
        <w:spacing w:line="480" w:lineRule="exact"/>
        <w:rPr>
          <w:rFonts w:ascii="Times New Roman" w:hAnsi="Times New Roman" w:eastAsia="宋体" w:cs="Times New Roman"/>
          <w:smallCaps w:val="0"/>
          <w:sz w:val="21"/>
          <w:szCs w:val="22"/>
        </w:rPr>
      </w:pPr>
      <w:r>
        <w:fldChar w:fldCharType="begin"/>
      </w:r>
      <w:r>
        <w:instrText xml:space="preserve"> HYPERLINK \l "_Toc26781120" </w:instrText>
      </w:r>
      <w:r>
        <w:fldChar w:fldCharType="separate"/>
      </w:r>
      <w:r>
        <w:rPr>
          <w:rStyle w:val="62"/>
          <w:rFonts w:hint="eastAsia" w:ascii="Times New Roman" w:hAnsi="Times New Roman" w:eastAsia="宋体"/>
          <w:color w:val="000000"/>
        </w:rPr>
        <w:t>投标文件</w:t>
      </w:r>
      <w:r>
        <w:rPr>
          <w:rStyle w:val="62"/>
          <w:rFonts w:ascii="Times New Roman" w:hAnsi="Times New Roman" w:eastAsia="宋体"/>
          <w:color w:val="000000"/>
        </w:rPr>
        <w:t xml:space="preserve"> </w:t>
      </w:r>
      <w:r>
        <w:rPr>
          <w:rStyle w:val="62"/>
          <w:rFonts w:hint="eastAsia" w:ascii="Times New Roman" w:hAnsi="Times New Roman" w:eastAsia="宋体"/>
          <w:color w:val="000000"/>
        </w:rPr>
        <w:t>（报价文件）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_Toc26781120 \h </w:instrText>
      </w:r>
      <w:r>
        <w:rPr>
          <w:rFonts w:ascii="Times New Roman" w:hAnsi="Times New Roman"/>
        </w:rPr>
        <w:fldChar w:fldCharType="separate"/>
      </w:r>
      <w:r>
        <w:rPr>
          <w:rFonts w:ascii="Times New Roman" w:hAnsi="Times New Roman"/>
        </w:rPr>
        <w:t>97</w:t>
      </w:r>
      <w:r>
        <w:rPr>
          <w:rFonts w:ascii="Times New Roman" w:hAnsi="Times New Roman"/>
        </w:rPr>
        <w:fldChar w:fldCharType="end"/>
      </w:r>
      <w:r>
        <w:rPr>
          <w:rFonts w:ascii="Times New Roman" w:hAnsi="Times New Roman"/>
        </w:rPr>
        <w:fldChar w:fldCharType="end"/>
      </w:r>
    </w:p>
    <w:p>
      <w:pPr>
        <w:ind w:firstLine="435"/>
        <w:jc w:val="center"/>
        <w:rPr>
          <w:rFonts w:hint="eastAsia"/>
        </w:rPr>
      </w:pPr>
      <w:r>
        <w:fldChar w:fldCharType="end"/>
      </w:r>
    </w:p>
    <w:p>
      <w:pPr>
        <w:pStyle w:val="2"/>
        <w:jc w:val="center"/>
        <w:rPr>
          <w:rFonts w:hint="eastAsia" w:eastAsia="黑体"/>
          <w:b w:val="0"/>
        </w:rPr>
      </w:pPr>
      <w:r>
        <w:br w:type="page"/>
      </w:r>
      <w:bookmarkStart w:id="0" w:name="_Toc26781045"/>
      <w:r>
        <w:rPr>
          <w:rFonts w:hint="eastAsia" w:eastAsia="黑体"/>
          <w:b w:val="0"/>
        </w:rPr>
        <w:t>第一章  招标公告</w:t>
      </w:r>
      <w:bookmarkEnd w:id="0"/>
    </w:p>
    <w:p>
      <w:pPr>
        <w:widowControl/>
        <w:spacing w:line="480" w:lineRule="exact"/>
        <w:jc w:val="center"/>
        <w:rPr>
          <w:rFonts w:hint="eastAsia" w:ascii="宋体" w:hAnsi="宋体" w:cs="宋体"/>
          <w:b/>
          <w:bCs/>
          <w:color w:val="000000"/>
          <w:kern w:val="0"/>
          <w:sz w:val="22"/>
          <w:szCs w:val="22"/>
        </w:rPr>
      </w:pPr>
      <w:bookmarkStart w:id="1" w:name="_Toc26781046"/>
      <w:r>
        <w:rPr>
          <w:rFonts w:hint="eastAsia" w:ascii="宋体" w:hAnsi="宋体" w:cs="宋体"/>
          <w:b/>
          <w:bCs/>
          <w:color w:val="000000"/>
          <w:kern w:val="0"/>
          <w:sz w:val="22"/>
          <w:szCs w:val="22"/>
        </w:rPr>
        <w:t>安徽省第二人民医院专科医疗及科教功能区建设项目楼层配电箱采购项目招标公告</w:t>
      </w:r>
    </w:p>
    <w:p>
      <w:pPr>
        <w:widowControl/>
        <w:spacing w:line="480" w:lineRule="exact"/>
        <w:jc w:val="center"/>
        <w:rPr>
          <w:rFonts w:hint="eastAsia" w:ascii="宋体" w:hAnsi="宋体" w:cs="宋体"/>
          <w:sz w:val="22"/>
          <w:szCs w:val="22"/>
        </w:rPr>
      </w:pPr>
      <w:r>
        <w:rPr>
          <w:rFonts w:hint="eastAsia" w:ascii="宋体" w:hAnsi="宋体" w:cs="宋体"/>
          <w:color w:val="000000"/>
          <w:kern w:val="0"/>
          <w:sz w:val="22"/>
          <w:szCs w:val="22"/>
        </w:rPr>
        <w:t>（电子招标投标）</w:t>
      </w:r>
    </w:p>
    <w:p>
      <w:pPr>
        <w:widowControl/>
        <w:spacing w:line="480" w:lineRule="exact"/>
        <w:jc w:val="left"/>
        <w:rPr>
          <w:rFonts w:hint="eastAsia" w:ascii="宋体" w:hAnsi="宋体" w:cs="宋体"/>
          <w:sz w:val="22"/>
          <w:szCs w:val="22"/>
        </w:rPr>
      </w:pPr>
      <w:r>
        <w:rPr>
          <w:rFonts w:hint="eastAsia" w:ascii="宋体" w:hAnsi="宋体" w:cs="宋体"/>
          <w:b/>
          <w:bCs/>
          <w:color w:val="000000"/>
          <w:kern w:val="0"/>
          <w:sz w:val="22"/>
          <w:szCs w:val="22"/>
        </w:rPr>
        <w:t>1. 招标条件</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1.1 项目名称：安徽省第二人民医院专科医疗及科教功能区建设项目楼层配电箱采购项目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1.2 项目审批、核准或备案机关名称：</w:t>
      </w:r>
      <w:r>
        <w:rPr>
          <w:rFonts w:hint="eastAsia" w:ascii="宋体" w:hAnsi="宋体" w:cs="宋体"/>
          <w:color w:val="000000"/>
          <w:kern w:val="0"/>
          <w:sz w:val="22"/>
          <w:szCs w:val="22"/>
          <w:u w:val="single"/>
        </w:rPr>
        <w:t xml:space="preserve"> /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1.3 批文名称及编号：</w:t>
      </w:r>
      <w:r>
        <w:rPr>
          <w:rFonts w:hint="eastAsia" w:ascii="宋体" w:hAnsi="宋体" w:cs="宋体"/>
          <w:color w:val="000000"/>
          <w:kern w:val="0"/>
          <w:sz w:val="22"/>
          <w:szCs w:val="22"/>
          <w:u w:val="single"/>
        </w:rPr>
        <w:t xml:space="preserve"> /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1.4 招标人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 xml:space="preserve">业主）：安徽省第二人民医院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1.5 资金来源：自筹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1.6 项目出资比例：100% </w:t>
      </w:r>
    </w:p>
    <w:p>
      <w:pPr>
        <w:widowControl/>
        <w:spacing w:line="480" w:lineRule="exact"/>
        <w:jc w:val="left"/>
        <w:rPr>
          <w:rFonts w:hint="eastAsia" w:ascii="宋体" w:hAnsi="宋体" w:cs="宋体"/>
          <w:sz w:val="22"/>
          <w:szCs w:val="22"/>
        </w:rPr>
      </w:pPr>
      <w:r>
        <w:rPr>
          <w:rFonts w:hint="eastAsia" w:ascii="宋体" w:hAnsi="宋体" w:cs="宋体"/>
          <w:color w:val="000000"/>
          <w:kern w:val="0"/>
          <w:sz w:val="22"/>
          <w:szCs w:val="22"/>
        </w:rPr>
        <w:t xml:space="preserve">2. </w:t>
      </w:r>
      <w:r>
        <w:rPr>
          <w:rFonts w:hint="eastAsia" w:ascii="宋体" w:hAnsi="宋体" w:cs="宋体"/>
          <w:b/>
          <w:bCs/>
          <w:color w:val="000000"/>
          <w:kern w:val="0"/>
          <w:sz w:val="22"/>
          <w:szCs w:val="22"/>
        </w:rPr>
        <w:t>项目概况与招标范围</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2.1 招标项目名称：安徽省第二人民医院专科医疗及科教功能区建设项目楼层配电箱采购项目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2.2 招标项目编号：</w:t>
      </w:r>
      <w:r>
        <w:rPr>
          <w:rFonts w:hint="eastAsia" w:ascii="宋体" w:hAnsi="宋体" w:cs="宋体"/>
          <w:color w:val="000000"/>
          <w:kern w:val="0"/>
          <w:sz w:val="22"/>
          <w:szCs w:val="22"/>
          <w:highlight w:val="yellow"/>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2.3 标段划分：本招标项目共一个标段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2.4 招标项目标段编号：</w:t>
      </w:r>
      <w:r>
        <w:rPr>
          <w:rFonts w:hint="eastAsia" w:ascii="宋体" w:hAnsi="宋体" w:cs="宋体"/>
          <w:color w:val="000000"/>
          <w:kern w:val="0"/>
          <w:sz w:val="22"/>
          <w:szCs w:val="22"/>
          <w:highlight w:val="yellow"/>
        </w:rPr>
        <w:t xml:space="preserve">             </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2.5 建设地点：合肥市新站区扶疏路与萧城路路口东南侧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2.6 建设规模：本项目位于合肥市新站区扶疏路与萧城路路口东南侧，总建筑面积约12.3万㎡。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2.7 招标范围：</w:t>
      </w:r>
      <w:r>
        <w:rPr>
          <w:rFonts w:hint="eastAsia" w:ascii="宋体" w:hAnsi="宋体" w:cs="宋体"/>
          <w:kern w:val="0"/>
          <w:sz w:val="22"/>
          <w:szCs w:val="22"/>
        </w:rPr>
        <w:t>本次招标主要包含科教楼、儿科医学及康复大楼、会议中心及公寓楼所需的配电箱/柜及所有电器元件、仪表、零配件等货物采购，具体内容详见招标文件、图纸、清单、补疑等所包含的全部内容。</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2.8项目预算：约</w:t>
      </w:r>
      <w:r>
        <w:rPr>
          <w:rFonts w:hint="eastAsia" w:ascii="宋体" w:hAnsi="宋体" w:cs="宋体"/>
          <w:kern w:val="0"/>
          <w:sz w:val="22"/>
          <w:szCs w:val="22"/>
        </w:rPr>
        <w:t>950万元。</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2.9 交货地点：安徽省合肥市（招标人指定地点）。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2.10 交货期：收到甲方批次货物需求通知后的30天内，将该批次货物送到甲方指定地点。</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2.11 项目类别：货物。 </w:t>
      </w:r>
    </w:p>
    <w:p>
      <w:pPr>
        <w:widowControl/>
        <w:spacing w:line="480" w:lineRule="exact"/>
        <w:ind w:firstLine="440" w:firstLineChars="200"/>
        <w:jc w:val="left"/>
        <w:rPr>
          <w:rFonts w:hint="eastAsia" w:ascii="宋体" w:hAnsi="宋体" w:cs="宋体"/>
          <w:sz w:val="22"/>
          <w:szCs w:val="22"/>
          <w:u w:val="single"/>
        </w:rPr>
      </w:pPr>
      <w:r>
        <w:rPr>
          <w:rFonts w:hint="eastAsia" w:ascii="宋体" w:hAnsi="宋体" w:cs="宋体"/>
          <w:color w:val="000000"/>
          <w:kern w:val="0"/>
          <w:sz w:val="22"/>
          <w:szCs w:val="22"/>
        </w:rPr>
        <w:t>2.12 其他</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u w:val="single"/>
        </w:rPr>
        <w:t xml:space="preserve">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3. 投标人资格要求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3.1 投标人资质要求：投标人须为所投配电箱（或配电柜）生产厂家。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3.2 业绩要求：自</w:t>
      </w:r>
      <w:r>
        <w:rPr>
          <w:rFonts w:hint="eastAsia" w:ascii="宋体" w:hAnsi="宋体" w:cs="宋体"/>
          <w:kern w:val="0"/>
          <w:sz w:val="22"/>
          <w:szCs w:val="22"/>
        </w:rPr>
        <w:t>2017 年 1月 1 日以来（以合同签订时间为准），投标人具有单项合同</w:t>
      </w:r>
      <w:r>
        <w:rPr>
          <w:rFonts w:hint="eastAsia" w:ascii="宋体" w:hAnsi="宋体" w:cs="宋体"/>
          <w:kern w:val="0"/>
          <w:sz w:val="22"/>
          <w:szCs w:val="22"/>
          <w:highlight w:val="yellow"/>
        </w:rPr>
        <w:t>金额不少于600万元</w:t>
      </w:r>
      <w:r>
        <w:rPr>
          <w:rFonts w:hint="eastAsia" w:ascii="宋体" w:hAnsi="宋体" w:cs="宋体"/>
          <w:kern w:val="0"/>
          <w:sz w:val="22"/>
          <w:szCs w:val="22"/>
        </w:rPr>
        <w:t>的配电箱或配电柜或（配电箱和配电柜）供货业绩。</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3.3 财务要求：</w:t>
      </w:r>
      <w:r>
        <w:rPr>
          <w:rFonts w:hint="eastAsia" w:ascii="宋体" w:hAnsi="宋体" w:cs="宋体"/>
          <w:color w:val="000000"/>
          <w:kern w:val="0"/>
          <w:sz w:val="22"/>
          <w:szCs w:val="22"/>
          <w:u w:val="single"/>
        </w:rPr>
        <w:t xml:space="preserve"> /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3.4 投标人须符合下列情形之一：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（1）开标日前两年内未被合肥市及其所辖县（市）及区（开发区）公共资源交易监督管理部门记不良行为记录或记不良行为记录累计未满 10 分；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（2）最近一次被合肥市及其所辖县（市）及区（开发区）公共资源交易监督管理部门记不良行为记录累计记分达 10 分（含 10 分）到 15 分且公布日距开标日超过 6 个月；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（3）最近一次被合肥市及其所辖县（市）及区（开发区）公共资源交易监督管理部门记不良行为记录累计记分达 15 分（含 15 分）到 20 分且公布日距开标日超过 12 个月；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（4）最近一次被合肥市及其所辖县（市）及区（开发区）公共资源交易监督管理部门记不良行为记录累计记分达 20 分（含 20 分）及以上且公布日距开标日超过 24 个月。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3.5 本次招标不接受联合体投标。 </w:t>
      </w:r>
    </w:p>
    <w:p>
      <w:pPr>
        <w:widowControl/>
        <w:spacing w:line="480" w:lineRule="exact"/>
        <w:ind w:firstLine="440" w:firstLineChars="200"/>
        <w:jc w:val="left"/>
        <w:rPr>
          <w:rFonts w:hint="eastAsia" w:ascii="宋体" w:hAnsi="宋体" w:cs="宋体"/>
          <w:sz w:val="22"/>
          <w:szCs w:val="22"/>
          <w:highlight w:val="yellow"/>
        </w:rPr>
      </w:pPr>
      <w:r>
        <w:rPr>
          <w:rFonts w:hint="eastAsia" w:ascii="宋体" w:hAnsi="宋体" w:cs="宋体"/>
          <w:color w:val="000000"/>
          <w:kern w:val="0"/>
          <w:sz w:val="22"/>
          <w:szCs w:val="22"/>
        </w:rPr>
        <w:t>3.6 同一个制造商对同一品牌同一型号的设备，仅能委托一个代理商参加投标。</w:t>
      </w:r>
      <w:r>
        <w:rPr>
          <w:rFonts w:hint="eastAsia" w:ascii="宋体" w:hAnsi="宋体" w:cs="宋体"/>
          <w:color w:val="000000"/>
          <w:kern w:val="0"/>
          <w:sz w:val="22"/>
          <w:szCs w:val="22"/>
          <w:highlight w:val="yellow"/>
        </w:rPr>
        <w:t xml:space="preserve">（本招标项目不适用）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3.7其他要求：</w:t>
      </w:r>
      <w:r>
        <w:rPr>
          <w:rFonts w:hint="eastAsia" w:ascii="宋体" w:hAnsi="宋体" w:cs="宋体"/>
          <w:color w:val="000000"/>
          <w:kern w:val="0"/>
          <w:sz w:val="22"/>
          <w:szCs w:val="22"/>
          <w:u w:val="single"/>
        </w:rPr>
        <w:t xml:space="preserve"> / </w:t>
      </w:r>
      <w:r>
        <w:rPr>
          <w:rFonts w:hint="eastAsia" w:ascii="宋体" w:hAnsi="宋体" w:cs="宋体"/>
          <w:color w:val="000000"/>
          <w:kern w:val="0"/>
          <w:sz w:val="22"/>
          <w:szCs w:val="22"/>
        </w:rPr>
        <w:t xml:space="preserve">。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4. 招标文件的获取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4.1 获取时间：</w:t>
      </w:r>
      <w:r>
        <w:rPr>
          <w:rFonts w:hint="eastAsia" w:ascii="宋体" w:hAnsi="宋体" w:cs="宋体"/>
          <w:kern w:val="0"/>
          <w:sz w:val="22"/>
          <w:szCs w:val="22"/>
          <w:highlight w:val="yellow"/>
        </w:rPr>
        <w:t xml:space="preserve">2022 年   月   日 00:00 至 2022 年  月  日 24:00。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4.2 获取方式：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（1）潜在投标人须登录安徽合肥·公共资源交易电子服务系统（以下简称“电子服务系统”） 查阅招标文件。首次登录须持有与电子服务系统兼容的数字证书，详情参见电子服务系统办事指南。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（2）潜在投标人查阅招标文件后，如参与投标，则须按本条第 4.1 款规定的招标文件获取时间内通过安徽公共资源交易集团电子交易系统完成投标信息的填写。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（3）招标文件费用支付方式：无需支付。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（4）招标文件获取过程中有任何疑问，请在工作时间（9：00-17：30，节假日休息）拨打技术支持热线（非项目咨询）：4009980000。项目咨询请拨打电话：0551-66223277，66223831。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4.3 招标文件价格：每套人民币 0 元整，招标文件售后不退。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5. 投标文件的递交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投标文件递交的截止时间（投标截止时间，下同）为 2022 年   月   日 10 时 00 分，投标人应在截止时间前通过安徽公共资源交易集团电子交易系统递交电子投标文件。 </w:t>
      </w:r>
    </w:p>
    <w:p>
      <w:pPr>
        <w:widowControl/>
        <w:spacing w:line="480" w:lineRule="exact"/>
        <w:jc w:val="left"/>
        <w:rPr>
          <w:rFonts w:hint="eastAsia" w:ascii="宋体" w:hAnsi="宋体" w:cs="宋体"/>
          <w:sz w:val="22"/>
          <w:szCs w:val="22"/>
        </w:rPr>
      </w:pPr>
      <w:r>
        <w:rPr>
          <w:rFonts w:hint="eastAsia" w:ascii="宋体" w:hAnsi="宋体" w:cs="宋体"/>
          <w:b/>
          <w:bCs/>
          <w:color w:val="000000"/>
          <w:kern w:val="0"/>
          <w:sz w:val="22"/>
          <w:szCs w:val="22"/>
        </w:rPr>
        <w:t>6. 开标时间及地点</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6.1 开标时间：2022 年  月  日  时 00 分。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6.2 开标地点：合肥市滨湖新区南京路 2588 号要素交易市场 A 区（徽州大道与南京路交口）   楼   号开标室。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7. 发布公告的媒介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本次招标公告同时在全国公共资源交易平台（安徽省•合肥市）、全国公共资源交易平台（安徽省）上发布。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8. 联系方式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8.1 招标人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招 标 人：安徽省第二人民医院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地 址：安徽省合肥市北二环砀山路1868号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联 系 人：</w:t>
      </w:r>
      <w:r>
        <w:rPr>
          <w:rFonts w:hint="eastAsia" w:ascii="宋体" w:hAnsi="宋体" w:cs="宋体"/>
          <w:color w:val="000000"/>
          <w:kern w:val="0"/>
          <w:sz w:val="22"/>
          <w:szCs w:val="22"/>
          <w:highlight w:val="yellow"/>
        </w:rPr>
        <w:t xml:space="preserve">武  工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电 话：</w:t>
      </w:r>
      <w:r>
        <w:rPr>
          <w:rFonts w:hint="eastAsia" w:ascii="宋体" w:hAnsi="宋体" w:cs="宋体"/>
          <w:color w:val="000000"/>
          <w:kern w:val="0"/>
          <w:sz w:val="22"/>
          <w:szCs w:val="22"/>
          <w:highlight w:val="yellow"/>
        </w:rPr>
        <w:t xml:space="preserve">      </w:t>
      </w:r>
      <w:r>
        <w:rPr>
          <w:rFonts w:hint="eastAsia" w:ascii="宋体" w:hAnsi="宋体" w:cs="宋体"/>
          <w:color w:val="000000"/>
          <w:kern w:val="0"/>
          <w:sz w:val="22"/>
          <w:szCs w:val="22"/>
        </w:rPr>
        <w:t xml:space="preserve">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8.2 招标代理机构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招标代理机构：大成工程咨询有限公司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地 址：合肥市滨湖新区徽州大道与扬子江路交口合肥金融港A5栋11楼 </w:t>
      </w:r>
    </w:p>
    <w:p>
      <w:pPr>
        <w:widowControl/>
        <w:spacing w:line="48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联系人：宋  爽      18956009907    </w:t>
      </w:r>
    </w:p>
    <w:p>
      <w:pPr>
        <w:widowControl/>
        <w:spacing w:line="480" w:lineRule="exact"/>
        <w:ind w:firstLine="1320" w:firstLineChars="600"/>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刘德良      18955170287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8.3 电子交易系统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电子交易系统名称：安徽公共资源交易集团电子交易系统电子交易系统电话：400 998 0000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8.4 电子服务系统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电子服务系统名称：安徽合肥·公共资源交易电子服务系统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电子服务系统电话：0551-12345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8.5 招标监督管理机构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招标监督管理机构：合肥市公共资源交易监督管理局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地 址：安徽省合肥市滨湖新区南京路 2588 号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电 话： 0551-66223530、66223546 </w:t>
      </w:r>
    </w:p>
    <w:p>
      <w:pPr>
        <w:widowControl/>
        <w:spacing w:line="480" w:lineRule="exact"/>
        <w:jc w:val="left"/>
        <w:rPr>
          <w:rFonts w:hint="eastAsia" w:ascii="宋体" w:hAnsi="宋体" w:cs="宋体"/>
          <w:b/>
          <w:bCs/>
          <w:sz w:val="22"/>
          <w:szCs w:val="22"/>
        </w:rPr>
      </w:pPr>
      <w:r>
        <w:rPr>
          <w:rFonts w:hint="eastAsia" w:ascii="宋体" w:hAnsi="宋体" w:cs="宋体"/>
          <w:b/>
          <w:bCs/>
          <w:color w:val="000000"/>
          <w:kern w:val="0"/>
          <w:sz w:val="22"/>
          <w:szCs w:val="22"/>
        </w:rPr>
        <w:t xml:space="preserve">9. 其他事项说明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9.1 投标人应合理安排招标文件获取时间，特别是网络速度慢的地区防止在系统关闭前网络拥堵无法操作。如果因计算机及网络故障造成无法完成招标文件获取，责任自负。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9.2 投标人如需开具标书工本费发票，在项目开标次日后自行登录安徽公共资源交易集团电子交易系统平台打印。 </w:t>
      </w:r>
    </w:p>
    <w:p>
      <w:pPr>
        <w:widowControl/>
        <w:spacing w:line="480" w:lineRule="exact"/>
        <w:ind w:firstLine="440" w:firstLineChars="200"/>
        <w:rPr>
          <w:rFonts w:hint="eastAsia" w:ascii="宋体" w:hAnsi="宋体" w:cs="宋体"/>
          <w:sz w:val="22"/>
          <w:szCs w:val="22"/>
        </w:rPr>
      </w:pPr>
      <w:r>
        <w:rPr>
          <w:rFonts w:hint="eastAsia" w:ascii="宋体" w:hAnsi="宋体" w:cs="宋体"/>
          <w:color w:val="000000"/>
          <w:kern w:val="0"/>
          <w:sz w:val="22"/>
          <w:szCs w:val="22"/>
        </w:rPr>
        <w:t>9.3 疫情期间，各市场主体均应当按照《安徽合肥公共资源交易中心疫情防控期间交易服务指南 》（ 官 网 链 接 :</w:t>
      </w:r>
    </w:p>
    <w:p>
      <w:pPr>
        <w:widowControl/>
        <w:spacing w:line="480" w:lineRule="exact"/>
        <w:jc w:val="left"/>
        <w:rPr>
          <w:rFonts w:hint="eastAsia" w:ascii="宋体" w:hAnsi="宋体" w:cs="宋体"/>
          <w:sz w:val="22"/>
          <w:szCs w:val="22"/>
        </w:rPr>
      </w:pPr>
      <w:r>
        <w:rPr>
          <w:rFonts w:hint="eastAsia" w:ascii="宋体" w:hAnsi="宋体" w:cs="宋体"/>
          <w:color w:val="000000"/>
          <w:kern w:val="0"/>
          <w:sz w:val="22"/>
          <w:szCs w:val="22"/>
        </w:rPr>
        <w:t xml:space="preserve">http://ggzy.hefei.gov.cn/ptdt/001003/20200224/788cc287-e9f2-44de-b9e6-85baf0fb4c36.html）开展公共资源交易活动，谢谢理解、支持。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color w:val="000000"/>
          <w:kern w:val="0"/>
          <w:sz w:val="22"/>
          <w:szCs w:val="22"/>
        </w:rPr>
        <w:t xml:space="preserve">9.4 本项目为流标后重新招标。 </w:t>
      </w:r>
    </w:p>
    <w:p>
      <w:pPr>
        <w:widowControl/>
        <w:spacing w:line="480" w:lineRule="exact"/>
        <w:jc w:val="left"/>
        <w:rPr>
          <w:rFonts w:hint="eastAsia" w:ascii="宋体" w:hAnsi="宋体" w:cs="宋体"/>
          <w:sz w:val="22"/>
          <w:szCs w:val="22"/>
        </w:rPr>
      </w:pPr>
      <w:r>
        <w:rPr>
          <w:rFonts w:hint="eastAsia" w:ascii="宋体" w:hAnsi="宋体" w:cs="宋体"/>
          <w:b/>
          <w:bCs/>
          <w:color w:val="000000"/>
          <w:kern w:val="0"/>
          <w:sz w:val="22"/>
          <w:szCs w:val="22"/>
        </w:rPr>
        <w:t>10. 投标保证金账户</w:t>
      </w:r>
      <w:r>
        <w:rPr>
          <w:rFonts w:hint="eastAsia" w:ascii="宋体" w:hAnsi="宋体" w:cs="宋体"/>
          <w:color w:val="000000"/>
          <w:kern w:val="0"/>
          <w:sz w:val="22"/>
          <w:szCs w:val="22"/>
        </w:rPr>
        <w:t>（如采用银行转账或银行电汇形式递交的，请选择以下任何一家银行递交即 可）：</w:t>
      </w:r>
    </w:p>
    <w:p>
      <w:pPr>
        <w:widowControl/>
        <w:spacing w:line="480" w:lineRule="exact"/>
        <w:ind w:firstLine="442" w:firstLineChars="200"/>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账户一：</w:t>
      </w:r>
    </w:p>
    <w:p>
      <w:pPr>
        <w:widowControl/>
        <w:spacing w:line="48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户名：安徽合肥公共资源交易中心</w:t>
      </w:r>
    </w:p>
    <w:p>
      <w:pPr>
        <w:widowControl/>
        <w:spacing w:line="480" w:lineRule="exact"/>
        <w:ind w:firstLine="440" w:firstLineChars="200"/>
        <w:jc w:val="left"/>
        <w:rPr>
          <w:rFonts w:hint="eastAsia" w:ascii="宋体" w:hAnsi="宋体" w:cs="宋体"/>
          <w:color w:val="000000"/>
          <w:kern w:val="0"/>
          <w:sz w:val="22"/>
          <w:szCs w:val="22"/>
          <w:highlight w:val="yellow"/>
        </w:rPr>
      </w:pPr>
      <w:r>
        <w:rPr>
          <w:rFonts w:hint="eastAsia" w:ascii="宋体" w:hAnsi="宋体" w:cs="宋体"/>
          <w:color w:val="000000"/>
          <w:kern w:val="0"/>
          <w:sz w:val="22"/>
          <w:szCs w:val="22"/>
        </w:rPr>
        <w:t>银行账号</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 xml:space="preserve"> </w:t>
      </w:r>
      <w:r>
        <w:rPr>
          <w:rFonts w:hint="eastAsia" w:ascii="宋体" w:hAnsi="宋体" w:cs="宋体"/>
          <w:color w:val="000000"/>
          <w:kern w:val="0"/>
          <w:sz w:val="22"/>
          <w:szCs w:val="22"/>
          <w:highlight w:val="yellow"/>
        </w:rPr>
        <w:t xml:space="preserve">                </w:t>
      </w:r>
    </w:p>
    <w:p>
      <w:pPr>
        <w:widowControl/>
        <w:spacing w:line="48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开户银行：徽商银行股份有限公司合肥蜀山支行</w:t>
      </w:r>
    </w:p>
    <w:p>
      <w:pPr>
        <w:widowControl/>
        <w:spacing w:line="480" w:lineRule="exact"/>
        <w:ind w:firstLine="442" w:firstLineChars="200"/>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账户二：</w:t>
      </w:r>
    </w:p>
    <w:p>
      <w:pPr>
        <w:widowControl/>
        <w:spacing w:line="48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户名：安徽合肥公共资源交易中心</w:t>
      </w:r>
    </w:p>
    <w:p>
      <w:pPr>
        <w:widowControl/>
        <w:spacing w:line="480" w:lineRule="exact"/>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银行账号</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 xml:space="preserve"> </w:t>
      </w:r>
      <w:r>
        <w:rPr>
          <w:rFonts w:hint="eastAsia" w:ascii="宋体" w:hAnsi="宋体" w:cs="宋体"/>
          <w:color w:val="000000"/>
          <w:kern w:val="0"/>
          <w:sz w:val="22"/>
          <w:szCs w:val="22"/>
          <w:highlight w:val="yellow"/>
        </w:rPr>
        <w:t xml:space="preserve">                 </w:t>
      </w:r>
    </w:p>
    <w:p>
      <w:pPr>
        <w:widowControl/>
        <w:spacing w:line="480" w:lineRule="exact"/>
        <w:ind w:firstLine="440" w:firstLineChars="200"/>
        <w:jc w:val="left"/>
        <w:rPr>
          <w:rFonts w:hint="eastAsia" w:ascii="宋体" w:hAnsi="宋体" w:cs="宋体"/>
          <w:sz w:val="24"/>
        </w:rPr>
      </w:pPr>
      <w:r>
        <w:rPr>
          <w:rFonts w:hint="eastAsia" w:ascii="宋体" w:hAnsi="宋体" w:cs="宋体"/>
          <w:color w:val="000000"/>
          <w:kern w:val="0"/>
          <w:sz w:val="22"/>
          <w:szCs w:val="22"/>
        </w:rPr>
        <w:t>开户银行：中国银行合肥北城支行</w:t>
      </w:r>
    </w:p>
    <w:p>
      <w:pPr>
        <w:pStyle w:val="2"/>
        <w:rPr>
          <w:rFonts w:hint="eastAsia" w:eastAsia="黑体"/>
          <w:b w:val="0"/>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74" w:right="1474" w:bottom="1474" w:left="1474" w:header="799" w:footer="907" w:gutter="0"/>
          <w:cols w:space="720" w:num="1"/>
          <w:titlePg/>
          <w:docGrid w:linePitch="286" w:charSpace="0"/>
        </w:sectPr>
      </w:pPr>
    </w:p>
    <w:p>
      <w:pPr>
        <w:pStyle w:val="2"/>
        <w:numPr>
          <w:ilvl w:val="0"/>
          <w:numId w:val="2"/>
        </w:numPr>
        <w:jc w:val="center"/>
        <w:rPr>
          <w:rFonts w:hint="eastAsia" w:eastAsia="黑体"/>
          <w:b w:val="0"/>
        </w:rPr>
      </w:pPr>
      <w:r>
        <w:rPr>
          <w:rFonts w:hint="eastAsia" w:eastAsia="黑体"/>
          <w:b w:val="0"/>
        </w:rPr>
        <w:t xml:space="preserve"> 投标人须知</w:t>
      </w:r>
      <w:bookmarkEnd w:id="1"/>
    </w:p>
    <w:p>
      <w:pPr>
        <w:pStyle w:val="3"/>
        <w:spacing w:before="0" w:after="0" w:line="240" w:lineRule="auto"/>
        <w:jc w:val="left"/>
        <w:rPr>
          <w:rFonts w:ascii="Times New Roman" w:hAnsi="Times New Roman" w:eastAsia="黑体"/>
          <w:b w:val="0"/>
          <w:sz w:val="24"/>
          <w:szCs w:val="24"/>
        </w:rPr>
      </w:pPr>
      <w:r>
        <w:rPr>
          <w:rFonts w:hint="eastAsia" w:ascii="Times New Roman" w:hAnsi="Times New Roman" w:eastAsia="黑体"/>
          <w:b w:val="0"/>
          <w:sz w:val="24"/>
          <w:szCs w:val="24"/>
        </w:rPr>
        <w:t>投标人须知前附表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80"/>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34" w:type="dxa"/>
            <w:vAlign w:val="center"/>
          </w:tcPr>
          <w:p>
            <w:pPr>
              <w:snapToGrid w:val="0"/>
              <w:spacing w:line="480" w:lineRule="exact"/>
              <w:jc w:val="center"/>
              <w:rPr>
                <w:rFonts w:hint="eastAsia" w:ascii="宋体" w:hAnsi="宋体" w:cs="宋体"/>
                <w:b/>
                <w:color w:val="000000"/>
                <w:sz w:val="22"/>
                <w:szCs w:val="22"/>
              </w:rPr>
            </w:pPr>
            <w:bookmarkStart w:id="2" w:name="_Toc26781047"/>
            <w:r>
              <w:rPr>
                <w:rFonts w:hint="eastAsia" w:ascii="宋体" w:hAnsi="宋体" w:cs="宋体"/>
                <w:b/>
                <w:color w:val="000000"/>
                <w:sz w:val="22"/>
                <w:szCs w:val="22"/>
              </w:rPr>
              <w:t>条款号</w:t>
            </w:r>
          </w:p>
        </w:tc>
        <w:tc>
          <w:tcPr>
            <w:tcW w:w="1980" w:type="dxa"/>
            <w:vAlign w:val="center"/>
          </w:tcPr>
          <w:p>
            <w:pPr>
              <w:snapToGrid w:val="0"/>
              <w:spacing w:line="480" w:lineRule="exact"/>
              <w:jc w:val="center"/>
              <w:rPr>
                <w:rFonts w:hint="eastAsia" w:ascii="宋体" w:hAnsi="宋体" w:cs="宋体"/>
                <w:b/>
                <w:color w:val="000000"/>
                <w:sz w:val="22"/>
                <w:szCs w:val="22"/>
              </w:rPr>
            </w:pPr>
            <w:r>
              <w:rPr>
                <w:rFonts w:hint="eastAsia" w:ascii="宋体" w:hAnsi="宋体" w:cs="宋体"/>
                <w:b/>
                <w:color w:val="000000"/>
                <w:sz w:val="22"/>
                <w:szCs w:val="22"/>
              </w:rPr>
              <w:t>条 款 名 称</w:t>
            </w:r>
          </w:p>
        </w:tc>
        <w:tc>
          <w:tcPr>
            <w:tcW w:w="6757" w:type="dxa"/>
            <w:vAlign w:val="center"/>
          </w:tcPr>
          <w:p>
            <w:pPr>
              <w:snapToGrid w:val="0"/>
              <w:spacing w:line="480" w:lineRule="exact"/>
              <w:jc w:val="center"/>
              <w:rPr>
                <w:rFonts w:hint="eastAsia" w:ascii="宋体" w:hAnsi="宋体" w:cs="宋体"/>
                <w:b/>
                <w:color w:val="000000"/>
                <w:sz w:val="22"/>
                <w:szCs w:val="22"/>
              </w:rPr>
            </w:pPr>
            <w:r>
              <w:rPr>
                <w:rFonts w:hint="eastAsia" w:ascii="宋体" w:hAnsi="宋体" w:cs="宋体"/>
                <w:b/>
                <w:color w:val="000000"/>
                <w:sz w:val="22"/>
                <w:szCs w:val="22"/>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招标人</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1.1.3</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招标代理机构</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1.1.4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招标项目名称</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1.1.5</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建设地点</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1.1.6</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项目名称</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见招标公告中的“项目名称”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1.2.1</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资金来源</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1.2.2</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出资比例</w:t>
            </w:r>
          </w:p>
        </w:tc>
        <w:tc>
          <w:tcPr>
            <w:tcW w:w="6757" w:type="dxa"/>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1.2.3</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资金落实情况</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1.3.1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招标范围</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1.3.2</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交货期</w:t>
            </w:r>
          </w:p>
        </w:tc>
        <w:tc>
          <w:tcPr>
            <w:tcW w:w="6757" w:type="dxa"/>
            <w:vAlign w:val="center"/>
          </w:tcPr>
          <w:p>
            <w:pPr>
              <w:snapToGrid w:val="0"/>
              <w:spacing w:line="480" w:lineRule="exact"/>
              <w:rPr>
                <w:rFonts w:hint="eastAsia" w:ascii="宋体" w:hAnsi="宋体" w:cs="宋体"/>
                <w:color w:val="E36C0A"/>
                <w:sz w:val="22"/>
                <w:szCs w:val="22"/>
              </w:rPr>
            </w:pPr>
            <w:r>
              <w:rPr>
                <w:rFonts w:hint="eastAsia" w:ascii="宋体" w:hAnsi="宋体" w:cs="宋体"/>
                <w:color w:val="000000"/>
                <w:sz w:val="22"/>
                <w:szCs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1.3.3</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交货地点</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sz w:val="22"/>
                <w:szCs w:val="22"/>
              </w:rPr>
              <w:t>安徽省合肥市（招标人指定地点）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1.3.4</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技术性能指标</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1.4.1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投标人资质条件、能力和信誉</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（1）资质要求：见附录1</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（2）财务要求：见附录2</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（3）业绩要求：见附录3</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（4）信誉要求：见附录4</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1.4.2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是否接受联合体投标</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☑不接受</w:t>
            </w:r>
          </w:p>
          <w:p>
            <w:pPr>
              <w:snapToGrid w:val="0"/>
              <w:spacing w:line="480" w:lineRule="exact"/>
              <w:rPr>
                <w:rFonts w:hint="eastAsia" w:ascii="宋体" w:hAnsi="宋体" w:cs="宋体"/>
                <w:bCs/>
                <w:snapToGrid w:val="0"/>
                <w:color w:val="000000"/>
                <w:kern w:val="0"/>
                <w:sz w:val="22"/>
                <w:szCs w:val="22"/>
                <w:u w:val="single"/>
              </w:rPr>
            </w:pPr>
            <w:r>
              <w:rPr>
                <w:rFonts w:hint="eastAsia" w:ascii="宋体" w:hAnsi="宋体" w:cs="宋体"/>
                <w:color w:val="000000"/>
                <w:sz w:val="22"/>
                <w:szCs w:val="22"/>
              </w:rPr>
              <w:t>□接受，应满足下列要求：</w:t>
            </w:r>
            <w:r>
              <w:rPr>
                <w:rFonts w:hint="eastAsia" w:ascii="宋体" w:hAnsi="宋体" w:cs="宋体"/>
                <w:bCs/>
                <w:snapToGrid w:val="0"/>
                <w:color w:val="000000"/>
                <w:kern w:val="0"/>
                <w:sz w:val="22"/>
                <w:szCs w:val="22"/>
                <w:u w:val="single"/>
              </w:rPr>
              <w:t xml:space="preserve">            </w:t>
            </w:r>
          </w:p>
          <w:p>
            <w:pPr>
              <w:snapToGrid w:val="0"/>
              <w:spacing w:line="480" w:lineRule="exact"/>
              <w:rPr>
                <w:rFonts w:hint="eastAsia" w:ascii="宋体" w:hAnsi="宋体" w:cs="宋体"/>
                <w:bCs/>
                <w:snapToGrid w:val="0"/>
                <w:color w:val="000000"/>
                <w:kern w:val="0"/>
                <w:sz w:val="22"/>
                <w:szCs w:val="22"/>
                <w:u w:val="single"/>
              </w:rPr>
            </w:pPr>
            <w:r>
              <w:rPr>
                <w:rFonts w:hint="eastAsia" w:ascii="宋体" w:hAnsi="宋体" w:cs="宋体"/>
                <w:bCs/>
                <w:snapToGrid w:val="0"/>
                <w:color w:val="000000"/>
                <w:kern w:val="0"/>
                <w:sz w:val="22"/>
                <w:szCs w:val="22"/>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1.4.3</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投标人不得存在的其他关联关系</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1.4.4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投标人不得存在的其他不良状况或不良信用记录</w:t>
            </w:r>
            <w:r>
              <w:rPr>
                <w:rStyle w:val="64"/>
                <w:rFonts w:hint="eastAsia" w:ascii="宋体" w:hAnsi="宋体" w:cs="宋体"/>
                <w:bCs/>
                <w:snapToGrid w:val="0"/>
                <w:color w:val="000000"/>
                <w:kern w:val="0"/>
                <w:sz w:val="22"/>
                <w:szCs w:val="22"/>
              </w:rPr>
              <w:footnoteReference w:id="0"/>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投标人被设区的市级及以上建设行政主管部门/房屋建筑和市政基础设施工程招标投标活动的监督部门因安全生产责任事故限制本次招标项</w:t>
            </w:r>
            <w:r>
              <w:rPr>
                <w:rFonts w:hint="eastAsia" w:ascii="宋体" w:hAnsi="宋体" w:cs="宋体"/>
                <w:color w:val="000000"/>
                <w:sz w:val="22"/>
                <w:szCs w:val="22"/>
                <w:lang w:eastAsia="zh-CN"/>
              </w:rPr>
              <w:t>目在</w:t>
            </w:r>
            <w:r>
              <w:rPr>
                <w:rFonts w:hint="eastAsia" w:ascii="宋体" w:hAnsi="宋体" w:cs="宋体"/>
                <w:color w:val="000000"/>
                <w:sz w:val="22"/>
                <w:szCs w:val="22"/>
              </w:rPr>
              <w:t>工程所在地或公共资源交易平台所在地承接新的工程项目且在限制期内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1.9.1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踏勘现场</w:t>
            </w:r>
          </w:p>
        </w:tc>
        <w:tc>
          <w:tcPr>
            <w:tcW w:w="6757" w:type="dxa"/>
            <w:vAlign w:val="center"/>
          </w:tcPr>
          <w:p>
            <w:pPr>
              <w:snapToGrid w:val="0"/>
              <w:spacing w:line="480" w:lineRule="exact"/>
              <w:rPr>
                <w:rFonts w:hint="eastAsia" w:ascii="宋体" w:hAnsi="宋体" w:cs="宋体"/>
                <w:color w:val="FF0000"/>
                <w:sz w:val="22"/>
                <w:szCs w:val="22"/>
              </w:rPr>
            </w:pPr>
            <w:r>
              <w:rPr>
                <w:rFonts w:hint="eastAsia" w:ascii="宋体" w:hAnsi="宋体" w:cs="宋体"/>
                <w:color w:val="000000"/>
                <w:sz w:val="22"/>
                <w:szCs w:val="22"/>
              </w:rPr>
              <w:t>☑不组织，投标人自行踏勘</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□组织，踏勘时间：</w:t>
            </w:r>
            <w:r>
              <w:rPr>
                <w:rFonts w:hint="eastAsia" w:ascii="宋体" w:hAnsi="宋体" w:cs="宋体"/>
                <w:bCs/>
                <w:snapToGrid w:val="0"/>
                <w:color w:val="000000"/>
                <w:kern w:val="0"/>
                <w:sz w:val="22"/>
                <w:szCs w:val="22"/>
                <w:u w:val="single"/>
              </w:rPr>
              <w:t xml:space="preserve">            </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 xml:space="preserve">        踏勘集中地点：</w:t>
            </w:r>
            <w:r>
              <w:rPr>
                <w:rFonts w:hint="eastAsia" w:ascii="宋体" w:hAnsi="宋体" w:cs="宋体"/>
                <w:bCs/>
                <w:snapToGrid w:val="0"/>
                <w:color w:val="00000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1.10.1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投标预备会</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☑不召开</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□召开，召开时间：</w:t>
            </w:r>
            <w:r>
              <w:rPr>
                <w:rFonts w:hint="eastAsia" w:ascii="宋体" w:hAnsi="宋体" w:cs="宋体"/>
                <w:bCs/>
                <w:snapToGrid w:val="0"/>
                <w:color w:val="000000"/>
                <w:kern w:val="0"/>
                <w:sz w:val="22"/>
                <w:szCs w:val="22"/>
                <w:u w:val="single"/>
              </w:rPr>
              <w:t xml:space="preserve">            </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 xml:space="preserve">        召开地点：</w:t>
            </w:r>
            <w:r>
              <w:rPr>
                <w:rFonts w:hint="eastAsia" w:ascii="宋体" w:hAnsi="宋体" w:cs="宋体"/>
                <w:bCs/>
                <w:snapToGrid w:val="0"/>
                <w:color w:val="00000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1.11.1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分包</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☑不允许</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□允许，分包内容要求：</w:t>
            </w:r>
            <w:r>
              <w:rPr>
                <w:rFonts w:hint="eastAsia" w:ascii="宋体" w:hAnsi="宋体" w:cs="宋体"/>
                <w:bCs/>
                <w:snapToGrid w:val="0"/>
                <w:color w:val="000000"/>
                <w:kern w:val="0"/>
                <w:sz w:val="22"/>
                <w:szCs w:val="22"/>
                <w:u w:val="single"/>
              </w:rPr>
              <w:t xml:space="preserve">            </w:t>
            </w:r>
            <w:r>
              <w:rPr>
                <w:rFonts w:hint="eastAsia" w:ascii="宋体" w:hAnsi="宋体" w:cs="宋体"/>
                <w:color w:val="000000"/>
                <w:sz w:val="22"/>
                <w:szCs w:val="22"/>
              </w:rPr>
              <w:t xml:space="preserve"> </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 xml:space="preserve">        分包金额要求：</w:t>
            </w:r>
            <w:r>
              <w:rPr>
                <w:rFonts w:hint="eastAsia" w:ascii="宋体" w:hAnsi="宋体" w:cs="宋体"/>
                <w:bCs/>
                <w:snapToGrid w:val="0"/>
                <w:color w:val="000000"/>
                <w:kern w:val="0"/>
                <w:sz w:val="22"/>
                <w:szCs w:val="22"/>
                <w:u w:val="single"/>
              </w:rPr>
              <w:t xml:space="preserve">            </w:t>
            </w:r>
            <w:r>
              <w:rPr>
                <w:rFonts w:hint="eastAsia" w:ascii="宋体" w:hAnsi="宋体" w:cs="宋体"/>
                <w:color w:val="000000"/>
                <w:sz w:val="22"/>
                <w:szCs w:val="22"/>
              </w:rPr>
              <w:t xml:space="preserve"> </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 xml:space="preserve">        接受分包的第三人资质要求：</w:t>
            </w:r>
            <w:r>
              <w:rPr>
                <w:rFonts w:hint="eastAsia" w:ascii="宋体" w:hAnsi="宋体" w:cs="宋体"/>
                <w:bCs/>
                <w:snapToGrid w:val="0"/>
                <w:color w:val="000000"/>
                <w:kern w:val="0"/>
                <w:sz w:val="22"/>
                <w:szCs w:val="22"/>
                <w:u w:val="single"/>
              </w:rPr>
              <w:t xml:space="preserve">            </w:t>
            </w:r>
            <w:r>
              <w:rPr>
                <w:rFonts w:hint="eastAsia" w:ascii="宋体" w:hAnsi="宋体" w:cs="宋体"/>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1.12.1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实质性要求和条件</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1.12.3</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其他可以被接受的技术支持资料</w:t>
            </w:r>
          </w:p>
        </w:tc>
        <w:tc>
          <w:tcPr>
            <w:tcW w:w="6757" w:type="dxa"/>
            <w:vAlign w:val="center"/>
          </w:tcPr>
          <w:p>
            <w:pPr>
              <w:pStyle w:val="18"/>
              <w:topLinePunct/>
              <w:spacing w:line="480" w:lineRule="exact"/>
              <w:rPr>
                <w:rFonts w:hint="eastAsia" w:ascii="宋体" w:eastAsia="宋体" w:cs="宋体"/>
                <w:bCs w:val="0"/>
                <w:sz w:val="22"/>
                <w:szCs w:val="22"/>
              </w:rPr>
            </w:pPr>
            <w:r>
              <w:rPr>
                <w:rFonts w:hint="eastAsia" w:ascii="宋体" w:eastAsia="宋体" w:cs="宋体"/>
                <w:bCs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pacing w:line="480" w:lineRule="exact"/>
              <w:jc w:val="center"/>
              <w:rPr>
                <w:rFonts w:hint="eastAsia" w:ascii="宋体" w:hAnsi="宋体" w:cs="宋体"/>
                <w:color w:val="000000"/>
                <w:sz w:val="22"/>
                <w:szCs w:val="22"/>
              </w:rPr>
            </w:pPr>
            <w:r>
              <w:rPr>
                <w:rFonts w:hint="eastAsia" w:ascii="宋体" w:hAnsi="宋体" w:cs="宋体"/>
                <w:color w:val="000000"/>
                <w:sz w:val="22"/>
                <w:szCs w:val="22"/>
              </w:rPr>
              <w:t>1.12.4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偏差</w:t>
            </w:r>
          </w:p>
        </w:tc>
        <w:tc>
          <w:tcPr>
            <w:tcW w:w="6757" w:type="dxa"/>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☑不允许</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□允许，偏差范围：详见招标文件第五章“供货要求”</w:t>
            </w:r>
          </w:p>
          <w:p>
            <w:pPr>
              <w:snapToGrid w:val="0"/>
              <w:spacing w:line="480" w:lineRule="exact"/>
              <w:ind w:firstLine="880" w:firstLineChars="400"/>
              <w:rPr>
                <w:rFonts w:hint="eastAsia" w:ascii="宋体" w:hAnsi="宋体" w:cs="宋体"/>
                <w:color w:val="E36C0A"/>
                <w:sz w:val="22"/>
                <w:szCs w:val="22"/>
              </w:rPr>
            </w:pPr>
            <w:r>
              <w:rPr>
                <w:rFonts w:hint="eastAsia" w:ascii="宋体" w:hAnsi="宋体" w:cs="宋体"/>
                <w:color w:val="000000"/>
                <w:sz w:val="22"/>
                <w:szCs w:val="22"/>
              </w:rPr>
              <w:t>最高项数：详见招标文件第五章“供货要求”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构成招标文件的其他资料</w:t>
            </w:r>
          </w:p>
        </w:tc>
        <w:tc>
          <w:tcPr>
            <w:tcW w:w="6757" w:type="dxa"/>
            <w:vAlign w:val="center"/>
          </w:tcPr>
          <w:p>
            <w:pPr>
              <w:widowControl/>
              <w:spacing w:line="480" w:lineRule="exact"/>
              <w:jc w:val="left"/>
              <w:rPr>
                <w:rFonts w:hint="eastAsia" w:ascii="宋体" w:hAnsi="宋体" w:cs="宋体"/>
                <w:color w:val="000000"/>
                <w:sz w:val="22"/>
                <w:szCs w:val="22"/>
              </w:rPr>
            </w:pPr>
            <w:r>
              <w:rPr>
                <w:rFonts w:hint="eastAsia" w:ascii="宋体" w:hAnsi="宋体" w:cs="宋体"/>
                <w:color w:val="000000"/>
                <w:kern w:val="0"/>
                <w:sz w:val="22"/>
                <w:szCs w:val="22"/>
              </w:rPr>
              <w:t>工程量清单及最高投标限价、图纸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Merge w:val="restart"/>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2.2.1</w:t>
            </w:r>
          </w:p>
        </w:tc>
        <w:tc>
          <w:tcPr>
            <w:tcW w:w="1980" w:type="dxa"/>
            <w:vMerge w:val="restart"/>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投标人要求澄清招标文件</w:t>
            </w:r>
          </w:p>
        </w:tc>
        <w:tc>
          <w:tcPr>
            <w:tcW w:w="6757" w:type="dxa"/>
            <w:vAlign w:val="center"/>
          </w:tcPr>
          <w:p>
            <w:pPr>
              <w:snapToGrid w:val="0"/>
              <w:spacing w:line="480" w:lineRule="exact"/>
              <w:rPr>
                <w:rFonts w:hint="eastAsia" w:ascii="宋体" w:hAnsi="宋体" w:cs="宋体"/>
                <w:sz w:val="22"/>
                <w:szCs w:val="22"/>
                <w:highlight w:val="white"/>
              </w:rPr>
            </w:pPr>
            <w:r>
              <w:rPr>
                <w:rFonts w:hint="eastAsia" w:ascii="宋体" w:hAnsi="宋体" w:cs="宋体"/>
                <w:sz w:val="22"/>
                <w:szCs w:val="22"/>
                <w:highlight w:val="yellow"/>
              </w:rPr>
              <w:t>时间：</w:t>
            </w:r>
            <w:r>
              <w:rPr>
                <w:rFonts w:hint="eastAsia" w:ascii="宋体" w:hAnsi="宋体" w:cs="宋体"/>
                <w:bCs/>
                <w:snapToGrid w:val="0"/>
                <w:color w:val="000000"/>
                <w:kern w:val="0"/>
                <w:sz w:val="22"/>
                <w:szCs w:val="22"/>
                <w:highlight w:val="yellow"/>
                <w:u w:val="single"/>
              </w:rPr>
              <w:t xml:space="preserve">    </w:t>
            </w:r>
            <w:r>
              <w:rPr>
                <w:rFonts w:hint="eastAsia" w:ascii="宋体" w:hAnsi="宋体" w:cs="宋体"/>
                <w:bCs/>
                <w:snapToGrid w:val="0"/>
                <w:color w:val="000000"/>
                <w:kern w:val="0"/>
                <w:sz w:val="22"/>
                <w:szCs w:val="22"/>
                <w:highlight w:val="yellow"/>
              </w:rPr>
              <w:t>年</w:t>
            </w:r>
            <w:r>
              <w:rPr>
                <w:rFonts w:hint="eastAsia" w:ascii="宋体" w:hAnsi="宋体" w:cs="宋体"/>
                <w:bCs/>
                <w:snapToGrid w:val="0"/>
                <w:color w:val="000000"/>
                <w:kern w:val="0"/>
                <w:sz w:val="22"/>
                <w:szCs w:val="22"/>
                <w:highlight w:val="yellow"/>
                <w:u w:val="single"/>
              </w:rPr>
              <w:t xml:space="preserve">   </w:t>
            </w:r>
            <w:r>
              <w:rPr>
                <w:rFonts w:hint="eastAsia" w:ascii="宋体" w:hAnsi="宋体" w:cs="宋体"/>
                <w:bCs/>
                <w:snapToGrid w:val="0"/>
                <w:color w:val="000000"/>
                <w:kern w:val="0"/>
                <w:sz w:val="22"/>
                <w:szCs w:val="22"/>
                <w:highlight w:val="yellow"/>
              </w:rPr>
              <w:t>月</w:t>
            </w:r>
            <w:r>
              <w:rPr>
                <w:rFonts w:hint="eastAsia" w:ascii="宋体" w:hAnsi="宋体" w:cs="宋体"/>
                <w:bCs/>
                <w:snapToGrid w:val="0"/>
                <w:color w:val="000000"/>
                <w:kern w:val="0"/>
                <w:sz w:val="22"/>
                <w:szCs w:val="22"/>
                <w:highlight w:val="yellow"/>
                <w:u w:val="single"/>
              </w:rPr>
              <w:t xml:space="preserve">   </w:t>
            </w:r>
            <w:r>
              <w:rPr>
                <w:rFonts w:hint="eastAsia" w:ascii="宋体" w:hAnsi="宋体" w:cs="宋体"/>
                <w:bCs/>
                <w:snapToGrid w:val="0"/>
                <w:color w:val="000000"/>
                <w:kern w:val="0"/>
                <w:sz w:val="22"/>
                <w:szCs w:val="22"/>
                <w:highlight w:val="yellow"/>
              </w:rPr>
              <w:t>日</w:t>
            </w:r>
            <w:r>
              <w:rPr>
                <w:rFonts w:hint="eastAsia" w:ascii="宋体" w:hAnsi="宋体" w:cs="宋体"/>
                <w:bCs/>
                <w:snapToGrid w:val="0"/>
                <w:color w:val="000000"/>
                <w:kern w:val="0"/>
                <w:sz w:val="22"/>
                <w:szCs w:val="22"/>
                <w:highlight w:val="yellow"/>
                <w:u w:val="single"/>
              </w:rPr>
              <w:t xml:space="preserve">   </w:t>
            </w:r>
            <w:r>
              <w:rPr>
                <w:rFonts w:hint="eastAsia" w:ascii="宋体" w:hAnsi="宋体" w:cs="宋体"/>
                <w:bCs/>
                <w:snapToGrid w:val="0"/>
                <w:color w:val="000000"/>
                <w:kern w:val="0"/>
                <w:sz w:val="22"/>
                <w:szCs w:val="22"/>
                <w:highlight w:val="yellow"/>
              </w:rPr>
              <w:t>时</w:t>
            </w:r>
            <w:r>
              <w:rPr>
                <w:rFonts w:hint="eastAsia" w:ascii="宋体" w:hAnsi="宋体" w:cs="宋体"/>
                <w:bCs/>
                <w:snapToGrid w:val="0"/>
                <w:color w:val="000000"/>
                <w:kern w:val="0"/>
                <w:sz w:val="22"/>
                <w:szCs w:val="22"/>
                <w:highlight w:val="yellow"/>
                <w:u w:val="single"/>
              </w:rPr>
              <w:t xml:space="preserve">   </w:t>
            </w:r>
            <w:r>
              <w:rPr>
                <w:rFonts w:hint="eastAsia" w:ascii="宋体" w:hAnsi="宋体" w:cs="宋体"/>
                <w:bCs/>
                <w:snapToGrid w:val="0"/>
                <w:color w:val="000000"/>
                <w:kern w:val="0"/>
                <w:sz w:val="22"/>
                <w:szCs w:val="22"/>
                <w:highlight w:val="yellow"/>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Merge w:val="continue"/>
            <w:vAlign w:val="center"/>
          </w:tcPr>
          <w:p>
            <w:pPr>
              <w:snapToGrid w:val="0"/>
              <w:spacing w:line="480" w:lineRule="exact"/>
              <w:jc w:val="center"/>
              <w:rPr>
                <w:rFonts w:hint="eastAsia" w:ascii="宋体" w:hAnsi="宋体" w:cs="宋体"/>
                <w:color w:val="000000"/>
                <w:sz w:val="22"/>
                <w:szCs w:val="22"/>
              </w:rPr>
            </w:pPr>
          </w:p>
        </w:tc>
        <w:tc>
          <w:tcPr>
            <w:tcW w:w="1980" w:type="dxa"/>
            <w:vMerge w:val="continue"/>
            <w:vAlign w:val="center"/>
          </w:tcPr>
          <w:p>
            <w:pPr>
              <w:snapToGrid w:val="0"/>
              <w:spacing w:line="480" w:lineRule="exact"/>
              <w:jc w:val="center"/>
              <w:rPr>
                <w:rFonts w:hint="eastAsia" w:ascii="宋体" w:hAnsi="宋体" w:cs="宋体"/>
                <w:color w:val="000000"/>
                <w:sz w:val="22"/>
                <w:szCs w:val="22"/>
              </w:rPr>
            </w:pPr>
          </w:p>
        </w:tc>
        <w:tc>
          <w:tcPr>
            <w:tcW w:w="6757" w:type="dxa"/>
            <w:vAlign w:val="center"/>
          </w:tcPr>
          <w:p>
            <w:pPr>
              <w:snapToGrid w:val="0"/>
              <w:spacing w:line="480" w:lineRule="exact"/>
              <w:rPr>
                <w:rFonts w:hint="eastAsia" w:ascii="宋体" w:hAnsi="宋体" w:cs="宋体"/>
                <w:color w:val="000000"/>
                <w:sz w:val="22"/>
                <w:szCs w:val="22"/>
                <w:highlight w:val="white"/>
              </w:rPr>
            </w:pPr>
            <w:r>
              <w:rPr>
                <w:rFonts w:hint="eastAsia" w:ascii="宋体" w:hAnsi="宋体" w:cs="宋体"/>
                <w:bCs/>
                <w:snapToGrid w:val="0"/>
                <w:color w:val="000000"/>
                <w:kern w:val="0"/>
                <w:sz w:val="22"/>
                <w:szCs w:val="22"/>
              </w:rPr>
              <w:t>形式：</w:t>
            </w:r>
            <w:r>
              <w:rPr>
                <w:rFonts w:hint="eastAsia" w:ascii="宋体" w:hAnsi="宋体" w:cs="宋体"/>
                <w:bCs/>
                <w:snapToGrid w:val="0"/>
                <w:kern w:val="0"/>
                <w:sz w:val="22"/>
                <w:szCs w:val="22"/>
              </w:rPr>
              <w:t>投标人应通过安徽合肥公共资源交易平台网站（网址：http://ggzy.hefei.gov.cn/）平台提交。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2.2.2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snapToGrid w:val="0"/>
                <w:kern w:val="0"/>
                <w:sz w:val="22"/>
                <w:szCs w:val="22"/>
              </w:rPr>
              <w:t>招标文件澄清发出的形式</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snapToGrid w:val="0"/>
                <w:kern w:val="0"/>
                <w:sz w:val="22"/>
                <w:szCs w:val="22"/>
              </w:rPr>
              <w:t>招标文件澄清将在安徽合肥公共资源交易平台网站（网址：http://ggzy.hefei.gov.cn/）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2.2.3</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投标人确认收到招标文件澄清</w:t>
            </w:r>
          </w:p>
        </w:tc>
        <w:tc>
          <w:tcPr>
            <w:tcW w:w="6757" w:type="dxa"/>
            <w:vAlign w:val="center"/>
          </w:tcPr>
          <w:p>
            <w:pPr>
              <w:snapToGrid w:val="0"/>
              <w:spacing w:line="480" w:lineRule="exact"/>
              <w:rPr>
                <w:rFonts w:hint="eastAsia" w:ascii="宋体" w:hAnsi="宋体" w:cs="宋体"/>
                <w:color w:val="000000"/>
                <w:sz w:val="22"/>
                <w:szCs w:val="22"/>
                <w:u w:val="single"/>
              </w:rPr>
            </w:pPr>
            <w:r>
              <w:rPr>
                <w:rFonts w:hint="eastAsia" w:ascii="宋体" w:hAnsi="宋体" w:cs="宋体"/>
                <w:bCs/>
                <w:snapToGrid w:val="0"/>
                <w:color w:val="000000"/>
                <w:kern w:val="0"/>
                <w:sz w:val="22"/>
                <w:szCs w:val="22"/>
              </w:rPr>
              <w:t>所有潜在投标人在投标截止时间前有义务在电子服务系统自行查询，无需回复确认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ind w:left="105" w:leftChars="50" w:right="105" w:rightChars="50"/>
              <w:jc w:val="center"/>
              <w:rPr>
                <w:rFonts w:hint="eastAsia" w:ascii="宋体" w:hAnsi="宋体" w:cs="宋体"/>
                <w:snapToGrid w:val="0"/>
                <w:kern w:val="0"/>
                <w:sz w:val="22"/>
                <w:szCs w:val="22"/>
              </w:rPr>
            </w:pPr>
            <w:r>
              <w:rPr>
                <w:rFonts w:hint="eastAsia" w:ascii="宋体" w:hAnsi="宋体" w:cs="宋体"/>
                <w:snapToGrid w:val="0"/>
                <w:kern w:val="0"/>
                <w:sz w:val="22"/>
                <w:szCs w:val="22"/>
              </w:rPr>
              <w:t>2.3.1</w:t>
            </w:r>
          </w:p>
        </w:tc>
        <w:tc>
          <w:tcPr>
            <w:tcW w:w="1980" w:type="dxa"/>
            <w:vAlign w:val="center"/>
          </w:tcPr>
          <w:p>
            <w:pPr>
              <w:kinsoku w:val="0"/>
              <w:overflowPunct w:val="0"/>
              <w:autoSpaceDE w:val="0"/>
              <w:autoSpaceDN w:val="0"/>
              <w:adjustRightInd w:val="0"/>
              <w:snapToGrid w:val="0"/>
              <w:spacing w:line="480" w:lineRule="exact"/>
              <w:ind w:right="105" w:rightChars="50"/>
              <w:jc w:val="center"/>
              <w:rPr>
                <w:rFonts w:hint="eastAsia" w:ascii="宋体" w:hAnsi="宋体" w:cs="宋体"/>
                <w:snapToGrid w:val="0"/>
                <w:kern w:val="0"/>
                <w:sz w:val="22"/>
                <w:szCs w:val="22"/>
              </w:rPr>
            </w:pPr>
            <w:r>
              <w:rPr>
                <w:rFonts w:hint="eastAsia" w:ascii="宋体" w:hAnsi="宋体" w:cs="宋体"/>
                <w:snapToGrid w:val="0"/>
                <w:kern w:val="0"/>
                <w:sz w:val="22"/>
                <w:szCs w:val="22"/>
              </w:rPr>
              <w:t>招标文件修改发出的形式</w:t>
            </w:r>
          </w:p>
        </w:tc>
        <w:tc>
          <w:tcPr>
            <w:tcW w:w="6757" w:type="dxa"/>
            <w:vAlign w:val="center"/>
          </w:tcPr>
          <w:p>
            <w:pPr>
              <w:autoSpaceDE w:val="0"/>
              <w:autoSpaceDN w:val="0"/>
              <w:adjustRightInd w:val="0"/>
              <w:snapToGrid w:val="0"/>
              <w:spacing w:line="480" w:lineRule="exact"/>
              <w:ind w:right="105" w:rightChars="50"/>
              <w:jc w:val="left"/>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通过</w:t>
            </w:r>
            <w:r>
              <w:rPr>
                <w:rFonts w:hint="eastAsia" w:ascii="宋体" w:hAnsi="宋体" w:cs="宋体"/>
                <w:bCs/>
                <w:snapToGrid w:val="0"/>
                <w:color w:val="000000"/>
                <w:kern w:val="0"/>
                <w:sz w:val="22"/>
                <w:szCs w:val="22"/>
              </w:rPr>
              <w:t>电子服务系统</w:t>
            </w:r>
            <w:r>
              <w:rPr>
                <w:rFonts w:hint="eastAsia" w:ascii="宋体" w:hAnsi="宋体" w:cs="宋体"/>
                <w:snapToGrid w:val="0"/>
                <w:color w:val="000000"/>
                <w:kern w:val="0"/>
                <w:sz w:val="22"/>
                <w:szCs w:val="22"/>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2.3.2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投标人确认收到招标文件修改</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通过电子服务系统发布修改文件的，所有潜在投标人在投标截止时间前有义务在电子服务系统自行查询，无需回复确认。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2.4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招标文件的异议</w:t>
            </w:r>
          </w:p>
        </w:tc>
        <w:tc>
          <w:tcPr>
            <w:tcW w:w="6757" w:type="dxa"/>
            <w:vAlign w:val="center"/>
          </w:tcPr>
          <w:p>
            <w:pPr>
              <w:spacing w:line="480" w:lineRule="exact"/>
              <w:rPr>
                <w:rFonts w:hint="eastAsia" w:ascii="宋体" w:hAnsi="宋体" w:cs="宋体"/>
                <w:color w:val="000000"/>
                <w:sz w:val="22"/>
                <w:szCs w:val="22"/>
              </w:rPr>
            </w:pPr>
            <w:r>
              <w:rPr>
                <w:rFonts w:hint="eastAsia" w:ascii="宋体" w:hAnsi="宋体" w:cs="宋体"/>
                <w:color w:val="000000"/>
                <w:sz w:val="22"/>
                <w:szCs w:val="22"/>
              </w:rPr>
              <w:t>时间：</w:t>
            </w:r>
            <w:r>
              <w:rPr>
                <w:rFonts w:hint="eastAsia" w:ascii="宋体" w:hAnsi="宋体" w:cs="宋体"/>
                <w:color w:val="000000"/>
                <w:sz w:val="22"/>
                <w:szCs w:val="22"/>
                <w:highlight w:val="yellow"/>
                <w:u w:val="single"/>
              </w:rPr>
              <w:t xml:space="preserve"> 2022 年   月   日 17 时 30 分。</w:t>
            </w:r>
          </w:p>
          <w:p>
            <w:pPr>
              <w:spacing w:line="480" w:lineRule="exact"/>
              <w:rPr>
                <w:rFonts w:hint="eastAsia" w:ascii="宋体" w:hAnsi="宋体" w:cs="宋体"/>
                <w:color w:val="000000"/>
                <w:sz w:val="22"/>
                <w:szCs w:val="22"/>
              </w:rPr>
            </w:pPr>
            <w:r>
              <w:rPr>
                <w:rFonts w:hint="eastAsia" w:ascii="宋体" w:hAnsi="宋体" w:cs="宋体"/>
                <w:color w:val="000000"/>
                <w:sz w:val="22"/>
                <w:szCs w:val="22"/>
              </w:rPr>
              <w:t>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3.1.1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构成投标文件的其他资料</w:t>
            </w:r>
          </w:p>
        </w:tc>
        <w:tc>
          <w:tcPr>
            <w:tcW w:w="6757" w:type="dxa"/>
            <w:vAlign w:val="center"/>
          </w:tcPr>
          <w:p>
            <w:pPr>
              <w:spacing w:line="480" w:lineRule="exact"/>
              <w:rPr>
                <w:rFonts w:hint="eastAsia" w:ascii="宋体" w:hAnsi="宋体" w:cs="宋体"/>
                <w:color w:val="000000"/>
                <w:sz w:val="22"/>
                <w:szCs w:val="22"/>
              </w:rPr>
            </w:pPr>
            <w:r>
              <w:rPr>
                <w:rFonts w:hint="eastAsia" w:ascii="宋体" w:hAnsi="宋体" w:cs="宋体"/>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3.2.1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增值税税金的计算方法</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计税方法：</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☑一般计税方法</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□简易计税方法 </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发票类型：</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☑增值税专用发票</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□增值税普通发票</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3.2.4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最高投标限价</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□无</w:t>
            </w:r>
          </w:p>
          <w:p>
            <w:pPr>
              <w:snapToGrid w:val="0"/>
              <w:spacing w:line="480" w:lineRule="exact"/>
              <w:rPr>
                <w:rFonts w:hint="eastAsia" w:ascii="宋体" w:hAnsi="宋体" w:cs="宋体"/>
                <w:bCs/>
                <w:snapToGrid w:val="0"/>
                <w:color w:val="FF0000"/>
                <w:kern w:val="0"/>
                <w:sz w:val="22"/>
                <w:szCs w:val="22"/>
              </w:rPr>
            </w:pPr>
            <w:r>
              <w:rPr>
                <w:rFonts w:hint="eastAsia" w:ascii="宋体" w:hAnsi="宋体" w:cs="宋体"/>
                <w:bCs/>
                <w:snapToGrid w:val="0"/>
                <w:color w:val="000000"/>
                <w:kern w:val="0"/>
                <w:sz w:val="22"/>
                <w:szCs w:val="22"/>
              </w:rPr>
              <w:t>☑有，</w:t>
            </w:r>
            <w:r>
              <w:rPr>
                <w:rFonts w:hint="eastAsia" w:ascii="宋体" w:hAnsi="宋体" w:cs="宋体"/>
                <w:bCs/>
                <w:snapToGrid w:val="0"/>
                <w:kern w:val="0"/>
                <w:sz w:val="22"/>
                <w:szCs w:val="22"/>
                <w:highlight w:val="yellow"/>
              </w:rPr>
              <w:t>最高投标限价___元</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□有，投标截止时间</w:t>
            </w:r>
            <w:r>
              <w:rPr>
                <w:rFonts w:hint="eastAsia" w:ascii="宋体" w:hAnsi="宋体" w:cs="宋体"/>
                <w:bCs/>
                <w:snapToGrid w:val="0"/>
                <w:color w:val="000000"/>
                <w:kern w:val="0"/>
                <w:sz w:val="22"/>
                <w:szCs w:val="22"/>
                <w:u w:val="single"/>
              </w:rPr>
              <w:t>15</w:t>
            </w:r>
            <w:r>
              <w:rPr>
                <w:rFonts w:hint="eastAsia" w:ascii="宋体" w:hAnsi="宋体" w:cs="宋体"/>
                <w:bCs/>
                <w:snapToGrid w:val="0"/>
                <w:color w:val="000000"/>
                <w:kern w:val="0"/>
                <w:sz w:val="22"/>
                <w:szCs w:val="22"/>
              </w:rPr>
              <w:t>日前通过电子服务系统发布。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3.2.5</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投标报价的其他要求</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投标人的报价应包括材料（主要及辅助材料）及设备的生产（购买）、包装、运输、装卸、加工（含加工过程中的主要及辅助材料损耗）、施工（含施工过程中的主要及辅助材料损耗）、检测、验收、维保、培训、利润、税金、安全经费、文明施工费、临时设施费、环保费及其他相关施工措施费用和技术措施费用、规费等全部费用。</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□招标人不能接受</w:t>
            </w:r>
            <w:r>
              <w:rPr>
                <w:rFonts w:hint="eastAsia" w:ascii="宋体" w:hAnsi="宋体" w:cs="宋体"/>
                <w:bCs/>
                <w:snapToGrid w:val="0"/>
                <w:color w:val="000000"/>
                <w:kern w:val="0"/>
                <w:sz w:val="22"/>
                <w:szCs w:val="22"/>
                <w:lang w:eastAsia="zh-CN"/>
              </w:rPr>
              <w:t>的其他</w:t>
            </w:r>
            <w:r>
              <w:rPr>
                <w:rFonts w:hint="eastAsia" w:ascii="宋体" w:hAnsi="宋体" w:cs="宋体"/>
                <w:bCs/>
                <w:snapToGrid w:val="0"/>
                <w:color w:val="000000"/>
                <w:kern w:val="0"/>
                <w:sz w:val="22"/>
                <w:szCs w:val="22"/>
              </w:rPr>
              <w:t>实质性条件：</w:t>
            </w:r>
            <w:r>
              <w:rPr>
                <w:rFonts w:hint="eastAsia" w:ascii="宋体" w:hAnsi="宋体" w:cs="宋体"/>
                <w:bCs/>
                <w:snapToGrid w:val="0"/>
                <w:color w:val="000000"/>
                <w:kern w:val="0"/>
                <w:sz w:val="22"/>
                <w:szCs w:val="22"/>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3.3.1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投标有效期</w:t>
            </w:r>
          </w:p>
        </w:tc>
        <w:tc>
          <w:tcPr>
            <w:tcW w:w="6757" w:type="dxa"/>
            <w:vAlign w:val="center"/>
          </w:tcPr>
          <w:p>
            <w:pPr>
              <w:snapToGrid w:val="0"/>
              <w:spacing w:line="480" w:lineRule="exact"/>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自投标人提交投标文件截止之日起计算</w:t>
            </w:r>
            <w:r>
              <w:rPr>
                <w:rFonts w:hint="eastAsia" w:ascii="宋体" w:hAnsi="宋体" w:cs="宋体"/>
                <w:snapToGrid w:val="0"/>
                <w:color w:val="000000"/>
                <w:kern w:val="0"/>
                <w:sz w:val="22"/>
                <w:szCs w:val="22"/>
                <w:u w:val="single"/>
              </w:rPr>
              <w:t>90</w:t>
            </w:r>
            <w:r>
              <w:rPr>
                <w:rFonts w:hint="eastAsia" w:ascii="宋体" w:hAnsi="宋体" w:cs="宋体"/>
                <w:snapToGrid w:val="0"/>
                <w:color w:val="000000"/>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3.4.1</w:t>
            </w:r>
          </w:p>
        </w:tc>
        <w:tc>
          <w:tcPr>
            <w:tcW w:w="1980"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投标保证金</w:t>
            </w:r>
          </w:p>
        </w:tc>
        <w:tc>
          <w:tcPr>
            <w:tcW w:w="6757" w:type="dxa"/>
            <w:vAlign w:val="center"/>
          </w:tcPr>
          <w:p>
            <w:pPr>
              <w:snapToGrid w:val="0"/>
              <w:spacing w:line="480" w:lineRule="exact"/>
              <w:rPr>
                <w:rFonts w:hint="eastAsia" w:ascii="宋体" w:hAnsi="宋体" w:cs="宋体"/>
                <w:kern w:val="0"/>
                <w:sz w:val="22"/>
                <w:szCs w:val="22"/>
              </w:rPr>
            </w:pPr>
            <w:r>
              <w:rPr>
                <w:rFonts w:hint="eastAsia" w:ascii="宋体" w:hAnsi="宋体" w:cs="宋体"/>
                <w:kern w:val="0"/>
                <w:sz w:val="22"/>
                <w:szCs w:val="22"/>
              </w:rPr>
              <w:t>是否要求投标人递交投标保证金：</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□不要求</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☑要求</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 xml:space="preserve">投标保证金的形式：第一类：☑银行转账 ☑银行电汇； </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第二类：☑银行保函 ☑担保机构担保 ☑保证保险；</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第三类： ☑电子保函；</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注：为减轻投标人负担，鼓励优先使用电子保函形式。</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投标保证金的金额：</w:t>
            </w:r>
            <w:r>
              <w:rPr>
                <w:rFonts w:hint="eastAsia" w:ascii="宋体" w:hAnsi="宋体" w:cs="宋体"/>
                <w:b/>
                <w:bCs/>
                <w:kern w:val="0"/>
                <w:sz w:val="22"/>
                <w:szCs w:val="22"/>
                <w:highlight w:val="yellow"/>
              </w:rPr>
              <w:t>人民币壹拾万元</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递交要求：</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（1）如采用第一</w:t>
            </w:r>
            <w:r>
              <w:rPr>
                <w:rFonts w:hint="eastAsia" w:ascii="宋体" w:hAnsi="宋体" w:cs="宋体"/>
                <w:kern w:val="0"/>
                <w:sz w:val="22"/>
                <w:szCs w:val="22"/>
                <w:lang w:eastAsia="zh-CN"/>
              </w:rPr>
              <w:t>类型</w:t>
            </w:r>
            <w:r>
              <w:rPr>
                <w:rFonts w:hint="eastAsia" w:ascii="宋体" w:hAnsi="宋体" w:cs="宋体"/>
                <w:kern w:val="0"/>
                <w:sz w:val="22"/>
                <w:szCs w:val="22"/>
              </w:rPr>
              <w:t>式：</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①投标保证金的到账截止时间：投标截止时间。</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②投标保证金应当从投标人基本账户转出，转出保证金的账户与投标人投标文件提供的基本账户不一致的，视为未按招标文件规定要求递交投标保证金。</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③转入的开户银行及账号见本项目招标公告所示。</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（2）如采用第二</w:t>
            </w:r>
            <w:r>
              <w:rPr>
                <w:rFonts w:hint="eastAsia" w:ascii="宋体" w:hAnsi="宋体" w:cs="宋体"/>
                <w:kern w:val="0"/>
                <w:sz w:val="22"/>
                <w:szCs w:val="22"/>
                <w:lang w:eastAsia="zh-CN"/>
              </w:rPr>
              <w:t>类型</w:t>
            </w:r>
            <w:r>
              <w:rPr>
                <w:rFonts w:hint="eastAsia" w:ascii="宋体" w:hAnsi="宋体" w:cs="宋体"/>
                <w:kern w:val="0"/>
                <w:sz w:val="22"/>
                <w:szCs w:val="22"/>
              </w:rPr>
              <w:t>式：</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①采用银行保函，应为投标人基本账户开户行出具的见索即付无条件银行保函；采用担保机构出具的保函（担保机构担保），应为经安徽省地方金融监督管理局审查批准，依法取得融资担保业务经营许可证的融资担保机构出具的无条件保函。</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②投标人必须提供明确有效的查询途径（二维码；或网址链接及查询方式），否则该银行保函（或担保机构担保或保证保险）无效。评标时评标委员会保留现场核查权利。</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③中标候选人须在中标结果公示发布前将其开具至本项目的银行保函（或担保机构担保或保证保险）原件提交招标人（或招标代理机构），且原件须与投标文件中提供的扫描件一致，如存在未按规定提交或提交内容不一致，或发现弄虚作假的，招标人应当报监管部门依法处理。</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（3）如采用第三</w:t>
            </w:r>
            <w:r>
              <w:rPr>
                <w:rFonts w:hint="eastAsia" w:ascii="宋体" w:hAnsi="宋体" w:cs="宋体"/>
                <w:kern w:val="0"/>
                <w:sz w:val="22"/>
                <w:szCs w:val="22"/>
                <w:lang w:eastAsia="zh-CN"/>
              </w:rPr>
              <w:t>类形式</w:t>
            </w:r>
            <w:r>
              <w:rPr>
                <w:rFonts w:hint="eastAsia" w:ascii="宋体" w:hAnsi="宋体" w:cs="宋体"/>
                <w:kern w:val="0"/>
                <w:sz w:val="22"/>
                <w:szCs w:val="22"/>
              </w:rPr>
              <w:t>：</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请登录全国公共资源交易平台（安徽省•合肥市）即安徽合肥公共资源交易中心网站“通知公告”栏目查看《合肥市公共资源交易投标保证金电子保函操作手册》并按照操作手册规定内</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容办理。</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注意事项：</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（1）投标保证金交纳账号采用动态虚拟账号，项目招标失败后，投标保证金交纳账号将会发生变化，请投标人参与后续招标时，注意勿将投标保证金错交至其他项目虚拟账号或前次公告账号。</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（2）如本项目前次招标失败，招标人退还投标人的投标保证金。投标人参与本次招标，须向本项目本次公告公布的投标保证金账号重新</w:t>
            </w:r>
            <w:r>
              <w:rPr>
                <w:rFonts w:hint="eastAsia" w:ascii="宋体" w:hAnsi="宋体" w:cs="宋体"/>
                <w:kern w:val="0"/>
                <w:sz w:val="22"/>
                <w:szCs w:val="22"/>
                <w:lang w:eastAsia="zh-CN"/>
              </w:rPr>
              <w:t>缴纳</w:t>
            </w:r>
            <w:r>
              <w:rPr>
                <w:rFonts w:hint="eastAsia" w:ascii="宋体" w:hAnsi="宋体" w:cs="宋体"/>
                <w:kern w:val="0"/>
                <w:sz w:val="22"/>
                <w:szCs w:val="22"/>
              </w:rPr>
              <w:t>投标保证金。</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（3）凡转账到其他项目虚拟账户或本项目前次公告账户的，</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投标保证金无效。</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（4）投标人参与本项目多个标段（包别）投标的（如分多标段</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/包别的），应该按标段（包别）分别递交投标保证金。未递交</w:t>
            </w:r>
          </w:p>
          <w:p>
            <w:pPr>
              <w:snapToGrid w:val="0"/>
              <w:spacing w:line="480" w:lineRule="exact"/>
              <w:rPr>
                <w:rFonts w:hint="eastAsia" w:ascii="宋体" w:hAnsi="宋体" w:cs="宋体"/>
                <w:kern w:val="0"/>
                <w:sz w:val="22"/>
                <w:szCs w:val="22"/>
              </w:rPr>
            </w:pPr>
            <w:r>
              <w:rPr>
                <w:rFonts w:hint="eastAsia" w:ascii="宋体" w:hAnsi="宋体" w:cs="宋体"/>
                <w:kern w:val="0"/>
                <w:sz w:val="22"/>
                <w:szCs w:val="22"/>
              </w:rPr>
              <w:t>投标保证金的标段（包别），其投标无效。</w:t>
            </w:r>
          </w:p>
          <w:p>
            <w:pPr>
              <w:snapToGrid w:val="0"/>
              <w:spacing w:line="480" w:lineRule="exact"/>
              <w:rPr>
                <w:rFonts w:hint="eastAsia" w:ascii="宋体" w:hAnsi="宋体" w:cs="宋体"/>
                <w:color w:val="000000"/>
                <w:sz w:val="22"/>
                <w:szCs w:val="22"/>
                <w:u w:val="single"/>
              </w:rPr>
            </w:pPr>
            <w:r>
              <w:rPr>
                <w:rFonts w:hint="eastAsia" w:ascii="宋体" w:hAnsi="宋体" w:cs="宋体"/>
                <w:kern w:val="0"/>
                <w:sz w:val="22"/>
                <w:szCs w:val="22"/>
              </w:rPr>
              <w:t>（5）以上各类机构出具的以担保函、保证保险承担责任的方式均须满足无条件见索即付条件。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3.4.4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其他不予退还投标保证金的情形</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（1）中标候选人无正当理由放弃中标项目资格的；</w:t>
            </w:r>
          </w:p>
          <w:p>
            <w:pPr>
              <w:snapToGrid w:val="0"/>
              <w:spacing w:line="480" w:lineRule="exact"/>
              <w:rPr>
                <w:rFonts w:hint="eastAsia" w:ascii="宋体" w:hAnsi="宋体" w:cs="宋体"/>
                <w:color w:val="000000"/>
                <w:sz w:val="22"/>
                <w:szCs w:val="22"/>
                <w:u w:val="single"/>
              </w:rPr>
            </w:pPr>
            <w:r>
              <w:rPr>
                <w:rFonts w:hint="eastAsia" w:ascii="宋体" w:hAnsi="宋体" w:cs="宋体"/>
                <w:bCs/>
                <w:snapToGrid w:val="0"/>
                <w:color w:val="000000"/>
                <w:kern w:val="0"/>
                <w:sz w:val="22"/>
                <w:szCs w:val="22"/>
              </w:rPr>
              <w:t>（2）投标人存在弄虚作假行为的。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3.4.5</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特别提醒</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投标人采用银行保函、担保机构担保函方式提交投标保证金的，如出现本项目招标文件“投标人须知”3.4.4 项所列情形以及招标文件所列其他投标保证金不予退还情形的，提供担保的银行、担保机构将无条件支付招标人保函所列的全部投标保证金金额，该支付行为视同投标保证金不予退还。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3.4.6</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投标保证金弄虚作</w:t>
            </w:r>
          </w:p>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假情形</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投标人采用虚假银行保函、担保机构担保函方式提交投标保证金的，除依法承担弄虚作假、骗取中标的法律责任外，仍应根据招标文件规定承担投标保证金不予退还的民事责任，其承担方式为限时足额缴纳招标文件所列全部投标保证金，投标人在招标人/招标代理机构发出追缴通 知后的规定缴纳时间内不能足额支付投标保证金的，招标人/招标代理机构将依法提起诉讼追缴，招标人/招标代理机构因此发生的诉讼费、律师代理费等费用均由投标人承担。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3.6.1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是否允许递交备选投标方案</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☑不允许</w:t>
            </w:r>
          </w:p>
          <w:p>
            <w:pPr>
              <w:snapToGrid w:val="0"/>
              <w:spacing w:line="480" w:lineRule="exact"/>
              <w:rPr>
                <w:rFonts w:hint="eastAsia" w:ascii="宋体" w:hAnsi="宋体" w:cs="宋体"/>
                <w:color w:val="000000"/>
                <w:sz w:val="22"/>
                <w:szCs w:val="22"/>
                <w:u w:val="single"/>
              </w:rPr>
            </w:pPr>
            <w:r>
              <w:rPr>
                <w:rFonts w:hint="eastAsia" w:ascii="宋体" w:hAnsi="宋体" w:cs="宋体"/>
                <w:color w:val="000000"/>
                <w:sz w:val="22"/>
                <w:szCs w:val="22"/>
              </w:rPr>
              <w:t>□允许：</w:t>
            </w:r>
            <w:r>
              <w:rPr>
                <w:rFonts w:hint="eastAsia" w:ascii="宋体" w:hAnsi="宋体" w:cs="宋体"/>
                <w:bCs/>
                <w:snapToGrid w:val="0"/>
                <w:color w:val="00000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3.7.4</w:t>
            </w:r>
          </w:p>
        </w:tc>
        <w:tc>
          <w:tcPr>
            <w:tcW w:w="1980" w:type="dxa"/>
            <w:vAlign w:val="center"/>
          </w:tcPr>
          <w:p>
            <w:pPr>
              <w:snapToGrid w:val="0"/>
              <w:spacing w:line="480" w:lineRule="exact"/>
              <w:jc w:val="center"/>
              <w:rPr>
                <w:rFonts w:hint="eastAsia" w:ascii="宋体" w:hAnsi="宋体" w:cs="宋体"/>
                <w:snapToGrid w:val="0"/>
                <w:color w:val="FF0000"/>
                <w:kern w:val="0"/>
                <w:sz w:val="22"/>
                <w:szCs w:val="22"/>
                <w:shd w:val="clear" w:color="auto" w:fill="FFFFFF"/>
              </w:rPr>
            </w:pPr>
            <w:r>
              <w:rPr>
                <w:rFonts w:hint="eastAsia" w:ascii="宋体" w:hAnsi="宋体" w:cs="宋体"/>
                <w:snapToGrid w:val="0"/>
                <w:color w:val="000000"/>
                <w:kern w:val="0"/>
                <w:sz w:val="22"/>
                <w:szCs w:val="22"/>
                <w:shd w:val="clear" w:color="auto" w:fill="FFFFFF"/>
              </w:rPr>
              <w:t>非加密投标文件递交</w:t>
            </w:r>
          </w:p>
        </w:tc>
        <w:tc>
          <w:tcPr>
            <w:tcW w:w="6757" w:type="dxa"/>
            <w:vAlign w:val="center"/>
          </w:tcPr>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是否允许使用非加密投标文件作为备份：</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 xml:space="preserve"> ☑不允许     □允许</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非加密投标文件由投标人自行确定是否递交。</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如递交，应在投标截止时间前在开标地点递交，并提供以下证</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明材料，否则招标人不予接收。</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（1）法定代表人亲自递交的，应提供法定代表人身份证明文件和法定代表人的有效身份证件；</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（2）委托代理人递交的，应提供授权委托书和委托代理人的有效身份证件；</w:t>
            </w:r>
          </w:p>
          <w:p>
            <w:pPr>
              <w:snapToGrid w:val="0"/>
              <w:spacing w:line="480" w:lineRule="exact"/>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非加密投标文件介质：光盘或 U 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4.1.2</w:t>
            </w:r>
          </w:p>
        </w:tc>
        <w:tc>
          <w:tcPr>
            <w:tcW w:w="1980" w:type="dxa"/>
            <w:vAlign w:val="center"/>
          </w:tcPr>
          <w:p>
            <w:pPr>
              <w:snapToGrid w:val="0"/>
              <w:spacing w:line="480" w:lineRule="exact"/>
              <w:jc w:val="center"/>
              <w:rPr>
                <w:rFonts w:hint="eastAsia" w:ascii="宋体" w:hAnsi="宋体" w:cs="宋体"/>
                <w:snapToGrid w:val="0"/>
                <w:color w:val="0000FF"/>
                <w:kern w:val="0"/>
                <w:sz w:val="22"/>
                <w:szCs w:val="22"/>
                <w:highlight w:val="yellow"/>
                <w:shd w:val="clear" w:color="auto" w:fill="FFFFFF"/>
              </w:rPr>
            </w:pPr>
            <w:r>
              <w:rPr>
                <w:rFonts w:hint="eastAsia" w:ascii="宋体" w:hAnsi="宋体" w:cs="宋体"/>
                <w:snapToGrid w:val="0"/>
                <w:color w:val="000000"/>
                <w:kern w:val="0"/>
                <w:sz w:val="22"/>
                <w:szCs w:val="22"/>
                <w:shd w:val="clear" w:color="auto" w:fill="FFFFFF"/>
              </w:rPr>
              <w:t>非加密投标文件及银行保函密封和标记要求</w:t>
            </w:r>
          </w:p>
        </w:tc>
        <w:tc>
          <w:tcPr>
            <w:tcW w:w="6757" w:type="dxa"/>
            <w:vAlign w:val="center"/>
          </w:tcPr>
          <w:p>
            <w:pPr>
              <w:snapToGrid w:val="0"/>
              <w:spacing w:line="480" w:lineRule="exact"/>
              <w:rPr>
                <w:rFonts w:hint="eastAsia" w:ascii="宋体" w:hAnsi="宋体" w:cs="宋体"/>
                <w:b/>
                <w:bCs/>
                <w:snapToGrid w:val="0"/>
                <w:color w:val="000000"/>
                <w:kern w:val="0"/>
                <w:sz w:val="22"/>
                <w:szCs w:val="22"/>
              </w:rPr>
            </w:pPr>
            <w:r>
              <w:rPr>
                <w:rFonts w:hint="eastAsia" w:ascii="宋体" w:hAnsi="宋体" w:cs="宋体"/>
                <w:b/>
                <w:bCs/>
                <w:snapToGrid w:val="0"/>
                <w:color w:val="000000"/>
                <w:kern w:val="0"/>
                <w:sz w:val="22"/>
                <w:szCs w:val="22"/>
              </w:rPr>
              <w:t>非加密投标文件封套：</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投标人地址：</w:t>
            </w:r>
            <w:r>
              <w:rPr>
                <w:rFonts w:hint="eastAsia" w:ascii="宋体" w:hAnsi="宋体" w:cs="宋体"/>
                <w:bCs/>
                <w:snapToGrid w:val="0"/>
                <w:color w:val="000000"/>
                <w:kern w:val="0"/>
                <w:sz w:val="22"/>
                <w:szCs w:val="22"/>
                <w:u w:val="single"/>
              </w:rPr>
              <w:t xml:space="preserve">          </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投标人名称：</w:t>
            </w:r>
            <w:r>
              <w:rPr>
                <w:rFonts w:hint="eastAsia" w:ascii="宋体" w:hAnsi="宋体" w:cs="宋体"/>
                <w:bCs/>
                <w:snapToGrid w:val="0"/>
                <w:color w:val="000000"/>
                <w:kern w:val="0"/>
                <w:sz w:val="22"/>
                <w:szCs w:val="22"/>
                <w:u w:val="single"/>
              </w:rPr>
              <w:t xml:space="preserve">            </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u w:val="single"/>
                <w:lang w:eastAsia="zh-CN"/>
              </w:rPr>
              <w:t>（</w:t>
            </w:r>
            <w:r>
              <w:rPr>
                <w:rFonts w:hint="eastAsia" w:ascii="宋体" w:hAnsi="宋体" w:cs="宋体"/>
                <w:bCs/>
                <w:snapToGrid w:val="0"/>
                <w:color w:val="000000"/>
                <w:kern w:val="0"/>
                <w:sz w:val="22"/>
                <w:szCs w:val="22"/>
              </w:rPr>
              <w:t>项目名称</w:t>
            </w:r>
            <w:r>
              <w:rPr>
                <w:rFonts w:hint="eastAsia" w:ascii="宋体" w:hAnsi="宋体" w:cs="宋体"/>
                <w:bCs/>
                <w:snapToGrid w:val="0"/>
                <w:color w:val="000000"/>
                <w:kern w:val="0"/>
                <w:sz w:val="22"/>
                <w:szCs w:val="22"/>
                <w:lang w:eastAsia="zh-CN"/>
              </w:rPr>
              <w:t>）</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标段投标文件</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（非加密投标文件）</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在</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年</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月</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日</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时</w:t>
            </w:r>
            <w:r>
              <w:rPr>
                <w:rFonts w:hint="eastAsia" w:ascii="宋体" w:hAnsi="宋体" w:cs="宋体"/>
                <w:bCs/>
                <w:snapToGrid w:val="0"/>
                <w:color w:val="000000"/>
                <w:kern w:val="0"/>
                <w:sz w:val="22"/>
                <w:szCs w:val="22"/>
                <w:u w:val="single"/>
              </w:rPr>
              <w:t xml:space="preserve">   </w:t>
            </w:r>
            <w:r>
              <w:rPr>
                <w:rFonts w:hint="eastAsia" w:ascii="宋体" w:hAnsi="宋体" w:cs="宋体"/>
                <w:bCs/>
                <w:snapToGrid w:val="0"/>
                <w:color w:val="000000"/>
                <w:kern w:val="0"/>
                <w:sz w:val="22"/>
                <w:szCs w:val="22"/>
              </w:rPr>
              <w:t>分前不得开启</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
                <w:snapToGrid w:val="0"/>
                <w:color w:val="000000"/>
                <w:kern w:val="0"/>
                <w:sz w:val="22"/>
                <w:szCs w:val="22"/>
              </w:rPr>
              <w:t>工程保函封套</w:t>
            </w:r>
            <w:r>
              <w:rPr>
                <w:rFonts w:hint="eastAsia" w:ascii="宋体" w:hAnsi="宋体" w:cs="宋体"/>
                <w:b/>
                <w:snapToGrid w:val="0"/>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4.2.2</w:t>
            </w:r>
          </w:p>
        </w:tc>
        <w:tc>
          <w:tcPr>
            <w:tcW w:w="1980" w:type="dxa"/>
            <w:vAlign w:val="center"/>
          </w:tcPr>
          <w:p>
            <w:pPr>
              <w:snapToGrid w:val="0"/>
              <w:spacing w:line="480" w:lineRule="exact"/>
              <w:jc w:val="center"/>
              <w:rPr>
                <w:rFonts w:hint="eastAsia" w:ascii="宋体" w:hAnsi="宋体" w:cs="宋体"/>
                <w:snapToGrid w:val="0"/>
                <w:color w:val="0000FF"/>
                <w:kern w:val="0"/>
                <w:sz w:val="22"/>
                <w:szCs w:val="22"/>
                <w:shd w:val="clear" w:color="auto" w:fill="FFFFFF"/>
              </w:rPr>
            </w:pPr>
            <w:r>
              <w:rPr>
                <w:rFonts w:hint="eastAsia" w:ascii="宋体" w:hAnsi="宋体" w:cs="宋体"/>
                <w:snapToGrid w:val="0"/>
                <w:color w:val="000000"/>
                <w:kern w:val="0"/>
                <w:sz w:val="22"/>
                <w:szCs w:val="22"/>
                <w:shd w:val="clear" w:color="auto" w:fill="FFFFFF"/>
              </w:rPr>
              <w:t>递交非加密投标文件及银行保函地点</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bCs/>
                <w:snapToGrid w:val="0"/>
                <w:color w:val="000000"/>
                <w:kern w:val="0"/>
                <w:sz w:val="22"/>
                <w:szCs w:val="22"/>
              </w:rPr>
              <w:t>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4.2.3</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是否退还投标文件</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☑否</w:t>
            </w:r>
          </w:p>
          <w:p>
            <w:pPr>
              <w:snapToGrid w:val="0"/>
              <w:spacing w:line="480" w:lineRule="exact"/>
              <w:rPr>
                <w:rFonts w:hint="eastAsia" w:ascii="宋体" w:hAnsi="宋体" w:cs="宋体"/>
                <w:color w:val="000000"/>
                <w:sz w:val="22"/>
                <w:szCs w:val="22"/>
                <w:u w:val="single"/>
              </w:rPr>
            </w:pPr>
            <w:r>
              <w:rPr>
                <w:rFonts w:hint="eastAsia" w:ascii="宋体" w:hAnsi="宋体" w:cs="宋体"/>
                <w:color w:val="000000"/>
                <w:sz w:val="22"/>
                <w:szCs w:val="22"/>
              </w:rPr>
              <w:t>□是，退还安排：</w:t>
            </w:r>
            <w:r>
              <w:rPr>
                <w:rFonts w:hint="eastAsia" w:ascii="宋体" w:hAnsi="宋体" w:cs="宋体"/>
                <w:bCs/>
                <w:snapToGrid w:val="0"/>
                <w:color w:val="00000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5.1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开标时间和地点</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开标时间：同投标截止时间</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开标地点：见招标公告</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备注：投标人可以在线解密投标文件，无须现场参加开标。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5.2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开标程序</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（1）解密时间：30 分钟（以电子交易系统解密倒计时为准）；</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color w:val="000000"/>
                <w:sz w:val="22"/>
                <w:szCs w:val="22"/>
              </w:rPr>
              <w:t>（2）公布投标人名称、标段名称、投标报价及其他内容。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6.1.1</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评标委员会的组建</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评标委员会构成：</w:t>
            </w:r>
            <w:r>
              <w:rPr>
                <w:rFonts w:hint="eastAsia" w:ascii="宋体" w:hAnsi="宋体" w:cs="宋体"/>
                <w:color w:val="000000"/>
                <w:sz w:val="22"/>
                <w:szCs w:val="22"/>
                <w:u w:val="single"/>
              </w:rPr>
              <w:t>依法组建</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评标专家确定方式：</w:t>
            </w:r>
            <w:r>
              <w:rPr>
                <w:rFonts w:hint="eastAsia" w:ascii="宋体" w:hAnsi="宋体" w:cs="宋体"/>
                <w:color w:val="000000"/>
                <w:sz w:val="22"/>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6.3.2</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评标委员会推荐中标候选人的人数</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sz w:val="22"/>
                <w:szCs w:val="22"/>
                <w:highlight w:val="yellow"/>
              </w:rPr>
              <w:t>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7.1</w:t>
            </w:r>
          </w:p>
        </w:tc>
        <w:tc>
          <w:tcPr>
            <w:tcW w:w="1980"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中标候选人公示媒介及期限</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公示媒介</w:t>
            </w:r>
            <w:r>
              <w:rPr>
                <w:rFonts w:hint="eastAsia" w:ascii="宋体" w:hAnsi="宋体" w:cs="宋体"/>
                <w:color w:val="000000"/>
                <w:sz w:val="22"/>
                <w:szCs w:val="22"/>
                <w:lang w:eastAsia="zh-CN"/>
              </w:rPr>
              <w:t>：</w:t>
            </w:r>
            <w:r>
              <w:rPr>
                <w:rFonts w:hint="eastAsia" w:ascii="宋体" w:hAnsi="宋体" w:cs="宋体"/>
                <w:color w:val="000000"/>
                <w:sz w:val="22"/>
                <w:szCs w:val="22"/>
              </w:rPr>
              <w:t>招标公告发布媒介</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公示期限：</w:t>
            </w:r>
            <w:r>
              <w:rPr>
                <w:rFonts w:hint="eastAsia" w:ascii="宋体" w:hAnsi="宋体" w:cs="宋体"/>
                <w:color w:val="000000"/>
                <w:sz w:val="22"/>
                <w:szCs w:val="22"/>
                <w:u w:val="single"/>
              </w:rPr>
              <w:t xml:space="preserve">3 </w:t>
            </w:r>
            <w:r>
              <w:rPr>
                <w:rFonts w:hint="eastAsia" w:ascii="宋体" w:hAnsi="宋体" w:cs="宋体"/>
                <w:color w:val="000000"/>
                <w:sz w:val="22"/>
                <w:szCs w:val="22"/>
              </w:rPr>
              <w:t>日（公示期截止时间在法定休息日的应顺延至首个工作日）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7.4</w:t>
            </w:r>
          </w:p>
        </w:tc>
        <w:tc>
          <w:tcPr>
            <w:tcW w:w="1980"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是否授权评标委员会确定中标人</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7.5</w:t>
            </w:r>
          </w:p>
        </w:tc>
        <w:tc>
          <w:tcPr>
            <w:tcW w:w="1980"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中标通知书发出的形式</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☑书面  ☑数据电文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7.6</w:t>
            </w:r>
          </w:p>
        </w:tc>
        <w:tc>
          <w:tcPr>
            <w:tcW w:w="1980"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中标结果公示媒介及期限</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公示媒介</w:t>
            </w:r>
            <w:r>
              <w:rPr>
                <w:rFonts w:hint="eastAsia" w:ascii="宋体" w:hAnsi="宋体" w:cs="宋体"/>
                <w:color w:val="000000"/>
                <w:sz w:val="22"/>
                <w:szCs w:val="22"/>
                <w:lang w:eastAsia="zh-CN"/>
              </w:rPr>
              <w:t>：</w:t>
            </w:r>
            <w:r>
              <w:rPr>
                <w:rFonts w:hint="eastAsia" w:ascii="宋体" w:hAnsi="宋体" w:cs="宋体"/>
                <w:color w:val="000000"/>
                <w:sz w:val="22"/>
                <w:szCs w:val="22"/>
              </w:rPr>
              <w:t>招标公告发布媒介</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公示期限：3 日（公示期截止时间在法定休息日的应顺延至</w:t>
            </w:r>
            <w:r>
              <w:rPr>
                <w:rFonts w:hint="eastAsia" w:ascii="宋体" w:hAnsi="宋体" w:cs="宋体"/>
                <w:color w:val="000000"/>
                <w:sz w:val="22"/>
                <w:szCs w:val="22"/>
                <w:lang w:eastAsia="zh-CN"/>
              </w:rPr>
              <w:t>首次</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color w:val="000000"/>
                <w:sz w:val="22"/>
                <w:szCs w:val="22"/>
              </w:rPr>
              <w:t>7.7.1</w:t>
            </w:r>
          </w:p>
        </w:tc>
        <w:tc>
          <w:tcPr>
            <w:tcW w:w="1980" w:type="dxa"/>
            <w:vAlign w:val="center"/>
          </w:tcPr>
          <w:p>
            <w:pPr>
              <w:snapToGrid w:val="0"/>
              <w:spacing w:line="480" w:lineRule="exact"/>
              <w:jc w:val="center"/>
              <w:rPr>
                <w:rFonts w:hint="eastAsia" w:ascii="宋体" w:hAnsi="宋体" w:cs="宋体"/>
                <w:sz w:val="22"/>
                <w:szCs w:val="22"/>
              </w:rPr>
            </w:pPr>
            <w:r>
              <w:rPr>
                <w:rFonts w:hint="eastAsia" w:ascii="宋体" w:hAnsi="宋体" w:cs="宋体"/>
                <w:sz w:val="22"/>
                <w:szCs w:val="22"/>
              </w:rPr>
              <w:t>履约保证金</w:t>
            </w:r>
          </w:p>
        </w:tc>
        <w:tc>
          <w:tcPr>
            <w:tcW w:w="6757" w:type="dxa"/>
            <w:vAlign w:val="center"/>
          </w:tcPr>
          <w:p>
            <w:pPr>
              <w:snapToGrid w:val="0"/>
              <w:spacing w:line="480" w:lineRule="exact"/>
              <w:rPr>
                <w:rFonts w:hint="eastAsia" w:ascii="宋体" w:hAnsi="宋体" w:cs="宋体"/>
                <w:sz w:val="22"/>
                <w:szCs w:val="22"/>
              </w:rPr>
            </w:pPr>
            <w:r>
              <w:rPr>
                <w:rFonts w:hint="eastAsia" w:ascii="宋体" w:hAnsi="宋体" w:cs="宋体"/>
                <w:sz w:val="22"/>
                <w:szCs w:val="22"/>
              </w:rPr>
              <w:t xml:space="preserve">（1）形式： </w:t>
            </w:r>
            <w:r>
              <w:rPr>
                <w:rFonts w:hint="eastAsia" w:ascii="宋体" w:hAnsi="宋体" w:cs="宋体"/>
                <w:color w:val="000000"/>
                <w:sz w:val="22"/>
                <w:szCs w:val="22"/>
              </w:rPr>
              <w:t>☑</w:t>
            </w:r>
            <w:r>
              <w:rPr>
                <w:rFonts w:hint="eastAsia" w:ascii="宋体" w:hAnsi="宋体" w:cs="宋体"/>
                <w:sz w:val="22"/>
                <w:szCs w:val="22"/>
              </w:rPr>
              <w:t>银行转账 </w:t>
            </w:r>
            <w:r>
              <w:rPr>
                <w:rFonts w:hint="eastAsia" w:ascii="宋体" w:hAnsi="宋体" w:cs="宋体"/>
                <w:color w:val="000000"/>
                <w:sz w:val="22"/>
                <w:szCs w:val="22"/>
              </w:rPr>
              <w:t>☑</w:t>
            </w:r>
            <w:r>
              <w:rPr>
                <w:rFonts w:hint="eastAsia" w:ascii="宋体" w:hAnsi="宋体" w:cs="宋体"/>
                <w:sz w:val="22"/>
                <w:szCs w:val="22"/>
              </w:rPr>
              <w:t>银行电汇 </w:t>
            </w:r>
            <w:r>
              <w:rPr>
                <w:rFonts w:hint="eastAsia" w:ascii="宋体" w:hAnsi="宋体" w:cs="宋体"/>
                <w:color w:val="000000"/>
                <w:sz w:val="22"/>
                <w:szCs w:val="22"/>
              </w:rPr>
              <w:t>☑</w:t>
            </w:r>
            <w:r>
              <w:rPr>
                <w:rFonts w:hint="eastAsia" w:ascii="宋体" w:hAnsi="宋体" w:cs="宋体"/>
                <w:sz w:val="22"/>
                <w:szCs w:val="22"/>
              </w:rPr>
              <w:t>银行保函 </w:t>
            </w:r>
            <w:r>
              <w:rPr>
                <w:rFonts w:hint="eastAsia" w:ascii="宋体" w:hAnsi="宋体" w:cs="宋体"/>
                <w:color w:val="000000"/>
                <w:sz w:val="22"/>
                <w:szCs w:val="22"/>
              </w:rPr>
              <w:t>☑</w:t>
            </w:r>
            <w:r>
              <w:rPr>
                <w:rFonts w:hint="eastAsia" w:ascii="宋体" w:hAnsi="宋体" w:cs="宋体"/>
                <w:sz w:val="22"/>
                <w:szCs w:val="22"/>
              </w:rPr>
              <w:t>担保机构担保 </w:t>
            </w:r>
            <w:r>
              <w:rPr>
                <w:rFonts w:hint="eastAsia" w:ascii="宋体" w:hAnsi="宋体" w:cs="宋体"/>
                <w:color w:val="000000"/>
                <w:sz w:val="22"/>
                <w:szCs w:val="22"/>
              </w:rPr>
              <w:t>☑</w:t>
            </w:r>
            <w:r>
              <w:rPr>
                <w:rFonts w:hint="eastAsia" w:ascii="宋体" w:hAnsi="宋体" w:cs="宋体"/>
                <w:sz w:val="22"/>
                <w:szCs w:val="22"/>
              </w:rPr>
              <w:t>保证保险</w:t>
            </w:r>
          </w:p>
          <w:p>
            <w:pPr>
              <w:snapToGrid w:val="0"/>
              <w:spacing w:line="480" w:lineRule="exact"/>
              <w:rPr>
                <w:rFonts w:hint="eastAsia" w:ascii="宋体" w:hAnsi="宋体" w:cs="宋体"/>
                <w:sz w:val="22"/>
                <w:szCs w:val="22"/>
              </w:rPr>
            </w:pPr>
            <w:r>
              <w:rPr>
                <w:rFonts w:hint="eastAsia" w:ascii="宋体" w:hAnsi="宋体" w:cs="宋体"/>
                <w:sz w:val="22"/>
                <w:szCs w:val="22"/>
              </w:rPr>
              <w:t>（2）金额：</w:t>
            </w:r>
            <w:r>
              <w:rPr>
                <w:rFonts w:hint="eastAsia" w:ascii="宋体" w:hAnsi="宋体" w:cs="宋体"/>
                <w:sz w:val="22"/>
                <w:szCs w:val="22"/>
                <w:highlight w:val="yellow"/>
              </w:rPr>
              <w:t xml:space="preserve">中标金额的 2％； </w:t>
            </w:r>
          </w:p>
          <w:p>
            <w:pPr>
              <w:snapToGrid w:val="0"/>
              <w:spacing w:line="480" w:lineRule="exact"/>
              <w:rPr>
                <w:rFonts w:hint="eastAsia" w:ascii="宋体" w:hAnsi="宋体" w:cs="宋体"/>
                <w:sz w:val="22"/>
                <w:szCs w:val="22"/>
                <w:u w:val="single"/>
              </w:rPr>
            </w:pPr>
            <w:r>
              <w:rPr>
                <w:rFonts w:hint="eastAsia" w:ascii="宋体" w:hAnsi="宋体" w:cs="宋体"/>
                <w:sz w:val="22"/>
                <w:szCs w:val="22"/>
              </w:rPr>
              <w:t>（3）退还：</w:t>
            </w:r>
            <w:r>
              <w:rPr>
                <w:rFonts w:hint="eastAsia" w:ascii="宋体" w:hAnsi="宋体" w:cs="宋体"/>
                <w:sz w:val="22"/>
                <w:szCs w:val="22"/>
                <w:u w:val="single"/>
              </w:rPr>
              <w:t>竣工验收合格、履约担保或履约保证金期满之后，由招标人在依据合同约定扣除相应款项后，经中标人书面申请，一次性无息退还至中标人账户。</w:t>
            </w:r>
          </w:p>
          <w:p>
            <w:pPr>
              <w:snapToGrid w:val="0"/>
              <w:spacing w:line="480" w:lineRule="exact"/>
              <w:rPr>
                <w:rFonts w:hint="eastAsia" w:ascii="宋体" w:hAnsi="宋体" w:cs="宋体"/>
                <w:sz w:val="22"/>
                <w:szCs w:val="22"/>
              </w:rPr>
            </w:pPr>
            <w:r>
              <w:rPr>
                <w:rFonts w:hint="eastAsia" w:ascii="宋体" w:hAnsi="宋体" w:cs="宋体"/>
                <w:sz w:val="22"/>
                <w:szCs w:val="22"/>
              </w:rPr>
              <w:t>（4）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snapToGrid w:val="0"/>
              <w:spacing w:line="480" w:lineRule="exact"/>
              <w:rPr>
                <w:rFonts w:hint="eastAsia" w:ascii="宋体" w:hAnsi="宋体" w:cs="宋体"/>
                <w:sz w:val="22"/>
                <w:szCs w:val="22"/>
              </w:rPr>
            </w:pPr>
            <w:r>
              <w:rPr>
                <w:rFonts w:hint="eastAsia" w:ascii="宋体" w:hAnsi="宋体" w:cs="宋体"/>
                <w:sz w:val="22"/>
                <w:szCs w:val="22"/>
              </w:rPr>
              <w:t>（5）如采用担保机构担保，需按招标人要求提供注册地在合肥行政区域（含四县一市）范围内的融资担保机构或经安徽省地方金融监督管理局备案的融资担保机构出具的无条件担保。</w:t>
            </w:r>
          </w:p>
          <w:p>
            <w:pPr>
              <w:snapToGrid w:val="0"/>
              <w:spacing w:line="480" w:lineRule="exact"/>
              <w:rPr>
                <w:rFonts w:hint="eastAsia" w:ascii="宋体" w:hAnsi="宋体" w:cs="宋体"/>
                <w:sz w:val="22"/>
                <w:szCs w:val="22"/>
              </w:rPr>
            </w:pPr>
            <w:r>
              <w:rPr>
                <w:rFonts w:hint="eastAsia" w:ascii="宋体" w:hAnsi="宋体" w:cs="宋体"/>
                <w:sz w:val="22"/>
                <w:szCs w:val="22"/>
              </w:rPr>
              <w:t>（6）以上各类机构出具的以担保函、保证保险承担责任的方式均须满足无条件见索即付条件。</w:t>
            </w:r>
          </w:p>
          <w:p>
            <w:pPr>
              <w:snapToGrid w:val="0"/>
              <w:spacing w:line="480" w:lineRule="exact"/>
              <w:rPr>
                <w:rFonts w:hint="eastAsia" w:ascii="宋体" w:hAnsi="宋体" w:cs="宋体"/>
                <w:sz w:val="22"/>
                <w:szCs w:val="22"/>
              </w:rPr>
            </w:pPr>
            <w:r>
              <w:rPr>
                <w:rFonts w:hint="eastAsia" w:ascii="宋体" w:hAnsi="宋体" w:cs="宋体"/>
                <w:sz w:val="22"/>
                <w:szCs w:val="22"/>
              </w:rPr>
              <w:t>注意事项：以上各类机构出具的以担保函、保证保险承担责任</w:t>
            </w:r>
          </w:p>
          <w:p>
            <w:pPr>
              <w:snapToGrid w:val="0"/>
              <w:spacing w:line="480" w:lineRule="exact"/>
              <w:rPr>
                <w:rFonts w:hint="eastAsia" w:ascii="宋体" w:hAnsi="宋体" w:cs="宋体"/>
                <w:sz w:val="22"/>
                <w:szCs w:val="22"/>
              </w:rPr>
            </w:pPr>
            <w:r>
              <w:rPr>
                <w:rFonts w:hint="eastAsia" w:ascii="宋体" w:hAnsi="宋体" w:cs="宋体"/>
                <w:sz w:val="22"/>
                <w:szCs w:val="22"/>
              </w:rPr>
              <w:t>的方式均须满足无条件见索即付条件。</w:t>
            </w:r>
          </w:p>
          <w:p>
            <w:pPr>
              <w:snapToGrid w:val="0"/>
              <w:spacing w:line="480" w:lineRule="exact"/>
              <w:rPr>
                <w:rFonts w:hint="eastAsia" w:ascii="宋体" w:hAnsi="宋体" w:cs="宋体"/>
                <w:sz w:val="22"/>
                <w:szCs w:val="22"/>
              </w:rPr>
            </w:pPr>
            <w:r>
              <w:rPr>
                <w:rFonts w:hint="eastAsia" w:ascii="宋体" w:hAnsi="宋体" w:cs="宋体"/>
                <w:sz w:val="22"/>
                <w:szCs w:val="22"/>
              </w:rPr>
              <w:t>若中标人采用担保机构出具的保函，合同签订前须提供以下材料经招标人审核：</w:t>
            </w:r>
          </w:p>
          <w:p>
            <w:pPr>
              <w:snapToGrid w:val="0"/>
              <w:spacing w:line="480" w:lineRule="exact"/>
              <w:rPr>
                <w:rFonts w:hint="eastAsia" w:ascii="宋体" w:hAnsi="宋体" w:cs="宋体"/>
                <w:sz w:val="22"/>
                <w:szCs w:val="22"/>
              </w:rPr>
            </w:pPr>
            <w:r>
              <w:rPr>
                <w:rFonts w:hint="eastAsia" w:ascii="宋体" w:hAnsi="宋体" w:cs="宋体"/>
                <w:sz w:val="22"/>
                <w:szCs w:val="22"/>
              </w:rPr>
              <w:t>1）担保机构在合肥行政区域（含四县一市）范围内注册的或经安徽省地方金融监督管理局审查批准的相关证明材料；</w:t>
            </w:r>
          </w:p>
          <w:p>
            <w:pPr>
              <w:snapToGrid w:val="0"/>
              <w:spacing w:line="480" w:lineRule="exact"/>
              <w:rPr>
                <w:rFonts w:hint="eastAsia" w:ascii="宋体" w:hAnsi="宋体" w:cs="宋体"/>
                <w:sz w:val="22"/>
                <w:szCs w:val="22"/>
              </w:rPr>
            </w:pPr>
            <w:r>
              <w:rPr>
                <w:rFonts w:hint="eastAsia" w:ascii="宋体" w:hAnsi="宋体" w:cs="宋体"/>
                <w:sz w:val="22"/>
                <w:szCs w:val="22"/>
              </w:rPr>
              <w:t>2.担保机构的融资担保业务经营许可证；</w:t>
            </w:r>
          </w:p>
          <w:p>
            <w:pPr>
              <w:snapToGrid w:val="0"/>
              <w:spacing w:line="480" w:lineRule="exact"/>
              <w:rPr>
                <w:rFonts w:hint="eastAsia" w:ascii="宋体" w:hAnsi="宋体" w:cs="宋体"/>
                <w:sz w:val="22"/>
                <w:szCs w:val="22"/>
              </w:rPr>
            </w:pPr>
            <w:r>
              <w:rPr>
                <w:rFonts w:hint="eastAsia" w:ascii="宋体" w:hAnsi="宋体" w:cs="宋体"/>
                <w:sz w:val="22"/>
                <w:szCs w:val="22"/>
              </w:rPr>
              <w:t>3.担保机构未被列为失信被执行人的证明材料（以在“中国执</w:t>
            </w:r>
          </w:p>
          <w:p>
            <w:pPr>
              <w:snapToGrid w:val="0"/>
              <w:spacing w:line="480" w:lineRule="exact"/>
              <w:rPr>
                <w:rFonts w:hint="eastAsia" w:ascii="宋体" w:hAnsi="宋体" w:cs="宋体"/>
                <w:sz w:val="22"/>
                <w:szCs w:val="22"/>
              </w:rPr>
            </w:pPr>
            <w:r>
              <w:rPr>
                <w:rFonts w:hint="eastAsia" w:ascii="宋体" w:hAnsi="宋体" w:cs="宋体"/>
                <w:sz w:val="22"/>
                <w:szCs w:val="22"/>
              </w:rPr>
              <w:t>行信息公开网”查询结果为准）。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1" w:type="dxa"/>
            <w:gridSpan w:val="3"/>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1" w:type="dxa"/>
            <w:gridSpan w:val="3"/>
            <w:vAlign w:val="center"/>
          </w:tcPr>
          <w:p>
            <w:pPr>
              <w:snapToGrid w:val="0"/>
              <w:spacing w:line="480" w:lineRule="exact"/>
              <w:jc w:val="left"/>
              <w:rPr>
                <w:rFonts w:hint="eastAsia" w:ascii="宋体" w:hAnsi="宋体" w:cs="宋体"/>
                <w:color w:val="000000"/>
                <w:sz w:val="22"/>
                <w:szCs w:val="22"/>
              </w:rPr>
            </w:pPr>
            <w:r>
              <w:rPr>
                <w:rFonts w:hint="eastAsia" w:ascii="宋体" w:hAnsi="宋体" w:cs="宋体"/>
                <w:color w:val="000000"/>
                <w:sz w:val="22"/>
                <w:szCs w:val="22"/>
              </w:rPr>
              <w:t>10.1</w:t>
            </w:r>
            <w:r>
              <w:rPr>
                <w:rFonts w:hint="eastAsia" w:ascii="宋体" w:hAnsi="宋体" w:cs="宋体"/>
                <w:bCs/>
                <w:snapToGrid w:val="0"/>
                <w:color w:val="000000"/>
                <w:kern w:val="0"/>
                <w:sz w:val="22"/>
                <w:szCs w:val="22"/>
              </w:rPr>
              <w:t xml:space="preserve"> 招标文件获取与通知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color w:val="000000"/>
                <w:sz w:val="22"/>
                <w:szCs w:val="22"/>
              </w:rPr>
              <w:t>10.1.1</w:t>
            </w:r>
          </w:p>
        </w:tc>
        <w:tc>
          <w:tcPr>
            <w:tcW w:w="1980" w:type="dxa"/>
            <w:vAlign w:val="center"/>
          </w:tcPr>
          <w:p>
            <w:pPr>
              <w:snapToGrid w:val="0"/>
              <w:spacing w:line="480" w:lineRule="exact"/>
              <w:jc w:val="center"/>
              <w:rPr>
                <w:rFonts w:hint="eastAsia" w:ascii="宋体" w:hAnsi="宋体" w:cs="宋体"/>
                <w:bCs/>
                <w:snapToGrid w:val="0"/>
                <w:color w:val="FF0000"/>
                <w:kern w:val="0"/>
                <w:sz w:val="22"/>
                <w:szCs w:val="22"/>
              </w:rPr>
            </w:pPr>
            <w:r>
              <w:rPr>
                <w:rFonts w:hint="eastAsia" w:ascii="宋体" w:hAnsi="宋体" w:cs="宋体"/>
                <w:bCs/>
                <w:snapToGrid w:val="0"/>
                <w:color w:val="000000"/>
                <w:kern w:val="0"/>
                <w:sz w:val="22"/>
                <w:szCs w:val="22"/>
              </w:rPr>
              <w:t>图纸获取说明</w:t>
            </w:r>
          </w:p>
        </w:tc>
        <w:tc>
          <w:tcPr>
            <w:tcW w:w="6757" w:type="dxa"/>
            <w:vAlign w:val="center"/>
          </w:tcPr>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本项目的图纸通过电子服务系统发布，投标人应自行下载。投标人应当及时登录电子服务系统查看。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10.1.2</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获取与查看通知</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本项目的招标文件、工程量清单及最高投标限价、澄清及修改等相关资料（如有）均通过电子服务系统发布，投标人应自行下载。投标人应当及时登录电子服务系统查看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10.1.3</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电子招标</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本项目采用电子招标投标方式，除招标文件另有规定外，电子招标投标操作要求详见本章附件《合肥市公共资源交易电子招标投标操作规程》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bCs/>
                <w:snapToGrid w:val="0"/>
                <w:color w:val="000000"/>
                <w:kern w:val="0"/>
                <w:sz w:val="22"/>
                <w:szCs w:val="22"/>
              </w:rPr>
              <w:t>10.2</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投标所需资料</w:t>
            </w:r>
          </w:p>
        </w:tc>
        <w:tc>
          <w:tcPr>
            <w:tcW w:w="6757" w:type="dxa"/>
            <w:vAlign w:val="center"/>
          </w:tcPr>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（1）对于编制投标文件时所需的资料，由投标人自行扫描后通过相应端口上传。投标文件总容量不超过 200M，投标人应自行考虑上传的投标文件大小，并完成投标文件的制作，防止缺项漏项。</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（2）投标人应及时查看上传的相关资料，如出现上传的相应投 标资料不全、模糊不清、超出有效期等情况，评标</w:t>
            </w:r>
            <w:r>
              <w:rPr>
                <w:rFonts w:hint="eastAsia" w:ascii="宋体" w:hAnsi="宋体" w:cs="宋体"/>
                <w:bCs/>
                <w:snapToGrid w:val="0"/>
                <w:color w:val="000000"/>
                <w:kern w:val="0"/>
                <w:sz w:val="22"/>
                <w:szCs w:val="22"/>
                <w:lang w:eastAsia="zh-CN"/>
              </w:rPr>
              <w:t>委员会将做</w:t>
            </w:r>
            <w:r>
              <w:rPr>
                <w:rFonts w:hint="eastAsia" w:ascii="宋体" w:hAnsi="宋体" w:cs="宋体"/>
                <w:bCs/>
                <w:snapToGrid w:val="0"/>
                <w:color w:val="000000"/>
                <w:kern w:val="0"/>
                <w:sz w:val="22"/>
                <w:szCs w:val="22"/>
              </w:rPr>
              <w:t xml:space="preserve"> 出对投标人不利的认定，由此产生的一切后果由投标人自行承担。</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（3）以上资料具体以第三章“评标办法”和第六章“投标文件</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格式”要求为准。</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（4）投标人提供</w:t>
            </w:r>
            <w:r>
              <w:rPr>
                <w:rFonts w:hint="eastAsia" w:ascii="宋体" w:hAnsi="宋体" w:cs="宋体"/>
                <w:bCs/>
                <w:snapToGrid w:val="0"/>
                <w:color w:val="000000"/>
                <w:kern w:val="0"/>
                <w:sz w:val="22"/>
                <w:szCs w:val="22"/>
                <w:lang w:eastAsia="zh-CN"/>
              </w:rPr>
              <w:t>的</w:t>
            </w:r>
            <w:r>
              <w:rPr>
                <w:rFonts w:hint="eastAsia" w:ascii="宋体" w:hAnsi="宋体" w:cs="宋体"/>
                <w:bCs/>
                <w:snapToGrid w:val="0"/>
                <w:color w:val="000000"/>
                <w:kern w:val="0"/>
                <w:sz w:val="22"/>
                <w:szCs w:val="22"/>
              </w:rPr>
              <w:t>营业执照、资质证书、安全生产许可证、安全生产考核合格证书、注册建造师证书、安全生产考核合格证书等证书证件应在有效期内，若法律法规或发证机构或相关主管部门另有规定的，从其规定，但投标人须在投标文件中提供发证机构或相关主管部门发布的相关证明材料，或经询标被</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评标委员会认定符合相关规定的，评标委员会应予以认可。</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（5）采用一级建造师投标的应符合《住房和城乡建设部办公厅关于全面实行一级建造师电子注册证书的通知》</w:t>
            </w:r>
            <w:r>
              <w:rPr>
                <w:rFonts w:hint="eastAsia" w:ascii="宋体" w:hAnsi="宋体" w:cs="宋体"/>
                <w:bCs/>
                <w:snapToGrid w:val="0"/>
                <w:color w:val="000000"/>
                <w:kern w:val="0"/>
                <w:sz w:val="22"/>
                <w:szCs w:val="22"/>
                <w:lang w:eastAsia="zh-CN"/>
              </w:rPr>
              <w:t>（</w:t>
            </w:r>
            <w:r>
              <w:rPr>
                <w:rFonts w:hint="eastAsia" w:ascii="宋体" w:hAnsi="宋体" w:cs="宋体"/>
                <w:bCs/>
                <w:snapToGrid w:val="0"/>
                <w:color w:val="000000"/>
                <w:kern w:val="0"/>
                <w:sz w:val="22"/>
                <w:szCs w:val="22"/>
              </w:rPr>
              <w:t>建办市〔2021〕40 号</w:t>
            </w:r>
            <w:r>
              <w:rPr>
                <w:rFonts w:hint="eastAsia" w:ascii="宋体" w:hAnsi="宋体" w:cs="宋体"/>
                <w:bCs/>
                <w:snapToGrid w:val="0"/>
                <w:color w:val="000000"/>
                <w:kern w:val="0"/>
                <w:sz w:val="22"/>
                <w:szCs w:val="22"/>
                <w:lang w:eastAsia="zh-CN"/>
              </w:rPr>
              <w:t>）</w:t>
            </w:r>
            <w:r>
              <w:rPr>
                <w:rFonts w:hint="eastAsia" w:ascii="宋体" w:hAnsi="宋体" w:cs="宋体"/>
                <w:bCs/>
                <w:snapToGrid w:val="0"/>
                <w:color w:val="000000"/>
                <w:kern w:val="0"/>
                <w:sz w:val="22"/>
                <w:szCs w:val="22"/>
              </w:rPr>
              <w:t>规定，投标文件应提供一级建造师电子注册证书，且应在个人签名处手写本人签名，未手写签名或与签名图像笔迹不一致的，该电子证书无效。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10.3</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评标过程中的澄清、说明或补正</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（1）评标委员会通过电子交易系统将需要澄清、说明或补正的内容以询标函的形式发送给投标人，投标人应安排专人登录电子交易系统并保持在线状态，以便及时接收评标委员会可能发出的询标函。</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（2）因投标人未登录电子交易系统导致无法及时接收询标函（远程网上询标）或未在规定时间内（从评标委员会发起远程网上询标至询标结束原则上为 15 分钟，具体时间要求以评标委员会通过电子交易系统发出的网上询标函为准）按评标委员会要求进行澄清、说明或补正内容的视同投标人放弃澄清、说明或补正内容的权利，评标委员会可按对投标人不利的解释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10.4</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招标代理服务费</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（1）中标人在领取中标通知书前须向招标代理机构缴纳招标代理服务费，可以银行转账、银行电汇方式。招标代理服务费以中标价为计算基数，参照国家计委计价格[2002]1980 号文规定收费标准的</w:t>
            </w:r>
            <w:r>
              <w:rPr>
                <w:rFonts w:hint="eastAsia" w:ascii="宋体" w:hAnsi="宋体" w:cs="宋体"/>
                <w:bCs/>
                <w:snapToGrid w:val="0"/>
                <w:color w:val="000000"/>
                <w:kern w:val="0"/>
                <w:sz w:val="22"/>
                <w:szCs w:val="22"/>
                <w:u w:val="single"/>
              </w:rPr>
              <w:t xml:space="preserve"> 30%计</w:t>
            </w:r>
            <w:r>
              <w:rPr>
                <w:rFonts w:hint="eastAsia" w:ascii="宋体" w:hAnsi="宋体" w:cs="宋体"/>
                <w:bCs/>
                <w:snapToGrid w:val="0"/>
                <w:color w:val="000000"/>
                <w:kern w:val="0"/>
                <w:sz w:val="22"/>
                <w:szCs w:val="22"/>
              </w:rPr>
              <w:t>取，投标人在报价单中不单列，包含在投标总价中，招标人不再单独计量支付。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10.5</w:t>
            </w:r>
          </w:p>
        </w:tc>
        <w:tc>
          <w:tcPr>
            <w:tcW w:w="1980" w:type="dxa"/>
            <w:vAlign w:val="center"/>
          </w:tcPr>
          <w:p>
            <w:pPr>
              <w:widowControl/>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本地化服务</w:t>
            </w:r>
          </w:p>
        </w:tc>
        <w:tc>
          <w:tcPr>
            <w:tcW w:w="6757" w:type="dxa"/>
            <w:vAlign w:val="center"/>
          </w:tcPr>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本项目是否要求本地化服务能力：☑要求   □不要求</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本地化服务的能力是指具有下列条件之一：</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（1）在合肥行政区域范围（含四县一市）具有固定的办公场所及人员；</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（2）投标人在合肥行政区域范围（含四县一市）注册成立的；</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（3）承诺中标即在合肥行政区域范围（含四县一市）设立服务机构，或委托相关单位作为服务机构；</w:t>
            </w:r>
          </w:p>
          <w:p>
            <w:pPr>
              <w:widowControl/>
              <w:snapToGrid w:val="0"/>
              <w:spacing w:line="480" w:lineRule="exact"/>
              <w:jc w:val="lef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10.6</w:t>
            </w:r>
          </w:p>
        </w:tc>
        <w:tc>
          <w:tcPr>
            <w:tcW w:w="1980" w:type="dxa"/>
            <w:vAlign w:val="center"/>
          </w:tcPr>
          <w:p>
            <w:pPr>
              <w:widowControl/>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投标专用章的效力</w:t>
            </w:r>
          </w:p>
        </w:tc>
        <w:tc>
          <w:tcPr>
            <w:tcW w:w="6757" w:type="dxa"/>
            <w:vAlign w:val="center"/>
          </w:tcPr>
          <w:p>
            <w:pPr>
              <w:spacing w:line="480" w:lineRule="exact"/>
              <w:rPr>
                <w:rFonts w:hint="eastAsia" w:ascii="宋体" w:hAnsi="宋体" w:cs="宋体"/>
                <w:b/>
                <w:color w:val="000000"/>
                <w:sz w:val="22"/>
                <w:szCs w:val="22"/>
              </w:rPr>
            </w:pPr>
            <w:r>
              <w:rPr>
                <w:rFonts w:hint="eastAsia" w:ascii="宋体" w:hAnsi="宋体" w:cs="宋体"/>
                <w:bCs/>
                <w:snapToGrid w:val="0"/>
                <w:color w:val="000000"/>
                <w:kern w:val="0"/>
                <w:sz w:val="22"/>
                <w:szCs w:val="22"/>
              </w:rPr>
              <w:t>招标文件中明确要求加盖单位章的，投标人必须加盖投标人单位章。在有授权文件表明投标专用章法律效力等同于投标人单位章的情况下，可以加盖投标专用章，否则将导致投标无效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color w:val="000000"/>
                <w:sz w:val="22"/>
                <w:szCs w:val="22"/>
              </w:rPr>
            </w:pPr>
            <w:r>
              <w:rPr>
                <w:rFonts w:hint="eastAsia" w:ascii="宋体" w:hAnsi="宋体" w:cs="宋体"/>
                <w:bCs/>
                <w:snapToGrid w:val="0"/>
                <w:color w:val="000000"/>
                <w:kern w:val="0"/>
                <w:sz w:val="22"/>
                <w:szCs w:val="22"/>
              </w:rPr>
              <w:t>10.7</w:t>
            </w:r>
          </w:p>
        </w:tc>
        <w:tc>
          <w:tcPr>
            <w:tcW w:w="1980"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其他</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投标人对所提交的投标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合肥市公共资源交易监督管理局）依法处理</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（2）招标人和中标人未履行下述义务的，合肥市公共资源交易监督管理局将依法对招标人和中标人进行处理，追究相关责任：</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①招标文件载明在规定期限内中标人应领取《中标通知书》，若中标人未在规定期限内领取《中标通知书》，招标人有权取消中标人中标资格，并将相关违约行为报送监管部门，实施信用惩戒；</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②中标人应在规定期限内提交履约担保并与招标人签订合同，若中标人未能在规定期限内提交履约担保或签订合同，招标人有权取消中标人中标资格，并将相关违约行为报送监管部门，实施信用惩戒；</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③合同签订后，中标人存在规定时间内不组织人员进场开工、不履行供货安装义务等情况，招标人有权解除合同，并追究违约责任，同时将相关违约行为报送监管部门，记不良行为记录，实施信用惩戒；</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④中标人中标后被监管部门查实存在违法行为，不满足中标条件的，由招标人取消中标资格，并做好项目后续工作；</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⑤中标人在中标项目发生投诉、信访举报案件、履约存在争议时，拒绝协助配合执法部门调查案件的，招标人可以取消其中标资格或解除合同，并追究其违约责任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10.8</w:t>
            </w:r>
          </w:p>
        </w:tc>
        <w:tc>
          <w:tcPr>
            <w:tcW w:w="1980"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同义词语</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构成招标文件组成部分的“通用合同条款</w:t>
            </w:r>
            <w:r>
              <w:rPr>
                <w:rFonts w:hint="eastAsia" w:ascii="宋体" w:hAnsi="宋体" w:cs="宋体"/>
                <w:color w:val="000000"/>
                <w:sz w:val="22"/>
                <w:szCs w:val="22"/>
                <w:lang w:eastAsia="zh-CN"/>
              </w:rPr>
              <w:t>”“</w:t>
            </w:r>
            <w:r>
              <w:rPr>
                <w:rFonts w:hint="eastAsia" w:ascii="宋体" w:hAnsi="宋体" w:cs="宋体"/>
                <w:color w:val="000000"/>
                <w:sz w:val="22"/>
                <w:szCs w:val="22"/>
              </w:rPr>
              <w:t>专用合同条款”</w:t>
            </w:r>
            <w:r>
              <w:rPr>
                <w:rFonts w:hint="eastAsia" w:ascii="宋体" w:hAnsi="宋体" w:cs="宋体"/>
                <w:color w:val="000000"/>
                <w:sz w:val="22"/>
                <w:szCs w:val="22"/>
                <w:lang w:eastAsia="zh-CN"/>
              </w:rPr>
              <w:t>等</w:t>
            </w:r>
            <w:r>
              <w:rPr>
                <w:rFonts w:hint="eastAsia" w:ascii="宋体" w:hAnsi="宋体" w:cs="宋体"/>
                <w:color w:val="000000"/>
                <w:sz w:val="22"/>
                <w:szCs w:val="22"/>
              </w:rPr>
              <w:t>章节中“买方”和“卖方”，等同于招标投标阶段的“招标人”和“投标人/中标人”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10.9</w:t>
            </w:r>
          </w:p>
        </w:tc>
        <w:tc>
          <w:tcPr>
            <w:tcW w:w="1980" w:type="dxa"/>
            <w:vAlign w:val="center"/>
          </w:tcPr>
          <w:p>
            <w:pPr>
              <w:snapToGrid w:val="0"/>
              <w:spacing w:line="480" w:lineRule="exact"/>
              <w:jc w:val="center"/>
              <w:rPr>
                <w:rFonts w:hint="eastAsia" w:ascii="宋体" w:hAnsi="宋体" w:cs="宋体"/>
                <w:color w:val="0000FF"/>
                <w:sz w:val="22"/>
                <w:szCs w:val="22"/>
              </w:rPr>
            </w:pPr>
            <w:r>
              <w:rPr>
                <w:rFonts w:hint="eastAsia" w:ascii="宋体" w:hAnsi="宋体" w:cs="宋体"/>
                <w:color w:val="000000"/>
                <w:sz w:val="22"/>
                <w:szCs w:val="22"/>
              </w:rPr>
              <w:t>解释权</w:t>
            </w:r>
          </w:p>
        </w:tc>
        <w:tc>
          <w:tcPr>
            <w:tcW w:w="6757" w:type="dxa"/>
            <w:vAlign w:val="center"/>
          </w:tcPr>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（1）构成本招标文件的各个组成文件应互为解释，互为说明；</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（2）同一组成文件中就同一事项的规定或约定不一致的，以编排顺序在后者为准；</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（3）如有不明确或不一致，构成合同文件组成内容的，以合同文件约定内容为准，且以专用合同条款约定的合同文件优先顺序解释；</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（4）除招标文件中有特别规定外，仅适用于招标投标阶段的规定，按招标公告、投标人须知、评标办法、投标文件格式的先后顺序解释；</w:t>
            </w:r>
          </w:p>
          <w:p>
            <w:pPr>
              <w:snapToGrid w:val="0"/>
              <w:spacing w:line="480" w:lineRule="exact"/>
              <w:rPr>
                <w:rFonts w:hint="eastAsia" w:ascii="宋体" w:hAnsi="宋体" w:cs="宋体"/>
                <w:color w:val="000000"/>
                <w:sz w:val="22"/>
                <w:szCs w:val="22"/>
              </w:rPr>
            </w:pPr>
            <w:r>
              <w:rPr>
                <w:rFonts w:hint="eastAsia" w:ascii="宋体" w:hAnsi="宋体" w:cs="宋体"/>
                <w:color w:val="000000"/>
                <w:sz w:val="22"/>
                <w:szCs w:val="22"/>
              </w:rPr>
              <w:t>（5）按本款前述规定仍不能形成结论的，由招标人负责解释。招标人可以授权评委会根据招标文件及现行招标投标法律法规及政府采购有关法律研究解决。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FF"/>
                <w:kern w:val="0"/>
                <w:sz w:val="22"/>
                <w:szCs w:val="22"/>
              </w:rPr>
            </w:pPr>
            <w:r>
              <w:rPr>
                <w:rFonts w:hint="eastAsia" w:ascii="宋体" w:hAnsi="宋体" w:cs="宋体"/>
                <w:bCs/>
                <w:snapToGrid w:val="0"/>
                <w:color w:val="000000"/>
                <w:kern w:val="0"/>
                <w:sz w:val="22"/>
                <w:szCs w:val="22"/>
              </w:rPr>
              <w:t>10.10</w:t>
            </w:r>
          </w:p>
        </w:tc>
        <w:tc>
          <w:tcPr>
            <w:tcW w:w="8737" w:type="dxa"/>
            <w:gridSpan w:val="2"/>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10.10.1</w:t>
            </w:r>
          </w:p>
        </w:tc>
        <w:tc>
          <w:tcPr>
            <w:tcW w:w="1980"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付款方式</w:t>
            </w:r>
          </w:p>
        </w:tc>
        <w:tc>
          <w:tcPr>
            <w:tcW w:w="6757" w:type="dxa"/>
            <w:vAlign w:val="center"/>
          </w:tcPr>
          <w:p>
            <w:pPr>
              <w:numPr>
                <w:ilvl w:val="0"/>
                <w:numId w:val="3"/>
              </w:numPr>
              <w:snapToGrid w:val="0"/>
              <w:spacing w:line="480" w:lineRule="exact"/>
              <w:rPr>
                <w:rFonts w:hint="eastAsia" w:ascii="宋体" w:hAnsi="宋体" w:cs="宋体"/>
                <w:bCs/>
                <w:snapToGrid w:val="0"/>
                <w:kern w:val="0"/>
                <w:sz w:val="22"/>
                <w:szCs w:val="22"/>
              </w:rPr>
            </w:pPr>
            <w:r>
              <w:rPr>
                <w:rFonts w:hint="eastAsia" w:ascii="宋体" w:hAnsi="宋体" w:cs="宋体"/>
                <w:bCs/>
                <w:snapToGrid w:val="0"/>
                <w:kern w:val="0"/>
                <w:sz w:val="22"/>
                <w:szCs w:val="22"/>
              </w:rPr>
              <w:t>货按批次到工地，经建设单位、总包单位、监理单位验收合格后付至该批次货款的80%；</w:t>
            </w:r>
          </w:p>
          <w:p>
            <w:pPr>
              <w:numPr>
                <w:ilvl w:val="0"/>
                <w:numId w:val="3"/>
              </w:numPr>
              <w:snapToGrid w:val="0"/>
              <w:spacing w:line="480" w:lineRule="exact"/>
              <w:rPr>
                <w:rFonts w:hint="eastAsia" w:ascii="宋体" w:hAnsi="宋体" w:cs="宋体"/>
                <w:bCs/>
                <w:snapToGrid w:val="0"/>
                <w:kern w:val="0"/>
                <w:sz w:val="22"/>
                <w:szCs w:val="22"/>
              </w:rPr>
            </w:pPr>
            <w:r>
              <w:rPr>
                <w:rFonts w:hint="eastAsia" w:ascii="宋体" w:hAnsi="宋体" w:cs="宋体"/>
                <w:bCs/>
                <w:snapToGrid w:val="0"/>
                <w:kern w:val="0"/>
                <w:sz w:val="22"/>
                <w:szCs w:val="22"/>
              </w:rPr>
              <w:t>安装完成验收合格88%；</w:t>
            </w:r>
          </w:p>
          <w:p>
            <w:pPr>
              <w:numPr>
                <w:ilvl w:val="0"/>
                <w:numId w:val="3"/>
              </w:num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kern w:val="0"/>
                <w:sz w:val="22"/>
                <w:szCs w:val="22"/>
              </w:rPr>
              <w:t>项目竣工验收合格、移交后付至总货款的93%；</w:t>
            </w:r>
          </w:p>
          <w:p>
            <w:pPr>
              <w:numPr>
                <w:ilvl w:val="0"/>
                <w:numId w:val="3"/>
              </w:numPr>
              <w:snapToGrid w:val="0"/>
              <w:spacing w:line="480" w:lineRule="exact"/>
              <w:rPr>
                <w:rFonts w:hint="eastAsia" w:ascii="宋体" w:hAnsi="宋体" w:cs="宋体"/>
                <w:bCs/>
                <w:snapToGrid w:val="0"/>
                <w:kern w:val="0"/>
                <w:sz w:val="22"/>
                <w:szCs w:val="22"/>
              </w:rPr>
            </w:pPr>
            <w:r>
              <w:rPr>
                <w:rFonts w:hint="eastAsia" w:ascii="宋体" w:hAnsi="宋体" w:cs="宋体"/>
                <w:bCs/>
                <w:snapToGrid w:val="0"/>
                <w:kern w:val="0"/>
                <w:sz w:val="22"/>
                <w:szCs w:val="22"/>
              </w:rPr>
              <w:t>工程结算审计且总承包工程备案完成，供货人根据结算金额开具100%全额发票后付至结算价的 97%，余款 3%作为质保金待质保期满后一次性付清（无息）。</w:t>
            </w:r>
          </w:p>
          <w:p>
            <w:pPr>
              <w:snapToGrid w:val="0"/>
              <w:spacing w:line="480" w:lineRule="exact"/>
              <w:rPr>
                <w:rFonts w:hint="eastAsia" w:ascii="宋体" w:hAnsi="宋体" w:cs="宋体"/>
                <w:bCs/>
                <w:snapToGrid w:val="0"/>
                <w:color w:val="0000FF"/>
                <w:kern w:val="0"/>
                <w:sz w:val="22"/>
                <w:szCs w:val="22"/>
              </w:rPr>
            </w:pPr>
            <w:r>
              <w:rPr>
                <w:rFonts w:hint="eastAsia" w:ascii="宋体" w:hAnsi="宋体" w:cs="宋体"/>
                <w:bCs/>
                <w:snapToGrid w:val="0"/>
                <w:color w:val="0000FF"/>
                <w:kern w:val="0"/>
                <w:sz w:val="22"/>
                <w:szCs w:val="22"/>
              </w:rPr>
              <w:t>备注：</w:t>
            </w:r>
          </w:p>
          <w:p>
            <w:pPr>
              <w:snapToGrid w:val="0"/>
              <w:spacing w:line="480" w:lineRule="exact"/>
              <w:rPr>
                <w:rFonts w:hint="eastAsia" w:ascii="宋体" w:hAnsi="宋体" w:cs="宋体"/>
                <w:bCs/>
                <w:snapToGrid w:val="0"/>
                <w:color w:val="0000FF"/>
                <w:kern w:val="0"/>
                <w:sz w:val="22"/>
                <w:szCs w:val="22"/>
              </w:rPr>
            </w:pPr>
            <w:r>
              <w:rPr>
                <w:rFonts w:hint="eastAsia" w:ascii="宋体" w:hAnsi="宋体" w:cs="宋体"/>
                <w:bCs/>
                <w:snapToGrid w:val="0"/>
                <w:color w:val="0000FF"/>
                <w:kern w:val="0"/>
                <w:sz w:val="22"/>
                <w:szCs w:val="22"/>
              </w:rPr>
              <w:t>（1）中标人应按招标人要求出具符合国家税务规定的合法有效的增值税专用发票，并确保开具发票的真实性、合法性、有效性（发票，必须保持票面干净、整洁、无折痕，发票的正反两面均不能留下任何脏、乱及签字的痕迹）；如税率发生变化，结算以中标不含税价款为依据，按国家税收政策计算以及相应造价管理部门的造价管理办法进行结算。</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FF"/>
                <w:kern w:val="0"/>
                <w:sz w:val="22"/>
                <w:szCs w:val="22"/>
              </w:rPr>
              <w:t>（2）投标人承诺延长免费质保期时间的，免费质保期以承诺为准。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10.10.2</w:t>
            </w:r>
          </w:p>
        </w:tc>
        <w:tc>
          <w:tcPr>
            <w:tcW w:w="1980" w:type="dxa"/>
            <w:vAlign w:val="center"/>
          </w:tcPr>
          <w:p>
            <w:pPr>
              <w:snapToGrid w:val="0"/>
              <w:spacing w:line="480" w:lineRule="exact"/>
              <w:jc w:val="center"/>
              <w:rPr>
                <w:rFonts w:hint="eastAsia" w:ascii="宋体" w:hAnsi="宋体" w:cs="宋体"/>
                <w:bCs/>
                <w:snapToGrid w:val="0"/>
                <w:color w:val="000000"/>
                <w:kern w:val="0"/>
                <w:sz w:val="22"/>
                <w:szCs w:val="22"/>
              </w:rPr>
            </w:pP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1.因电子服务系统或电子交易系统出现软件设计或功能缺陷、运行异常等情况，可能影响招投标活动公平、公正进行的，招标人（或招标代理机构）有权中止或终止招投标活动，招投标各方免责。</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投标人投标文件中填报人员及投标人按招标文件提出的最低要求填报派驻投标标段的其他管理和技术人员，经招标人审核后不得进行更换。除非招标文件另有约定，投标人派驻投标标段的项目负责人及项目管理机构主要人员均应为投标单位在职人员（不含外聘人员、返聘人员、临时聘用人员），否则招标人有权取消其中标资格。</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3.唱标信息内容与投标函中不一致的，以投标函中内容为准。</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4.涂料使用管理执行《合肥市人民政府办公室关于印发 2020 年臭氧污染防治攻坚行动方案的通知》</w:t>
            </w:r>
            <w:r>
              <w:rPr>
                <w:rFonts w:hint="eastAsia" w:ascii="宋体" w:hAnsi="宋体" w:cs="宋体"/>
                <w:bCs/>
                <w:snapToGrid w:val="0"/>
                <w:color w:val="000000"/>
                <w:kern w:val="0"/>
                <w:sz w:val="22"/>
                <w:szCs w:val="22"/>
                <w:lang w:eastAsia="zh-CN"/>
              </w:rPr>
              <w:t>（</w:t>
            </w:r>
            <w:r>
              <w:rPr>
                <w:rFonts w:hint="eastAsia" w:ascii="宋体" w:hAnsi="宋体" w:cs="宋体"/>
                <w:bCs/>
                <w:snapToGrid w:val="0"/>
                <w:color w:val="000000"/>
                <w:kern w:val="0"/>
                <w:sz w:val="22"/>
                <w:szCs w:val="22"/>
              </w:rPr>
              <w:t>合政办[2020]37 号文件</w:t>
            </w:r>
            <w:r>
              <w:rPr>
                <w:rFonts w:hint="eastAsia" w:ascii="宋体" w:hAnsi="宋体" w:cs="宋体"/>
                <w:bCs/>
                <w:snapToGrid w:val="0"/>
                <w:color w:val="000000"/>
                <w:kern w:val="0"/>
                <w:sz w:val="22"/>
                <w:szCs w:val="22"/>
                <w:lang w:eastAsia="zh-CN"/>
              </w:rPr>
              <w:t>）</w:t>
            </w:r>
            <w:r>
              <w:rPr>
                <w:rFonts w:hint="eastAsia" w:ascii="宋体" w:hAnsi="宋体" w:cs="宋体"/>
                <w:bCs/>
                <w:snapToGrid w:val="0"/>
                <w:color w:val="000000"/>
                <w:kern w:val="0"/>
                <w:sz w:val="22"/>
                <w:szCs w:val="22"/>
              </w:rPr>
              <w:t>。</w:t>
            </w:r>
          </w:p>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w:t>
            </w:r>
            <w:r>
              <w:rPr>
                <w:rFonts w:hint="eastAsia" w:ascii="宋体" w:hAnsi="宋体" w:cs="宋体"/>
                <w:b/>
                <w:snapToGrid w:val="0"/>
                <w:color w:val="000000"/>
                <w:kern w:val="0"/>
                <w:sz w:val="22"/>
                <w:szCs w:val="22"/>
              </w:rPr>
              <w:t>为有助于投标人选择投标产品，如供货要求中提供了推荐品牌（或型号）、参考品牌（或型号）等，上述品牌（或型号）仅供参考，并无限制性，投标人可以选择性能不低于推荐（或参考）的品牌（或型号）的其他品牌产品；采用其他品牌（或型号）的应在投标文件中《技术条款偏差表》中注明并提供有关技术性能指标证明资料等供评标委员会评审，未在《技术条款偏差表》中注明且未提供有关技术性能指标证明资料，或经评标委员会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10.10.3</w:t>
            </w:r>
          </w:p>
        </w:tc>
        <w:tc>
          <w:tcPr>
            <w:tcW w:w="1980"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免费质保期</w:t>
            </w:r>
          </w:p>
        </w:tc>
        <w:tc>
          <w:tcPr>
            <w:tcW w:w="6757" w:type="dxa"/>
            <w:vAlign w:val="center"/>
          </w:tcPr>
          <w:p>
            <w:pPr>
              <w:snapToGrid w:val="0"/>
              <w:spacing w:line="480" w:lineRule="exact"/>
              <w:rPr>
                <w:rFonts w:hint="eastAsia" w:ascii="宋体" w:hAnsi="宋体" w:cs="宋体"/>
                <w:bCs/>
                <w:snapToGrid w:val="0"/>
                <w:color w:val="000000"/>
                <w:kern w:val="0"/>
                <w:sz w:val="22"/>
                <w:szCs w:val="22"/>
              </w:rPr>
            </w:pPr>
            <w:r>
              <w:rPr>
                <w:rFonts w:hint="eastAsia" w:ascii="宋体" w:hAnsi="宋体" w:cs="宋体"/>
                <w:bCs/>
                <w:snapToGrid w:val="0"/>
                <w:kern w:val="0"/>
                <w:sz w:val="22"/>
                <w:szCs w:val="22"/>
                <w:highlight w:val="yellow"/>
              </w:rPr>
              <w:t>自验收合格之日起不少于2年。中标人承诺延长免费质保期时间的，免费质保期以承诺为准。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 w:type="dxa"/>
            <w:vAlign w:val="center"/>
          </w:tcPr>
          <w:p>
            <w:pPr>
              <w:snapToGrid w:val="0"/>
              <w:spacing w:line="480" w:lineRule="exact"/>
              <w:jc w:val="center"/>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10.10.4</w:t>
            </w:r>
          </w:p>
        </w:tc>
        <w:tc>
          <w:tcPr>
            <w:tcW w:w="1980" w:type="dxa"/>
            <w:vAlign w:val="center"/>
          </w:tcPr>
          <w:p>
            <w:pPr>
              <w:suppressAutoHyphens/>
              <w:autoSpaceDE w:val="0"/>
              <w:autoSpaceDN w:val="0"/>
              <w:spacing w:line="480" w:lineRule="exact"/>
              <w:jc w:val="center"/>
              <w:rPr>
                <w:rFonts w:hint="eastAsia" w:ascii="宋体" w:hAnsi="宋体" w:cs="宋体"/>
                <w:bCs/>
                <w:snapToGrid w:val="0"/>
                <w:color w:val="000000"/>
                <w:kern w:val="0"/>
                <w:sz w:val="22"/>
                <w:szCs w:val="22"/>
              </w:rPr>
            </w:pPr>
            <w:r>
              <w:rPr>
                <w:rFonts w:hint="eastAsia" w:ascii="宋体" w:hAnsi="宋体" w:cs="宋体"/>
                <w:kern w:val="0"/>
                <w:sz w:val="22"/>
                <w:szCs w:val="22"/>
                <w:lang w:val="zh-CN"/>
              </w:rPr>
              <w:t>参考品牌</w:t>
            </w:r>
          </w:p>
        </w:tc>
        <w:tc>
          <w:tcPr>
            <w:tcW w:w="6757" w:type="dxa"/>
            <w:vAlign w:val="center"/>
          </w:tcPr>
          <w:p>
            <w:pPr>
              <w:suppressAutoHyphens/>
              <w:autoSpaceDE w:val="0"/>
              <w:autoSpaceDN w:val="0"/>
              <w:spacing w:line="480" w:lineRule="exact"/>
              <w:jc w:val="left"/>
              <w:rPr>
                <w:rFonts w:hint="eastAsia" w:ascii="宋体" w:hAnsi="宋体" w:cs="宋体"/>
                <w:kern w:val="0"/>
                <w:sz w:val="22"/>
                <w:szCs w:val="22"/>
                <w:highlight w:val="yellow"/>
                <w:lang w:val="zh-CN"/>
              </w:rPr>
            </w:pPr>
            <w:r>
              <w:rPr>
                <w:rFonts w:hint="eastAsia" w:ascii="宋体" w:hAnsi="宋体" w:cs="宋体"/>
                <w:kern w:val="0"/>
                <w:sz w:val="22"/>
                <w:szCs w:val="22"/>
                <w:highlight w:val="yellow"/>
                <w:lang w:val="zh-CN"/>
              </w:rPr>
              <w:t>1.招标人针对本项目使用主要材料/设备推荐了参考品牌（见第五章供货需求：推荐品牌），投标人在招投标及履约过程中，应严格按附件内容执行，否则应按此前附表的10.</w:t>
            </w:r>
            <w:r>
              <w:rPr>
                <w:rFonts w:hint="eastAsia" w:ascii="宋体" w:hAnsi="宋体" w:cs="宋体"/>
                <w:kern w:val="0"/>
                <w:sz w:val="22"/>
                <w:szCs w:val="22"/>
                <w:highlight w:val="yellow"/>
              </w:rPr>
              <w:t>10.4</w:t>
            </w:r>
            <w:r>
              <w:rPr>
                <w:rFonts w:hint="eastAsia" w:ascii="宋体" w:hAnsi="宋体" w:cs="宋体"/>
                <w:kern w:val="0"/>
                <w:sz w:val="22"/>
                <w:szCs w:val="22"/>
                <w:highlight w:val="yellow"/>
                <w:lang w:val="zh-CN"/>
              </w:rPr>
              <w:t>项第2款规定处罚。</w:t>
            </w:r>
          </w:p>
          <w:p>
            <w:pPr>
              <w:suppressAutoHyphens/>
              <w:autoSpaceDE w:val="0"/>
              <w:autoSpaceDN w:val="0"/>
              <w:spacing w:line="480" w:lineRule="exact"/>
              <w:jc w:val="left"/>
              <w:rPr>
                <w:rFonts w:hint="eastAsia" w:ascii="宋体" w:hAnsi="宋体" w:cs="宋体"/>
                <w:kern w:val="0"/>
                <w:sz w:val="22"/>
                <w:szCs w:val="22"/>
                <w:highlight w:val="yellow"/>
                <w:lang w:val="zh-CN"/>
              </w:rPr>
            </w:pPr>
            <w:r>
              <w:rPr>
                <w:rFonts w:hint="eastAsia" w:ascii="宋体" w:hAnsi="宋体" w:cs="宋体"/>
                <w:kern w:val="0"/>
                <w:sz w:val="22"/>
                <w:szCs w:val="22"/>
                <w:lang w:val="zh-CN"/>
              </w:rPr>
              <w:t>2.招标人有权在中标通知书发出后的任何时间，组织相关专家对中标人投标时所提供的品牌、产品技术标准、质量证明材料进行检查检测论证。中标人必须按招标文件中注明的品牌名称、技术参数报经招标人同意后再进行施工，且中标价格不作调整。</w:t>
            </w:r>
            <w:r>
              <w:rPr>
                <w:rFonts w:hint="eastAsia" w:ascii="宋体" w:hAnsi="宋体" w:cs="宋体"/>
                <w:kern w:val="0"/>
                <w:sz w:val="22"/>
                <w:szCs w:val="22"/>
                <w:highlight w:val="yellow"/>
                <w:lang w:val="zh-CN"/>
              </w:rPr>
              <w:t>如发现投标人所提供的其他品牌产品不满足招标文件所规定的相关要求，招标人将书面通知中标人，并对中标人处以2万元的违约处罚；同时招标人有权取消其中标资格、解除合同、扣除相应保证金，报请政府主管部门给予不良行为记录，要求中标人承担相应的法律责任并赔偿招标人一切损失。</w:t>
            </w:r>
          </w:p>
          <w:p>
            <w:pPr>
              <w:suppressAutoHyphens/>
              <w:autoSpaceDE w:val="0"/>
              <w:autoSpaceDN w:val="0"/>
              <w:spacing w:line="480" w:lineRule="exact"/>
              <w:jc w:val="left"/>
              <w:rPr>
                <w:rFonts w:hint="eastAsia" w:ascii="宋体" w:hAnsi="宋体" w:cs="宋体"/>
                <w:kern w:val="0"/>
                <w:sz w:val="22"/>
                <w:szCs w:val="22"/>
                <w:highlight w:val="yellow"/>
                <w:lang w:val="zh-CN"/>
              </w:rPr>
            </w:pPr>
            <w:r>
              <w:rPr>
                <w:rFonts w:hint="eastAsia" w:ascii="宋体" w:hAnsi="宋体" w:cs="宋体"/>
                <w:kern w:val="0"/>
                <w:sz w:val="22"/>
                <w:szCs w:val="22"/>
                <w:highlight w:val="yellow"/>
                <w:lang w:val="zh-CN"/>
              </w:rPr>
              <w:t>注：</w:t>
            </w:r>
          </w:p>
          <w:p>
            <w:pPr>
              <w:suppressAutoHyphens/>
              <w:autoSpaceDE w:val="0"/>
              <w:autoSpaceDN w:val="0"/>
              <w:spacing w:line="480" w:lineRule="exact"/>
              <w:jc w:val="left"/>
              <w:rPr>
                <w:rFonts w:hint="eastAsia" w:ascii="宋体" w:hAnsi="宋体" w:cs="宋体"/>
                <w:kern w:val="0"/>
                <w:sz w:val="22"/>
                <w:szCs w:val="22"/>
                <w:highlight w:val="yellow"/>
                <w:lang w:val="zh-CN"/>
              </w:rPr>
            </w:pPr>
            <w:r>
              <w:rPr>
                <w:rFonts w:hint="eastAsia" w:ascii="宋体" w:hAnsi="宋体" w:cs="宋体"/>
                <w:kern w:val="0"/>
                <w:sz w:val="22"/>
                <w:szCs w:val="22"/>
                <w:highlight w:val="yellow"/>
                <w:lang w:val="zh-CN"/>
              </w:rPr>
              <w:t>（1）中标人必须无条件服从招标人组织的专家论证结果。</w:t>
            </w:r>
          </w:p>
          <w:p>
            <w:pPr>
              <w:suppressAutoHyphens/>
              <w:autoSpaceDE w:val="0"/>
              <w:autoSpaceDN w:val="0"/>
              <w:spacing w:line="480" w:lineRule="exact"/>
              <w:jc w:val="left"/>
              <w:rPr>
                <w:rFonts w:hint="eastAsia" w:ascii="宋体" w:hAnsi="宋体" w:cs="宋体"/>
                <w:kern w:val="0"/>
                <w:sz w:val="22"/>
                <w:szCs w:val="22"/>
                <w:highlight w:val="yellow"/>
                <w:lang w:val="zh-CN"/>
              </w:rPr>
            </w:pPr>
            <w:r>
              <w:rPr>
                <w:rFonts w:hint="eastAsia" w:ascii="宋体" w:hAnsi="宋体" w:cs="宋体"/>
                <w:kern w:val="0"/>
                <w:sz w:val="22"/>
                <w:szCs w:val="22"/>
                <w:highlight w:val="yellow"/>
                <w:lang w:val="zh-CN"/>
              </w:rPr>
              <w:t>（2）由投标人使用其他品牌导致的设计变化，由其负责更改深化，由此导致的工程变更费用增加和工期延误的，责任由投标人自行承担，由此导致的工程变更费用减少，工程款据实结算。</w:t>
            </w:r>
          </w:p>
          <w:p>
            <w:pPr>
              <w:suppressAutoHyphens/>
              <w:autoSpaceDE w:val="0"/>
              <w:autoSpaceDN w:val="0"/>
              <w:spacing w:line="480" w:lineRule="exact"/>
              <w:jc w:val="left"/>
              <w:rPr>
                <w:rFonts w:hint="eastAsia" w:ascii="宋体" w:hAnsi="宋体" w:cs="宋体"/>
                <w:bCs/>
                <w:snapToGrid w:val="0"/>
                <w:color w:val="FF0000"/>
                <w:kern w:val="0"/>
                <w:sz w:val="22"/>
                <w:szCs w:val="22"/>
              </w:rPr>
            </w:pPr>
            <w:r>
              <w:rPr>
                <w:rFonts w:hint="eastAsia" w:ascii="宋体" w:hAnsi="宋体" w:cs="宋体"/>
                <w:kern w:val="0"/>
                <w:sz w:val="22"/>
                <w:szCs w:val="22"/>
                <w:lang w:val="zh-CN"/>
              </w:rPr>
              <w:t>3.本次招标如发生其他不可抗力的因素而终止，不管是在开标前或开标后，招标人和招标代理机构将不承担任何投标人的任何费用。投标人产生的任何费用均由投标人自行承担。</w:t>
            </w:r>
          </w:p>
        </w:tc>
      </w:tr>
      <w:bookmarkEnd w:id="2"/>
    </w:tbl>
    <w:p>
      <w:pPr>
        <w:pStyle w:val="3"/>
        <w:jc w:val="center"/>
        <w:rPr>
          <w:rFonts w:hint="eastAsia" w:ascii="Times New Roman" w:hAnsi="Times New Roman" w:eastAsia="黑体"/>
          <w:b w:val="0"/>
        </w:rPr>
      </w:pPr>
      <w:r>
        <w:rPr>
          <w:rFonts w:ascii="Times New Roman" w:hAnsi="Times New Roman" w:eastAsia="黑体"/>
          <w:color w:val="000000"/>
          <w:sz w:val="28"/>
          <w:szCs w:val="28"/>
        </w:rPr>
        <w:br w:type="page"/>
      </w:r>
      <w:bookmarkStart w:id="3" w:name="_Toc460660062"/>
      <w:bookmarkStart w:id="4" w:name="_Toc283798416"/>
      <w:bookmarkStart w:id="5" w:name="_Toc26781048"/>
      <w:bookmarkStart w:id="6" w:name="_Toc421916975"/>
      <w:bookmarkStart w:id="7" w:name="_Toc11078137"/>
      <w:bookmarkStart w:id="8" w:name="_Toc460226720"/>
      <w:bookmarkStart w:id="9" w:name="_Toc460226989"/>
      <w:bookmarkStart w:id="10" w:name="_Toc184635071"/>
      <w:r>
        <w:rPr>
          <w:rFonts w:hint="eastAsia" w:ascii="Times New Roman" w:hAnsi="Times New Roman" w:eastAsia="黑体"/>
          <w:b w:val="0"/>
        </w:rPr>
        <w:t>附录1  资格审查条件</w:t>
      </w:r>
      <w:r>
        <w:rPr>
          <w:rFonts w:hint="eastAsia" w:ascii="Times New Roman" w:hAnsi="Times New Roman" w:eastAsia="黑体"/>
          <w:b w:val="0"/>
          <w:lang w:eastAsia="zh-CN"/>
        </w:rPr>
        <w:t>（</w:t>
      </w:r>
      <w:r>
        <w:rPr>
          <w:rFonts w:hint="eastAsia" w:ascii="Times New Roman" w:hAnsi="Times New Roman" w:eastAsia="黑体"/>
          <w:b w:val="0"/>
        </w:rPr>
        <w:t>资质最低条件</w:t>
      </w:r>
      <w:r>
        <w:rPr>
          <w:rFonts w:hint="eastAsia" w:ascii="Times New Roman" w:hAnsi="Times New Roman" w:eastAsia="黑体"/>
          <w:b w:val="0"/>
          <w:lang w:eastAsia="zh-CN"/>
        </w:rPr>
        <w:t>）</w:t>
      </w:r>
      <w:bookmarkEnd w:id="3"/>
      <w:bookmarkEnd w:id="4"/>
      <w:bookmarkEnd w:id="5"/>
      <w:bookmarkEnd w:id="6"/>
      <w:bookmarkEnd w:id="7"/>
      <w:bookmarkEnd w:id="8"/>
      <w:bookmarkEnd w:id="9"/>
    </w:p>
    <w:tbl>
      <w:tblPr>
        <w:tblStyle w:val="55"/>
        <w:tblW w:w="4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jc w:val="center"/>
              <w:rPr>
                <w:rFonts w:hint="eastAsia" w:ascii="Times New Roman" w:hAnsi="Times New Roman"/>
                <w:b/>
                <w:bCs/>
                <w:sz w:val="22"/>
              </w:rPr>
            </w:pPr>
            <w:r>
              <w:rPr>
                <w:rFonts w:hint="eastAsia" w:ascii="Times New Roman" w:hAnsi="Times New Roman"/>
                <w:b/>
                <w:bCs/>
                <w:sz w:val="22"/>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5000" w:type="pct"/>
            <w:tcBorders>
              <w:top w:val="single" w:color="auto" w:sz="4" w:space="0"/>
              <w:left w:val="single" w:color="auto" w:sz="4" w:space="0"/>
              <w:bottom w:val="single" w:color="auto" w:sz="4" w:space="0"/>
              <w:right w:val="single" w:color="auto" w:sz="4" w:space="0"/>
            </w:tcBorders>
          </w:tcPr>
          <w:p>
            <w:pPr>
              <w:pStyle w:val="101"/>
              <w:adjustRightInd w:val="0"/>
              <w:snapToGrid w:val="0"/>
              <w:spacing w:beforeLines="50" w:line="360" w:lineRule="auto"/>
              <w:ind w:left="420"/>
              <w:rPr>
                <w:rFonts w:hint="eastAsia" w:ascii="Times New Roman" w:hAnsi="Times New Roman"/>
                <w:bCs/>
                <w:snapToGrid w:val="0"/>
                <w:color w:val="000000"/>
                <w:kern w:val="0"/>
                <w:sz w:val="22"/>
              </w:rPr>
            </w:pPr>
            <w:r>
              <w:rPr>
                <w:rFonts w:hint="eastAsia" w:ascii="Times New Roman" w:hAnsi="Times New Roman"/>
                <w:bCs/>
                <w:snapToGrid w:val="0"/>
                <w:color w:val="000000"/>
                <w:kern w:val="0"/>
                <w:sz w:val="22"/>
              </w:rPr>
              <w:t>1.具备有效的营业执照。</w:t>
            </w:r>
          </w:p>
          <w:p>
            <w:pPr>
              <w:autoSpaceDE w:val="0"/>
              <w:autoSpaceDN w:val="0"/>
              <w:adjustRightInd w:val="0"/>
              <w:snapToGrid w:val="0"/>
              <w:spacing w:line="360" w:lineRule="auto"/>
              <w:ind w:firstLine="440" w:firstLineChars="200"/>
              <w:rPr>
                <w:rFonts w:hint="eastAsia"/>
                <w:bCs/>
                <w:snapToGrid w:val="0"/>
                <w:color w:val="000000"/>
                <w:kern w:val="0"/>
                <w:sz w:val="22"/>
                <w:szCs w:val="22"/>
              </w:rPr>
            </w:pPr>
            <w:r>
              <w:rPr>
                <w:rFonts w:hint="eastAsia"/>
                <w:bCs/>
                <w:snapToGrid w:val="0"/>
                <w:color w:val="000000"/>
                <w:kern w:val="0"/>
                <w:sz w:val="22"/>
                <w:szCs w:val="22"/>
              </w:rPr>
              <w:t>2.须为所投配电箱（或配电柜）生产厂家。</w:t>
            </w:r>
          </w:p>
          <w:p>
            <w:pPr>
              <w:pStyle w:val="101"/>
              <w:adjustRightInd w:val="0"/>
              <w:snapToGrid w:val="0"/>
              <w:spacing w:line="360" w:lineRule="auto"/>
              <w:ind w:firstLine="440" w:firstLineChars="200"/>
              <w:rPr>
                <w:rFonts w:ascii="Times New Roman" w:hAnsi="Times New Roman"/>
                <w:bCs/>
                <w:snapToGrid w:val="0"/>
                <w:color w:val="000000"/>
                <w:kern w:val="0"/>
                <w:sz w:val="22"/>
              </w:rPr>
            </w:pPr>
          </w:p>
        </w:tc>
      </w:tr>
    </w:tbl>
    <w:p>
      <w:pPr>
        <w:pStyle w:val="101"/>
        <w:adjustRightInd w:val="0"/>
        <w:snapToGrid w:val="0"/>
        <w:spacing w:line="300" w:lineRule="exact"/>
        <w:rPr>
          <w:rFonts w:hint="eastAsia" w:ascii="Times New Roman" w:hAnsi="Times New Roman"/>
          <w:bCs/>
          <w:snapToGrid w:val="0"/>
          <w:color w:val="000000"/>
          <w:kern w:val="0"/>
          <w:sz w:val="22"/>
        </w:rPr>
      </w:pPr>
      <w:r>
        <w:rPr>
          <w:rFonts w:hint="eastAsia" w:ascii="Times New Roman" w:hAnsi="Times New Roman"/>
          <w:bCs/>
          <w:snapToGrid w:val="0"/>
          <w:color w:val="000000"/>
          <w:kern w:val="0"/>
          <w:sz w:val="22"/>
        </w:rPr>
        <w:t>注：投标人应提供营业执照、资质证书、生产/制造许可证（如要求）。</w:t>
      </w:r>
    </w:p>
    <w:p>
      <w:pPr>
        <w:pStyle w:val="3"/>
        <w:jc w:val="center"/>
        <w:rPr>
          <w:rFonts w:hint="eastAsia" w:ascii="Times New Roman" w:hAnsi="Times New Roman" w:eastAsia="黑体"/>
          <w:b w:val="0"/>
        </w:rPr>
      </w:pPr>
      <w:bookmarkStart w:id="11" w:name="_Toc421916976"/>
      <w:bookmarkStart w:id="12" w:name="_Toc460226990"/>
      <w:bookmarkStart w:id="13" w:name="_Toc283798417"/>
      <w:bookmarkStart w:id="14" w:name="_Toc460226721"/>
      <w:bookmarkStart w:id="15" w:name="_Toc460660063"/>
      <w:r>
        <w:rPr>
          <w:rFonts w:ascii="Times New Roman" w:hAnsi="Times New Roman" w:eastAsia="仿宋"/>
          <w:b w:val="0"/>
          <w:sz w:val="22"/>
          <w:szCs w:val="22"/>
        </w:rPr>
        <w:br w:type="page"/>
      </w:r>
      <w:bookmarkStart w:id="16" w:name="_Toc26781049"/>
      <w:bookmarkStart w:id="17" w:name="_Toc11078138"/>
      <w:r>
        <w:rPr>
          <w:rFonts w:hint="eastAsia" w:ascii="Times New Roman" w:hAnsi="Times New Roman" w:eastAsia="黑体"/>
          <w:b w:val="0"/>
        </w:rPr>
        <w:t>附录2  资格审查条件</w:t>
      </w:r>
      <w:r>
        <w:rPr>
          <w:rFonts w:hint="eastAsia" w:ascii="Times New Roman" w:hAnsi="Times New Roman" w:eastAsia="黑体"/>
          <w:b w:val="0"/>
          <w:lang w:eastAsia="zh-CN"/>
        </w:rPr>
        <w:t>（</w:t>
      </w:r>
      <w:r>
        <w:rPr>
          <w:rFonts w:hint="eastAsia" w:ascii="Times New Roman" w:hAnsi="Times New Roman" w:eastAsia="黑体"/>
          <w:b w:val="0"/>
        </w:rPr>
        <w:t>财务最低要求</w:t>
      </w:r>
      <w:r>
        <w:rPr>
          <w:rFonts w:hint="eastAsia" w:ascii="Times New Roman" w:hAnsi="Times New Roman" w:eastAsia="黑体"/>
          <w:b w:val="0"/>
          <w:lang w:eastAsia="zh-CN"/>
        </w:rPr>
        <w:t>）</w:t>
      </w:r>
      <w:bookmarkEnd w:id="11"/>
      <w:bookmarkEnd w:id="12"/>
      <w:bookmarkEnd w:id="13"/>
      <w:bookmarkEnd w:id="14"/>
      <w:bookmarkEnd w:id="15"/>
      <w:bookmarkEnd w:id="16"/>
      <w:bookmarkEnd w:id="17"/>
    </w:p>
    <w:tbl>
      <w:tblPr>
        <w:tblStyle w:val="55"/>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jc w:val="center"/>
              <w:rPr>
                <w:rFonts w:ascii="Times New Roman" w:hAnsi="Times New Roman"/>
                <w:b/>
                <w:bCs/>
                <w:sz w:val="22"/>
              </w:rPr>
            </w:pPr>
            <w:r>
              <w:rPr>
                <w:rFonts w:hint="eastAsia" w:ascii="Times New Roman" w:hAnsi="Times New Roman"/>
                <w:b/>
                <w:bCs/>
                <w:sz w:val="22"/>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spacing w:line="360" w:lineRule="auto"/>
              <w:ind w:firstLine="440" w:firstLineChars="200"/>
              <w:jc w:val="left"/>
              <w:rPr>
                <w:rFonts w:hint="eastAsia" w:ascii="Times New Roman" w:hAnsi="Times New Roman"/>
                <w:bCs/>
                <w:color w:val="000000"/>
                <w:sz w:val="22"/>
              </w:rPr>
            </w:pPr>
            <w:r>
              <w:rPr>
                <w:rFonts w:hint="eastAsia" w:ascii="Times New Roman" w:hAnsi="Times New Roman"/>
                <w:bCs/>
                <w:color w:val="000000"/>
                <w:sz w:val="22"/>
              </w:rPr>
              <w:t>☑无需提供</w:t>
            </w:r>
          </w:p>
          <w:p>
            <w:pPr>
              <w:pStyle w:val="101"/>
              <w:adjustRightInd w:val="0"/>
              <w:snapToGrid w:val="0"/>
              <w:spacing w:line="360" w:lineRule="auto"/>
              <w:ind w:firstLine="440" w:firstLineChars="200"/>
              <w:jc w:val="left"/>
              <w:rPr>
                <w:rFonts w:hint="eastAsia" w:ascii="Times New Roman" w:hAnsi="Times New Roman"/>
                <w:bCs/>
                <w:color w:val="000000"/>
                <w:sz w:val="22"/>
              </w:rPr>
            </w:pPr>
            <w:r>
              <w:rPr>
                <w:rFonts w:hint="eastAsia" w:ascii="Times New Roman" w:hAnsi="Times New Roman"/>
                <w:bCs/>
                <w:color w:val="000000"/>
                <w:sz w:val="22"/>
              </w:rPr>
              <w:t>□需提供以下材料：</w:t>
            </w:r>
          </w:p>
          <w:p>
            <w:pPr>
              <w:pStyle w:val="101"/>
              <w:adjustRightInd w:val="0"/>
              <w:snapToGrid w:val="0"/>
              <w:spacing w:line="360" w:lineRule="auto"/>
              <w:ind w:firstLine="440" w:firstLineChars="200"/>
              <w:jc w:val="left"/>
              <w:rPr>
                <w:rFonts w:hint="eastAsia" w:ascii="Times New Roman" w:hAnsi="Times New Roman"/>
                <w:bCs/>
                <w:color w:val="000000"/>
                <w:sz w:val="22"/>
                <w:u w:val="single"/>
              </w:rPr>
            </w:pPr>
            <w:r>
              <w:rPr>
                <w:rFonts w:hint="eastAsia" w:ascii="Times New Roman" w:hAnsi="Times New Roman"/>
                <w:bCs/>
                <w:color w:val="000000"/>
                <w:sz w:val="22"/>
              </w:rPr>
              <w:t>经会计师事务所或审计机构审计的财务会计报表，包括资产负债表、现金流量表、利润表、财务情况说明书、</w:t>
            </w:r>
            <w:r>
              <w:rPr>
                <w:rFonts w:hint="eastAsia" w:ascii="Times New Roman" w:hAnsi="Times New Roman"/>
                <w:bCs/>
                <w:snapToGrid w:val="0"/>
                <w:color w:val="000000"/>
                <w:kern w:val="0"/>
                <w:sz w:val="22"/>
              </w:rPr>
              <w:t>……</w:t>
            </w:r>
          </w:p>
          <w:p>
            <w:pPr>
              <w:pStyle w:val="101"/>
              <w:adjustRightInd w:val="0"/>
              <w:snapToGrid w:val="0"/>
              <w:ind w:left="3"/>
              <w:jc w:val="center"/>
              <w:rPr>
                <w:rFonts w:ascii="Times New Roman" w:hAnsi="Times New Roman"/>
                <w:bCs/>
                <w:color w:val="000000"/>
                <w:sz w:val="22"/>
              </w:rPr>
            </w:pPr>
          </w:p>
          <w:p>
            <w:pPr>
              <w:pStyle w:val="101"/>
              <w:adjustRightInd w:val="0"/>
              <w:snapToGrid w:val="0"/>
              <w:ind w:left="3"/>
              <w:jc w:val="center"/>
              <w:rPr>
                <w:rFonts w:ascii="Times New Roman" w:hAnsi="Times New Roman"/>
                <w:bCs/>
                <w:color w:val="000000"/>
                <w:sz w:val="22"/>
              </w:rPr>
            </w:pPr>
          </w:p>
          <w:p>
            <w:pPr>
              <w:pStyle w:val="101"/>
              <w:adjustRightInd w:val="0"/>
              <w:snapToGrid w:val="0"/>
              <w:ind w:left="3"/>
              <w:jc w:val="center"/>
              <w:rPr>
                <w:rFonts w:ascii="Times New Roman" w:hAnsi="Times New Roman"/>
                <w:bCs/>
                <w:color w:val="000000"/>
                <w:sz w:val="22"/>
              </w:rPr>
            </w:pPr>
          </w:p>
          <w:p>
            <w:pPr>
              <w:pStyle w:val="101"/>
              <w:adjustRightInd w:val="0"/>
              <w:snapToGrid w:val="0"/>
              <w:ind w:left="3"/>
              <w:jc w:val="center"/>
              <w:rPr>
                <w:rFonts w:ascii="Times New Roman" w:hAnsi="Times New Roman"/>
                <w:bCs/>
                <w:color w:val="000000"/>
                <w:sz w:val="22"/>
              </w:rPr>
            </w:pPr>
          </w:p>
          <w:p>
            <w:pPr>
              <w:pStyle w:val="101"/>
              <w:adjustRightInd w:val="0"/>
              <w:snapToGrid w:val="0"/>
              <w:ind w:left="3"/>
              <w:jc w:val="center"/>
              <w:rPr>
                <w:rFonts w:ascii="Times New Roman" w:hAnsi="Times New Roman"/>
                <w:bCs/>
                <w:color w:val="000000"/>
                <w:sz w:val="22"/>
              </w:rPr>
            </w:pPr>
          </w:p>
          <w:p>
            <w:pPr>
              <w:pStyle w:val="101"/>
              <w:adjustRightInd w:val="0"/>
              <w:snapToGrid w:val="0"/>
              <w:ind w:left="3"/>
              <w:jc w:val="center"/>
              <w:rPr>
                <w:rFonts w:ascii="Times New Roman" w:hAnsi="Times New Roman"/>
                <w:bCs/>
                <w:color w:val="000000"/>
                <w:sz w:val="22"/>
              </w:rPr>
            </w:pPr>
          </w:p>
          <w:p>
            <w:pPr>
              <w:pStyle w:val="101"/>
              <w:adjustRightInd w:val="0"/>
              <w:snapToGrid w:val="0"/>
              <w:rPr>
                <w:rFonts w:ascii="Times New Roman" w:hAnsi="Times New Roman"/>
                <w:bCs/>
                <w:color w:val="000000"/>
                <w:sz w:val="22"/>
              </w:rPr>
            </w:pPr>
          </w:p>
        </w:tc>
      </w:tr>
    </w:tbl>
    <w:p>
      <w:pPr>
        <w:pStyle w:val="101"/>
        <w:adjustRightInd w:val="0"/>
        <w:snapToGrid w:val="0"/>
        <w:spacing w:line="300" w:lineRule="exact"/>
        <w:ind w:firstLine="440" w:firstLineChars="200"/>
        <w:rPr>
          <w:rFonts w:hint="eastAsia" w:ascii="Times New Roman" w:hAnsi="Times New Roman"/>
          <w:bCs/>
          <w:snapToGrid w:val="0"/>
          <w:color w:val="000000"/>
          <w:kern w:val="0"/>
          <w:sz w:val="22"/>
        </w:rPr>
      </w:pPr>
      <w:r>
        <w:rPr>
          <w:rFonts w:hint="eastAsia" w:ascii="Times New Roman" w:hAnsi="Times New Roman"/>
          <w:bCs/>
          <w:color w:val="000000"/>
          <w:kern w:val="0"/>
          <w:sz w:val="22"/>
        </w:rPr>
        <w:t>注：</w:t>
      </w:r>
      <w:r>
        <w:rPr>
          <w:rFonts w:hint="eastAsia" w:ascii="Times New Roman" w:hAnsi="Times New Roman"/>
          <w:bCs/>
          <w:snapToGrid w:val="0"/>
          <w:color w:val="000000"/>
          <w:kern w:val="0"/>
          <w:sz w:val="22"/>
        </w:rPr>
        <w:t>证明材料</w:t>
      </w:r>
      <w:r>
        <w:rPr>
          <w:rFonts w:hint="eastAsia" w:ascii="Times New Roman" w:hAnsi="Times New Roman"/>
          <w:bCs/>
          <w:color w:val="000000"/>
          <w:kern w:val="0"/>
          <w:sz w:val="22"/>
        </w:rPr>
        <w:t>的扫描件信息应完整或能充分证明满足评审需要</w:t>
      </w:r>
      <w:r>
        <w:rPr>
          <w:rFonts w:hint="eastAsia" w:ascii="Times New Roman" w:hAnsi="Times New Roman"/>
          <w:bCs/>
          <w:snapToGrid w:val="0"/>
          <w:color w:val="000000"/>
          <w:kern w:val="0"/>
          <w:sz w:val="22"/>
        </w:rPr>
        <w:t>。</w:t>
      </w:r>
    </w:p>
    <w:p>
      <w:pPr>
        <w:pStyle w:val="3"/>
        <w:jc w:val="center"/>
        <w:rPr>
          <w:rFonts w:hint="eastAsia" w:ascii="Times New Roman" w:hAnsi="Times New Roman" w:eastAsia="黑体"/>
          <w:b w:val="0"/>
        </w:rPr>
      </w:pPr>
      <w:r>
        <w:rPr>
          <w:rFonts w:ascii="Times New Roman" w:hAnsi="Times New Roman"/>
          <w:bCs w:val="0"/>
          <w:color w:val="000000"/>
          <w:kern w:val="0"/>
          <w:szCs w:val="21"/>
        </w:rPr>
        <w:br w:type="page"/>
      </w:r>
      <w:bookmarkStart w:id="18" w:name="_Toc460660064"/>
      <w:bookmarkStart w:id="19" w:name="_Toc460226722"/>
      <w:bookmarkStart w:id="20" w:name="_Toc283798418"/>
      <w:bookmarkStart w:id="21" w:name="_Toc26781050"/>
      <w:bookmarkStart w:id="22" w:name="_Toc460226991"/>
      <w:bookmarkStart w:id="23" w:name="_Toc11078139"/>
      <w:bookmarkStart w:id="24" w:name="_Toc421916977"/>
      <w:r>
        <w:rPr>
          <w:rFonts w:hint="eastAsia" w:ascii="Times New Roman" w:hAnsi="Times New Roman" w:eastAsia="黑体"/>
          <w:b w:val="0"/>
        </w:rPr>
        <w:t>附录3  资格审查条件</w:t>
      </w:r>
      <w:r>
        <w:rPr>
          <w:rFonts w:hint="eastAsia" w:ascii="Times New Roman" w:hAnsi="Times New Roman" w:eastAsia="黑体"/>
          <w:b w:val="0"/>
          <w:lang w:eastAsia="zh-CN"/>
        </w:rPr>
        <w:t>（</w:t>
      </w:r>
      <w:r>
        <w:rPr>
          <w:rFonts w:hint="eastAsia" w:ascii="Times New Roman" w:hAnsi="Times New Roman" w:eastAsia="黑体"/>
          <w:b w:val="0"/>
        </w:rPr>
        <w:t>业绩最低要求</w:t>
      </w:r>
      <w:r>
        <w:rPr>
          <w:rFonts w:hint="eastAsia" w:ascii="Times New Roman" w:hAnsi="Times New Roman" w:eastAsia="黑体"/>
          <w:b w:val="0"/>
          <w:lang w:eastAsia="zh-CN"/>
        </w:rPr>
        <w:t>）</w:t>
      </w:r>
      <w:bookmarkEnd w:id="18"/>
      <w:bookmarkEnd w:id="19"/>
      <w:bookmarkEnd w:id="20"/>
      <w:bookmarkEnd w:id="21"/>
      <w:bookmarkEnd w:id="22"/>
      <w:bookmarkEnd w:id="23"/>
      <w:bookmarkEnd w:id="24"/>
    </w:p>
    <w:tbl>
      <w:tblPr>
        <w:tblStyle w:val="55"/>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jc w:val="center"/>
              <w:rPr>
                <w:rFonts w:ascii="Times New Roman" w:hAnsi="Times New Roman"/>
                <w:b/>
                <w:bCs/>
                <w:sz w:val="22"/>
              </w:rPr>
            </w:pPr>
            <w:r>
              <w:rPr>
                <w:rFonts w:hint="eastAsia" w:ascii="Times New Roman" w:hAnsi="Times New Roman"/>
                <w:b/>
                <w:bCs/>
                <w:sz w:val="22"/>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7"/>
              <w:rPr>
                <w:bCs/>
                <w:color w:val="000000"/>
                <w:kern w:val="0"/>
                <w:sz w:val="22"/>
                <w:szCs w:val="22"/>
              </w:rPr>
            </w:pPr>
            <w:r>
              <w:rPr>
                <w:rFonts w:hint="eastAsia"/>
                <w:bCs/>
                <w:color w:val="000000"/>
                <w:kern w:val="0"/>
                <w:sz w:val="22"/>
                <w:szCs w:val="22"/>
              </w:rPr>
              <w:t>业绩要求见招标公告要求。</w:t>
            </w:r>
          </w:p>
        </w:tc>
      </w:tr>
    </w:tbl>
    <w:p>
      <w:pPr>
        <w:adjustRightInd w:val="0"/>
        <w:snapToGrid w:val="0"/>
        <w:spacing w:line="400" w:lineRule="exact"/>
        <w:ind w:firstLine="440" w:firstLineChars="200"/>
        <w:rPr>
          <w:rFonts w:hint="eastAsia"/>
          <w:bCs/>
          <w:snapToGrid w:val="0"/>
          <w:color w:val="000000"/>
          <w:kern w:val="0"/>
          <w:sz w:val="22"/>
          <w:szCs w:val="22"/>
        </w:rPr>
      </w:pPr>
      <w:r>
        <w:rPr>
          <w:rFonts w:hint="eastAsia"/>
          <w:bCs/>
          <w:snapToGrid w:val="0"/>
          <w:color w:val="000000"/>
          <w:kern w:val="0"/>
          <w:sz w:val="22"/>
          <w:szCs w:val="22"/>
        </w:rPr>
        <w:t>注：</w:t>
      </w:r>
    </w:p>
    <w:p>
      <w:pPr>
        <w:spacing w:line="440" w:lineRule="exact"/>
        <w:ind w:firstLine="437"/>
        <w:rPr>
          <w:rFonts w:hint="eastAsia"/>
          <w:bCs/>
          <w:color w:val="000000"/>
          <w:kern w:val="0"/>
          <w:sz w:val="22"/>
          <w:szCs w:val="22"/>
        </w:rPr>
      </w:pPr>
      <w:r>
        <w:rPr>
          <w:rFonts w:hint="eastAsia"/>
          <w:bCs/>
          <w:color w:val="000000"/>
          <w:kern w:val="0"/>
          <w:sz w:val="22"/>
          <w:szCs w:val="22"/>
        </w:rPr>
        <w:t>1.投标人应按下列规定提供业绩证明资料：</w:t>
      </w:r>
    </w:p>
    <w:p>
      <w:pPr>
        <w:spacing w:line="440" w:lineRule="exact"/>
        <w:ind w:firstLine="437"/>
        <w:rPr>
          <w:rFonts w:hint="eastAsia"/>
          <w:bCs/>
          <w:color w:val="000000"/>
          <w:kern w:val="0"/>
          <w:sz w:val="22"/>
          <w:szCs w:val="22"/>
        </w:rPr>
      </w:pPr>
      <w:r>
        <w:rPr>
          <w:rFonts w:hint="eastAsia"/>
          <w:bCs/>
          <w:color w:val="000000"/>
          <w:kern w:val="0"/>
          <w:sz w:val="22"/>
          <w:szCs w:val="22"/>
        </w:rPr>
        <w:t>☑（1）合同；</w:t>
      </w:r>
    </w:p>
    <w:p>
      <w:pPr>
        <w:spacing w:line="440" w:lineRule="exact"/>
        <w:ind w:firstLine="437"/>
        <w:rPr>
          <w:rFonts w:hint="eastAsia"/>
          <w:bCs/>
          <w:color w:val="000000"/>
          <w:kern w:val="0"/>
          <w:sz w:val="22"/>
          <w:szCs w:val="22"/>
        </w:rPr>
      </w:pPr>
      <w:r>
        <w:rPr>
          <w:rFonts w:hint="eastAsia"/>
          <w:bCs/>
          <w:color w:val="000000"/>
          <w:kern w:val="0"/>
          <w:sz w:val="22"/>
          <w:szCs w:val="22"/>
        </w:rPr>
        <w:t>☑（2）供货完毕并验收合格的相关证明文件（如验收证书或买方开具的证明等）；</w:t>
      </w:r>
    </w:p>
    <w:p>
      <w:pPr>
        <w:numPr>
          <w:ilvl w:val="0"/>
          <w:numId w:val="4"/>
        </w:numPr>
        <w:spacing w:line="440" w:lineRule="exact"/>
        <w:ind w:firstLine="437"/>
        <w:rPr>
          <w:rFonts w:hint="eastAsia"/>
          <w:bCs/>
          <w:color w:val="000000"/>
          <w:kern w:val="0"/>
          <w:sz w:val="22"/>
          <w:szCs w:val="22"/>
        </w:rPr>
      </w:pPr>
      <w:r>
        <w:rPr>
          <w:rFonts w:hint="eastAsia"/>
          <w:bCs/>
          <w:color w:val="000000"/>
          <w:kern w:val="0"/>
          <w:sz w:val="22"/>
          <w:szCs w:val="22"/>
        </w:rPr>
        <w:t xml:space="preserve">业绩合同可提供包含甲乙方、项目名称、单个合同中配电箱或配电柜（或配电箱和配电柜）供货金额、合同签订时间、合同供货范围、合同签字盖章页等关键内容的关键页的扫描件； </w:t>
      </w:r>
    </w:p>
    <w:p>
      <w:pPr>
        <w:spacing w:line="440" w:lineRule="exact"/>
        <w:ind w:firstLine="437"/>
        <w:rPr>
          <w:rFonts w:hint="eastAsia"/>
          <w:bCs/>
          <w:color w:val="000000"/>
          <w:kern w:val="0"/>
          <w:sz w:val="22"/>
          <w:szCs w:val="22"/>
        </w:rPr>
      </w:pPr>
      <w:r>
        <w:rPr>
          <w:bCs/>
          <w:color w:val="000000"/>
          <w:kern w:val="0"/>
          <w:sz w:val="22"/>
          <w:szCs w:val="22"/>
        </w:rPr>
        <w:t>3.</w:t>
      </w:r>
      <w:r>
        <w:rPr>
          <w:rFonts w:hint="eastAsia"/>
          <w:bCs/>
          <w:color w:val="000000"/>
          <w:kern w:val="0"/>
          <w:sz w:val="22"/>
          <w:szCs w:val="22"/>
        </w:rPr>
        <w:t>以上</w:t>
      </w:r>
      <w:r>
        <w:rPr>
          <w:rFonts w:hint="eastAsia"/>
          <w:bCs/>
          <w:color w:val="000000"/>
          <w:kern w:val="0"/>
          <w:sz w:val="22"/>
          <w:szCs w:val="22"/>
          <w:lang w:eastAsia="zh-CN"/>
        </w:rPr>
        <w:t>涉及的</w:t>
      </w:r>
      <w:r>
        <w:rPr>
          <w:rFonts w:hint="eastAsia"/>
          <w:bCs/>
          <w:color w:val="000000"/>
          <w:kern w:val="0"/>
          <w:sz w:val="22"/>
          <w:szCs w:val="22"/>
        </w:rPr>
        <w:t>材料扫描件信息应完整或能充分反映评审因素。如均未能明确反映出招标文件 所要求的内容的（如单个合同中配电箱或配电柜（或配电箱和配电柜</w:t>
      </w:r>
      <w:r>
        <w:rPr>
          <w:rFonts w:hint="eastAsia"/>
          <w:bCs/>
          <w:color w:val="000000"/>
          <w:kern w:val="0"/>
          <w:sz w:val="22"/>
          <w:szCs w:val="22"/>
          <w:lang w:eastAsia="zh-CN"/>
        </w:rPr>
        <w:t>）的</w:t>
      </w:r>
      <w:r>
        <w:rPr>
          <w:rFonts w:hint="eastAsia"/>
          <w:bCs/>
          <w:color w:val="000000"/>
          <w:kern w:val="0"/>
          <w:sz w:val="22"/>
          <w:szCs w:val="22"/>
        </w:rPr>
        <w:t>供货金额、合同供货范围等）， 应另附买方（或合同甲方）出具的证明资料予以明确说明。</w:t>
      </w:r>
    </w:p>
    <w:p>
      <w:pPr>
        <w:pStyle w:val="3"/>
        <w:jc w:val="center"/>
        <w:rPr>
          <w:rFonts w:hint="eastAsia" w:ascii="Times New Roman" w:hAnsi="Times New Roman" w:eastAsia="黑体"/>
          <w:b w:val="0"/>
        </w:rPr>
      </w:pPr>
      <w:r>
        <w:rPr>
          <w:rFonts w:ascii="Times New Roman" w:hAnsi="Times New Roman"/>
          <w:b w:val="0"/>
          <w:snapToGrid w:val="0"/>
          <w:color w:val="000000"/>
          <w:kern w:val="0"/>
          <w:sz w:val="21"/>
          <w:szCs w:val="21"/>
        </w:rPr>
        <w:br w:type="page"/>
      </w:r>
      <w:bookmarkStart w:id="25" w:name="_Toc26781051"/>
      <w:bookmarkStart w:id="26" w:name="_Toc11078140"/>
      <w:bookmarkStart w:id="27" w:name="_Toc460226723"/>
      <w:bookmarkStart w:id="28" w:name="_Toc421916978"/>
      <w:bookmarkStart w:id="29" w:name="_Toc460226992"/>
      <w:r>
        <w:rPr>
          <w:rFonts w:hint="eastAsia" w:ascii="Times New Roman" w:hAnsi="Times New Roman" w:eastAsia="黑体"/>
          <w:b w:val="0"/>
        </w:rPr>
        <w:t>附录4  资格审查条件</w:t>
      </w:r>
      <w:r>
        <w:rPr>
          <w:rFonts w:hint="eastAsia" w:ascii="Times New Roman" w:hAnsi="Times New Roman" w:eastAsia="黑体"/>
          <w:b w:val="0"/>
          <w:lang w:eastAsia="zh-CN"/>
        </w:rPr>
        <w:t>（</w:t>
      </w:r>
      <w:r>
        <w:rPr>
          <w:rFonts w:hint="eastAsia" w:ascii="Times New Roman" w:hAnsi="Times New Roman" w:eastAsia="黑体"/>
          <w:b w:val="0"/>
        </w:rPr>
        <w:t>信誉最低要求</w:t>
      </w:r>
      <w:r>
        <w:rPr>
          <w:rFonts w:hint="eastAsia" w:ascii="Times New Roman" w:hAnsi="Times New Roman" w:eastAsia="黑体"/>
          <w:b w:val="0"/>
          <w:lang w:eastAsia="zh-CN"/>
        </w:rPr>
        <w:t>）</w:t>
      </w:r>
      <w:bookmarkEnd w:id="25"/>
      <w:bookmarkEnd w:id="26"/>
    </w:p>
    <w:tbl>
      <w:tblPr>
        <w:tblStyle w:val="55"/>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jc w:val="center"/>
              <w:rPr>
                <w:rFonts w:ascii="Times New Roman" w:hAnsi="Times New Roman"/>
                <w:b/>
                <w:bCs/>
                <w:szCs w:val="21"/>
              </w:rPr>
            </w:pPr>
            <w:r>
              <w:rPr>
                <w:rFonts w:hint="eastAsia"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cs="楷体"/>
                <w:bCs/>
                <w:snapToGrid w:val="0"/>
                <w:color w:val="000000"/>
                <w:kern w:val="0"/>
                <w:szCs w:val="21"/>
              </w:rPr>
            </w:pPr>
          </w:p>
        </w:tc>
      </w:tr>
    </w:tbl>
    <w:p>
      <w:pPr>
        <w:pStyle w:val="3"/>
        <w:jc w:val="center"/>
        <w:rPr>
          <w:rFonts w:hint="eastAsia" w:ascii="Times New Roman" w:hAnsi="Times New Roman" w:eastAsia="黑体"/>
          <w:b w:val="0"/>
        </w:rPr>
      </w:pPr>
      <w:r>
        <w:rPr>
          <w:rFonts w:ascii="Times New Roman" w:hAnsi="Times New Roman"/>
          <w:kern w:val="0"/>
          <w:szCs w:val="21"/>
        </w:rPr>
        <w:br w:type="page"/>
      </w:r>
      <w:bookmarkEnd w:id="27"/>
      <w:bookmarkEnd w:id="28"/>
      <w:bookmarkEnd w:id="29"/>
      <w:bookmarkStart w:id="30" w:name="_Toc460226993"/>
      <w:bookmarkStart w:id="31" w:name="_Toc460660066"/>
      <w:bookmarkStart w:id="32" w:name="_Toc460226724"/>
      <w:bookmarkStart w:id="33" w:name="_Toc421916979"/>
      <w:bookmarkStart w:id="34" w:name="_Toc26781052"/>
      <w:bookmarkStart w:id="35" w:name="_Toc11078142"/>
      <w:r>
        <w:rPr>
          <w:rFonts w:hint="eastAsia" w:ascii="Times New Roman" w:hAnsi="Times New Roman" w:eastAsia="黑体"/>
          <w:b w:val="0"/>
        </w:rPr>
        <w:t xml:space="preserve">附录5  </w:t>
      </w:r>
      <w:bookmarkEnd w:id="30"/>
      <w:bookmarkEnd w:id="31"/>
      <w:bookmarkEnd w:id="32"/>
      <w:bookmarkEnd w:id="33"/>
      <w:r>
        <w:rPr>
          <w:rFonts w:hint="eastAsia" w:ascii="Times New Roman" w:hAnsi="Times New Roman" w:eastAsia="黑体"/>
          <w:b w:val="0"/>
        </w:rPr>
        <w:t>资格审查条件（其他要求）</w:t>
      </w:r>
      <w:bookmarkEnd w:id="34"/>
      <w:bookmarkEnd w:id="35"/>
    </w:p>
    <w:tbl>
      <w:tblPr>
        <w:tblStyle w:val="55"/>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01"/>
              <w:adjustRightInd w:val="0"/>
              <w:snapToGrid w:val="0"/>
              <w:jc w:val="center"/>
              <w:rPr>
                <w:rFonts w:ascii="Times New Roman" w:hAnsi="Times New Roman"/>
                <w:b/>
                <w:bCs/>
                <w:color w:val="000000"/>
                <w:sz w:val="22"/>
              </w:rPr>
            </w:pPr>
            <w:bookmarkStart w:id="36" w:name="_Toc460226725"/>
            <w:bookmarkStart w:id="37" w:name="_Toc460226994"/>
            <w:bookmarkStart w:id="38" w:name="_Toc460660067"/>
            <w:r>
              <w:rPr>
                <w:rFonts w:hint="eastAsia" w:ascii="Times New Roman" w:hAnsi="Times New Roman"/>
                <w:b/>
                <w:bCs/>
                <w:color w:val="00000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auto"/>
              <w:rPr>
                <w:rFonts w:cs="楷体"/>
                <w:bCs/>
                <w:snapToGrid w:val="0"/>
                <w:kern w:val="0"/>
                <w:sz w:val="22"/>
                <w:szCs w:val="22"/>
              </w:rPr>
            </w:pPr>
            <w:r>
              <w:rPr>
                <w:rFonts w:hint="eastAsia" w:cs="楷体"/>
                <w:bCs/>
                <w:snapToGrid w:val="0"/>
                <w:kern w:val="0"/>
                <w:sz w:val="22"/>
                <w:szCs w:val="22"/>
              </w:rPr>
              <w:t>本项目是否要求投标人具有本地化服务能力：☑要求   □不要求</w:t>
            </w:r>
          </w:p>
          <w:p>
            <w:pPr>
              <w:spacing w:line="360" w:lineRule="auto"/>
              <w:rPr>
                <w:rFonts w:hint="eastAsia" w:cs="楷体"/>
                <w:bCs/>
                <w:snapToGrid w:val="0"/>
                <w:color w:val="000000"/>
                <w:kern w:val="0"/>
                <w:sz w:val="22"/>
                <w:szCs w:val="22"/>
              </w:rPr>
            </w:pPr>
            <w:r>
              <w:rPr>
                <w:rFonts w:hint="eastAsia" w:cs="楷体"/>
                <w:bCs/>
                <w:snapToGrid w:val="0"/>
                <w:color w:val="000000"/>
                <w:kern w:val="0"/>
                <w:sz w:val="22"/>
                <w:szCs w:val="22"/>
              </w:rPr>
              <w:t>本地化服务的能力是指具有下列条件之一：</w:t>
            </w:r>
          </w:p>
          <w:p>
            <w:pPr>
              <w:spacing w:line="360" w:lineRule="auto"/>
              <w:rPr>
                <w:rFonts w:hint="eastAsia" w:cs="楷体"/>
                <w:bCs/>
                <w:snapToGrid w:val="0"/>
                <w:color w:val="000000"/>
                <w:kern w:val="0"/>
                <w:sz w:val="22"/>
                <w:szCs w:val="22"/>
              </w:rPr>
            </w:pPr>
            <w:r>
              <w:rPr>
                <w:rFonts w:hint="eastAsia" w:cs="楷体"/>
                <w:bCs/>
                <w:snapToGrid w:val="0"/>
                <w:color w:val="000000"/>
                <w:kern w:val="0"/>
                <w:sz w:val="22"/>
                <w:szCs w:val="22"/>
              </w:rPr>
              <w:t>（1）在</w:t>
            </w:r>
            <w:r>
              <w:rPr>
                <w:bCs/>
                <w:snapToGrid w:val="0"/>
                <w:color w:val="000000"/>
                <w:kern w:val="0"/>
                <w:sz w:val="22"/>
                <w:szCs w:val="22"/>
              </w:rPr>
              <w:t>合肥</w:t>
            </w:r>
            <w:r>
              <w:rPr>
                <w:rFonts w:hint="eastAsia"/>
                <w:bCs/>
                <w:snapToGrid w:val="0"/>
                <w:color w:val="000000"/>
                <w:kern w:val="0"/>
                <w:sz w:val="22"/>
                <w:szCs w:val="22"/>
              </w:rPr>
              <w:t>行政区域范围（含四县一市）</w:t>
            </w:r>
            <w:r>
              <w:rPr>
                <w:rFonts w:hint="eastAsia" w:cs="楷体"/>
                <w:bCs/>
                <w:snapToGrid w:val="0"/>
                <w:color w:val="000000"/>
                <w:kern w:val="0"/>
                <w:sz w:val="22"/>
                <w:szCs w:val="22"/>
              </w:rPr>
              <w:t>具有固定的办公场所及人员；</w:t>
            </w:r>
          </w:p>
          <w:p>
            <w:pPr>
              <w:spacing w:line="360" w:lineRule="auto"/>
              <w:rPr>
                <w:rFonts w:hint="eastAsia" w:cs="楷体"/>
                <w:bCs/>
                <w:snapToGrid w:val="0"/>
                <w:color w:val="000000"/>
                <w:kern w:val="0"/>
                <w:sz w:val="22"/>
                <w:szCs w:val="22"/>
              </w:rPr>
            </w:pPr>
            <w:r>
              <w:rPr>
                <w:rFonts w:hint="eastAsia" w:cs="楷体"/>
                <w:bCs/>
                <w:snapToGrid w:val="0"/>
                <w:color w:val="000000"/>
                <w:kern w:val="0"/>
                <w:sz w:val="22"/>
                <w:szCs w:val="22"/>
              </w:rPr>
              <w:t>（2）投标人在</w:t>
            </w:r>
            <w:r>
              <w:rPr>
                <w:bCs/>
                <w:snapToGrid w:val="0"/>
                <w:color w:val="000000"/>
                <w:kern w:val="0"/>
                <w:sz w:val="22"/>
                <w:szCs w:val="22"/>
              </w:rPr>
              <w:t>合肥</w:t>
            </w:r>
            <w:r>
              <w:rPr>
                <w:rFonts w:hint="eastAsia"/>
                <w:bCs/>
                <w:snapToGrid w:val="0"/>
                <w:color w:val="000000"/>
                <w:kern w:val="0"/>
                <w:sz w:val="22"/>
                <w:szCs w:val="22"/>
              </w:rPr>
              <w:t>行政区域范围（含四县一市）</w:t>
            </w:r>
            <w:r>
              <w:rPr>
                <w:rFonts w:hint="eastAsia" w:cs="楷体"/>
                <w:bCs/>
                <w:snapToGrid w:val="0"/>
                <w:color w:val="000000"/>
                <w:kern w:val="0"/>
                <w:sz w:val="22"/>
                <w:szCs w:val="22"/>
              </w:rPr>
              <w:t>注册成立的；</w:t>
            </w:r>
          </w:p>
          <w:p>
            <w:pPr>
              <w:spacing w:line="360" w:lineRule="auto"/>
              <w:rPr>
                <w:rFonts w:hint="eastAsia"/>
                <w:bCs/>
                <w:snapToGrid w:val="0"/>
                <w:color w:val="000000"/>
                <w:kern w:val="0"/>
                <w:sz w:val="22"/>
                <w:szCs w:val="22"/>
              </w:rPr>
            </w:pPr>
            <w:r>
              <w:rPr>
                <w:rFonts w:hint="eastAsia" w:cs="楷体"/>
                <w:bCs/>
                <w:snapToGrid w:val="0"/>
                <w:color w:val="000000"/>
                <w:kern w:val="0"/>
                <w:sz w:val="22"/>
                <w:szCs w:val="22"/>
              </w:rPr>
              <w:t>（3）承诺中标</w:t>
            </w:r>
            <w:r>
              <w:rPr>
                <w:rFonts w:hint="eastAsia"/>
                <w:bCs/>
                <w:snapToGrid w:val="0"/>
                <w:color w:val="000000"/>
                <w:kern w:val="0"/>
                <w:sz w:val="22"/>
                <w:szCs w:val="22"/>
              </w:rPr>
              <w:t>即在</w:t>
            </w:r>
            <w:r>
              <w:rPr>
                <w:bCs/>
                <w:snapToGrid w:val="0"/>
                <w:color w:val="000000"/>
                <w:kern w:val="0"/>
                <w:sz w:val="22"/>
                <w:szCs w:val="22"/>
              </w:rPr>
              <w:t>合肥</w:t>
            </w:r>
            <w:r>
              <w:rPr>
                <w:rFonts w:hint="eastAsia"/>
                <w:bCs/>
                <w:snapToGrid w:val="0"/>
                <w:color w:val="000000"/>
                <w:kern w:val="0"/>
                <w:sz w:val="22"/>
                <w:szCs w:val="22"/>
              </w:rPr>
              <w:t>行政区域范围（含四县一市）设立服务机构，或委托相关单位作为服务机构；</w:t>
            </w:r>
          </w:p>
          <w:p>
            <w:pPr>
              <w:spacing w:line="360" w:lineRule="auto"/>
              <w:rPr>
                <w:bCs/>
                <w:color w:val="000000"/>
                <w:sz w:val="22"/>
                <w:szCs w:val="22"/>
              </w:rPr>
            </w:pPr>
            <w:r>
              <w:rPr>
                <w:rFonts w:hint="eastAsia"/>
                <w:bCs/>
                <w:snapToGrid w:val="0"/>
                <w:color w:val="000000"/>
                <w:kern w:val="0"/>
                <w:sz w:val="22"/>
                <w:szCs w:val="22"/>
              </w:rPr>
              <w:t>（4）委托相关单位作为服务机构</w:t>
            </w:r>
            <w:r>
              <w:rPr>
                <w:rFonts w:hint="eastAsia" w:cs="楷体"/>
                <w:bCs/>
                <w:snapToGrid w:val="0"/>
                <w:color w:val="000000"/>
                <w:kern w:val="0"/>
                <w:sz w:val="22"/>
                <w:szCs w:val="22"/>
              </w:rPr>
              <w:t>。</w:t>
            </w:r>
          </w:p>
        </w:tc>
      </w:tr>
    </w:tbl>
    <w:p>
      <w:pPr>
        <w:spacing w:line="360" w:lineRule="auto"/>
        <w:ind w:firstLine="440" w:firstLineChars="200"/>
        <w:rPr>
          <w:rFonts w:hint="eastAsia"/>
          <w:b/>
          <w:kern w:val="0"/>
          <w:szCs w:val="21"/>
        </w:rPr>
      </w:pPr>
      <w:r>
        <w:rPr>
          <w:rFonts w:hint="eastAsia"/>
          <w:bCs/>
          <w:snapToGrid w:val="0"/>
          <w:color w:val="000000"/>
          <w:kern w:val="0"/>
          <w:sz w:val="22"/>
          <w:szCs w:val="22"/>
        </w:rPr>
        <w:t>注：对于本地化服务要求第（1）种情形的，应当提供固定办公场所的自有产权证明或租赁合同等证明材料；第（2）种情形的应当提供营业执照；第（3）种情形的，应当提供承诺函；第（4）种情形的，提供相关委托协议等证明材料。</w:t>
      </w:r>
    </w:p>
    <w:p>
      <w:pPr>
        <w:jc w:val="center"/>
      </w:pPr>
      <w:bookmarkStart w:id="39" w:name="_Toc283798422"/>
      <w:bookmarkStart w:id="40" w:name="_Toc15656409"/>
      <w:r>
        <w:br w:type="page"/>
      </w:r>
      <w:r>
        <w:rPr>
          <w:rFonts w:hint="eastAsia" w:eastAsia="黑体"/>
          <w:bCs/>
          <w:sz w:val="32"/>
          <w:szCs w:val="32"/>
        </w:rPr>
        <w:t>投标人须知</w:t>
      </w:r>
      <w:bookmarkEnd w:id="39"/>
      <w:r>
        <w:rPr>
          <w:rFonts w:hint="eastAsia" w:eastAsia="黑体"/>
          <w:bCs/>
          <w:sz w:val="32"/>
          <w:szCs w:val="32"/>
        </w:rPr>
        <w:t>正文修改一览表</w:t>
      </w:r>
      <w:bookmarkEnd w:id="40"/>
    </w:p>
    <w:p>
      <w:pPr>
        <w:pStyle w:val="146"/>
        <w:autoSpaceDE w:val="0"/>
        <w:autoSpaceDN w:val="0"/>
        <w:adjustRightInd w:val="0"/>
        <w:snapToGrid w:val="0"/>
        <w:spacing w:line="240" w:lineRule="atLeast"/>
        <w:jc w:val="center"/>
        <w:rPr>
          <w:rFonts w:cs="宋体"/>
          <w:b/>
          <w:sz w:val="31"/>
          <w:szCs w:val="49"/>
        </w:rPr>
      </w:pPr>
    </w:p>
    <w:p>
      <w:pPr>
        <w:pStyle w:val="146"/>
        <w:spacing w:line="360" w:lineRule="auto"/>
        <w:rPr>
          <w:rFonts w:cs="宋体"/>
          <w:spacing w:val="-10"/>
          <w:kern w:val="0"/>
        </w:rPr>
      </w:pPr>
      <w:r>
        <w:rPr>
          <w:rFonts w:hint="eastAsia"/>
          <w:kern w:val="0"/>
          <w:szCs w:val="21"/>
        </w:rPr>
        <w:t>投标人须知正文条款内容修改如下：</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541"/>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b/>
                <w:sz w:val="22"/>
                <w:szCs w:val="22"/>
              </w:rPr>
            </w:pPr>
            <w:r>
              <w:rPr>
                <w:rFonts w:hint="eastAsia"/>
                <w:b/>
                <w:sz w:val="22"/>
                <w:szCs w:val="22"/>
              </w:rPr>
              <w:t>条款</w:t>
            </w:r>
          </w:p>
          <w:p>
            <w:pPr>
              <w:pStyle w:val="146"/>
              <w:spacing w:line="480" w:lineRule="exact"/>
              <w:jc w:val="center"/>
              <w:rPr>
                <w:b/>
                <w:sz w:val="22"/>
                <w:szCs w:val="22"/>
              </w:rPr>
            </w:pPr>
            <w:r>
              <w:rPr>
                <w:rFonts w:hint="eastAsia"/>
                <w:b/>
                <w:sz w:val="22"/>
                <w:szCs w:val="22"/>
              </w:rPr>
              <w:t>编号</w:t>
            </w: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b/>
                <w:sz w:val="22"/>
                <w:szCs w:val="22"/>
              </w:rPr>
            </w:pPr>
            <w:r>
              <w:rPr>
                <w:rFonts w:hint="eastAsia"/>
                <w:b/>
                <w:sz w:val="22"/>
                <w:szCs w:val="22"/>
              </w:rPr>
              <w:t>示范文本中条款内容</w:t>
            </w:r>
          </w:p>
        </w:tc>
        <w:tc>
          <w:tcPr>
            <w:tcW w:w="623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b/>
                <w:sz w:val="22"/>
                <w:szCs w:val="22"/>
              </w:rPr>
            </w:pPr>
            <w:r>
              <w:rPr>
                <w:rFonts w:hint="eastAsia"/>
                <w:b/>
                <w:sz w:val="22"/>
                <w:szCs w:val="22"/>
              </w:rPr>
              <w:t>修改后条款内容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r>
              <w:rPr>
                <w:rFonts w:hint="eastAsia"/>
                <w:sz w:val="22"/>
                <w:szCs w:val="22"/>
              </w:rPr>
              <w:t>3.1.1</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sz w:val="22"/>
                <w:szCs w:val="22"/>
              </w:rPr>
            </w:pPr>
            <w:r>
              <w:rPr>
                <w:rFonts w:hint="eastAsia" w:ascii="宋体" w:hAnsi="宋体" w:cs="宋体"/>
                <w:color w:val="000000"/>
                <w:kern w:val="0"/>
                <w:sz w:val="22"/>
                <w:szCs w:val="22"/>
              </w:rPr>
              <w:t>投标文件应包括下列内容：</w:t>
            </w:r>
          </w:p>
        </w:tc>
        <w:tc>
          <w:tcPr>
            <w:tcW w:w="623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sz w:val="22"/>
                <w:szCs w:val="22"/>
              </w:rPr>
            </w:pPr>
            <w:r>
              <w:rPr>
                <w:rFonts w:hint="eastAsia" w:ascii="宋体" w:hAnsi="宋体" w:cs="宋体"/>
                <w:color w:val="000000"/>
                <w:kern w:val="0"/>
                <w:sz w:val="22"/>
                <w:szCs w:val="22"/>
              </w:rPr>
              <w:t>投标文件应包括下列内容（具体以第六章投标文件格式 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r>
              <w:rPr>
                <w:rFonts w:hint="eastAsia"/>
                <w:sz w:val="22"/>
                <w:szCs w:val="22"/>
              </w:rPr>
              <w:t>3.4.5</w:t>
            </w: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rPr>
                <w:rFonts w:hint="eastAsia"/>
                <w:sz w:val="22"/>
                <w:szCs w:val="22"/>
              </w:rPr>
            </w:pPr>
            <w:r>
              <w:rPr>
                <w:rFonts w:hint="eastAsia" w:ascii="宋体" w:hAnsi="宋体" w:cs="宋体"/>
                <w:color w:val="000000"/>
                <w:kern w:val="0"/>
                <w:sz w:val="22"/>
                <w:szCs w:val="22"/>
              </w:rPr>
              <w:t>特别提醒：</w:t>
            </w:r>
          </w:p>
        </w:tc>
        <w:tc>
          <w:tcPr>
            <w:tcW w:w="623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sz w:val="22"/>
                <w:szCs w:val="22"/>
              </w:rPr>
            </w:pPr>
            <w:r>
              <w:rPr>
                <w:rFonts w:hint="eastAsia" w:ascii="宋体" w:hAnsi="宋体" w:cs="宋体"/>
                <w:color w:val="000000"/>
                <w:kern w:val="0"/>
                <w:sz w:val="22"/>
                <w:szCs w:val="22"/>
              </w:rPr>
              <w:t>投标人采用银行保函、担保机构担保函方式提交投标保证金的，如出现本项目招标文件“投标人须知”3.4.4 项所列情形以及招标文件所列其他投标保证金不予退还情形的，提供担保的银行、担保机构将无条件支付招 标人保函所列的全部投标保证金金额，该支付行为视同 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r>
              <w:rPr>
                <w:rFonts w:hint="eastAsia"/>
                <w:sz w:val="22"/>
                <w:szCs w:val="22"/>
              </w:rPr>
              <w:t>3.4.6</w:t>
            </w: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rPr>
                <w:rFonts w:hint="eastAsia"/>
                <w:sz w:val="22"/>
                <w:szCs w:val="22"/>
              </w:rPr>
            </w:pPr>
            <w:r>
              <w:rPr>
                <w:rFonts w:hint="eastAsia" w:ascii="宋体" w:hAnsi="宋体" w:cs="宋体"/>
                <w:color w:val="000000"/>
                <w:kern w:val="0"/>
                <w:sz w:val="22"/>
                <w:szCs w:val="22"/>
              </w:rPr>
              <w:t>投标保证金弄虚作假情形：</w:t>
            </w:r>
          </w:p>
        </w:tc>
        <w:tc>
          <w:tcPr>
            <w:tcW w:w="623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sz w:val="22"/>
                <w:szCs w:val="22"/>
              </w:rPr>
            </w:pPr>
            <w:r>
              <w:rPr>
                <w:rFonts w:hint="eastAsia" w:ascii="宋体" w:hAnsi="宋体" w:cs="宋体"/>
                <w:color w:val="000000"/>
                <w:kern w:val="0"/>
                <w:sz w:val="22"/>
                <w:szCs w:val="22"/>
              </w:rPr>
              <w:t xml:space="preserve">投标人采用虚假银行保函、担保机构担保函方式提交投标保证金的，除依法承担弄虚作假、骗取中标的法律责任外，仍应根据招标文件规定承担投标保证金不予退还的民事责任，其承担方式为限时足额缴纳招标文件所列全部投标保证金，投标人在招标人/招标代理机构发出追缴通知后的规定缴纳时间内不能足额支付投标保证金的，招标人/招标代理机构将依法提起诉讼追缴，招标人/招标代理机构因此发生的诉讼费、律师代理费等 </w:t>
            </w:r>
          </w:p>
          <w:p>
            <w:pPr>
              <w:widowControl/>
              <w:spacing w:line="480" w:lineRule="exact"/>
              <w:rPr>
                <w:sz w:val="22"/>
                <w:szCs w:val="22"/>
              </w:rPr>
            </w:pPr>
            <w:r>
              <w:rPr>
                <w:rFonts w:hint="eastAsia" w:ascii="宋体" w:hAnsi="宋体" w:cs="宋体"/>
                <w:color w:val="000000"/>
                <w:kern w:val="0"/>
                <w:sz w:val="22"/>
                <w:szCs w:val="22"/>
              </w:rPr>
              <w:t>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c>
          <w:tcPr>
            <w:tcW w:w="623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b/>
                <w:sz w:val="22"/>
                <w:szCs w:val="22"/>
              </w:rPr>
            </w:pPr>
          </w:p>
        </w:tc>
        <w:tc>
          <w:tcPr>
            <w:tcW w:w="623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c>
          <w:tcPr>
            <w:tcW w:w="2541"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c>
          <w:tcPr>
            <w:tcW w:w="6239" w:type="dxa"/>
            <w:tcBorders>
              <w:top w:val="single" w:color="auto" w:sz="4" w:space="0"/>
              <w:left w:val="single" w:color="auto" w:sz="4" w:space="0"/>
              <w:bottom w:val="single" w:color="auto" w:sz="4" w:space="0"/>
              <w:right w:val="single" w:color="auto" w:sz="4" w:space="0"/>
            </w:tcBorders>
            <w:vAlign w:val="center"/>
          </w:tcPr>
          <w:p>
            <w:pPr>
              <w:pStyle w:val="146"/>
              <w:spacing w:line="480" w:lineRule="exact"/>
              <w:jc w:val="center"/>
              <w:rPr>
                <w:sz w:val="22"/>
                <w:szCs w:val="22"/>
              </w:rPr>
            </w:pPr>
          </w:p>
        </w:tc>
      </w:tr>
    </w:tbl>
    <w:p>
      <w:pPr>
        <w:pStyle w:val="3"/>
        <w:spacing w:before="0" w:after="0" w:line="480" w:lineRule="exact"/>
        <w:rPr>
          <w:rFonts w:hint="eastAsia" w:ascii="宋体" w:hAnsi="宋体" w:cs="宋体"/>
          <w:b w:val="0"/>
          <w:sz w:val="22"/>
          <w:szCs w:val="22"/>
        </w:rPr>
      </w:pPr>
      <w:r>
        <w:rPr>
          <w:rFonts w:ascii="Times New Roman" w:hAnsi="Times New Roman" w:eastAsia="黑体"/>
          <w:b w:val="0"/>
        </w:rPr>
        <w:br w:type="page"/>
      </w:r>
      <w:bookmarkEnd w:id="10"/>
      <w:bookmarkEnd w:id="36"/>
      <w:bookmarkEnd w:id="37"/>
      <w:bookmarkEnd w:id="38"/>
      <w:bookmarkStart w:id="41" w:name="_Toc152042305"/>
      <w:bookmarkStart w:id="42" w:name="_Toc144974497"/>
      <w:bookmarkStart w:id="43" w:name="_Toc26781053"/>
      <w:bookmarkStart w:id="44" w:name="_Toc152045529"/>
      <w:bookmarkStart w:id="45" w:name="_Toc179632546"/>
      <w:r>
        <w:rPr>
          <w:rFonts w:hint="eastAsia" w:ascii="宋体" w:hAnsi="宋体" w:cs="宋体"/>
          <w:bCs w:val="0"/>
          <w:sz w:val="22"/>
          <w:szCs w:val="22"/>
        </w:rPr>
        <w:t>1. 总则</w:t>
      </w:r>
      <w:bookmarkEnd w:id="41"/>
      <w:bookmarkEnd w:id="42"/>
      <w:bookmarkEnd w:id="43"/>
      <w:bookmarkEnd w:id="44"/>
      <w:bookmarkEnd w:id="45"/>
    </w:p>
    <w:p>
      <w:pPr>
        <w:pStyle w:val="4"/>
        <w:spacing w:before="0" w:after="0" w:line="480" w:lineRule="exact"/>
        <w:ind w:firstLine="440" w:firstLineChars="200"/>
        <w:rPr>
          <w:rFonts w:hint="eastAsia" w:ascii="宋体" w:hAnsi="宋体" w:eastAsia="宋体" w:cs="宋体"/>
          <w:snapToGrid w:val="0"/>
          <w:sz w:val="22"/>
          <w:szCs w:val="22"/>
          <w:shd w:val="clear" w:color="auto" w:fill="FFFFFF"/>
          <w:lang w:val="zh-CN"/>
        </w:rPr>
      </w:pPr>
      <w:bookmarkStart w:id="46" w:name="_Toc144974498"/>
      <w:bookmarkStart w:id="47" w:name="_Toc179632547"/>
      <w:bookmarkStart w:id="48" w:name="_Toc152042306"/>
      <w:bookmarkStart w:id="49" w:name="_Toc152045530"/>
      <w:r>
        <w:rPr>
          <w:rFonts w:hint="eastAsia" w:ascii="宋体" w:hAnsi="宋体" w:eastAsia="宋体" w:cs="宋体"/>
          <w:snapToGrid w:val="0"/>
          <w:sz w:val="22"/>
          <w:szCs w:val="22"/>
          <w:shd w:val="clear" w:color="auto" w:fill="FFFFFF"/>
          <w:lang w:val="zh-CN"/>
        </w:rPr>
        <w:t>1.1 项目概况</w:t>
      </w:r>
      <w:bookmarkEnd w:id="46"/>
      <w:bookmarkEnd w:id="47"/>
      <w:bookmarkEnd w:id="48"/>
      <w:bookmarkEnd w:id="49"/>
    </w:p>
    <w:p>
      <w:pPr>
        <w:spacing w:line="480" w:lineRule="exact"/>
        <w:ind w:firstLine="440" w:firstLineChars="200"/>
        <w:rPr>
          <w:rFonts w:hint="eastAsia" w:ascii="宋体" w:hAnsi="宋体" w:cs="宋体"/>
          <w:color w:val="000000"/>
          <w:sz w:val="22"/>
          <w:szCs w:val="22"/>
        </w:rPr>
      </w:pPr>
      <w:r>
        <w:rPr>
          <w:rFonts w:hint="eastAsia" w:ascii="宋体" w:hAnsi="宋体" w:cs="宋体"/>
          <w:sz w:val="22"/>
          <w:szCs w:val="22"/>
        </w:rPr>
        <w:t>1.1.1根据《中华人民共和国招标投标法》《中华人民共和国招标投标法实施条例》等有关</w:t>
      </w:r>
      <w:r>
        <w:rPr>
          <w:rFonts w:hint="eastAsia" w:ascii="宋体" w:hAnsi="宋体" w:cs="宋体"/>
          <w:sz w:val="22"/>
          <w:szCs w:val="22"/>
          <w:lang w:eastAsia="zh-CN"/>
        </w:rPr>
        <w:t>法律法规</w:t>
      </w:r>
      <w:r>
        <w:rPr>
          <w:rFonts w:hint="eastAsia" w:ascii="宋体" w:hAnsi="宋体" w:cs="宋体"/>
          <w:sz w:val="22"/>
          <w:szCs w:val="22"/>
        </w:rPr>
        <w:t>和规章的规定，本招标项目已具备招标条件，</w:t>
      </w:r>
      <w:r>
        <w:rPr>
          <w:rFonts w:hint="eastAsia" w:ascii="宋体" w:hAnsi="宋体" w:cs="宋体"/>
          <w:color w:val="000000"/>
          <w:sz w:val="22"/>
          <w:szCs w:val="22"/>
        </w:rPr>
        <w:t>现对本标段货物采购进行招标。</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1.1.2 本招标项目招标人：见投标人须知前附表。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1.1.3 本标段招标代理机构：见投标人须知前附表。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1.1.4 本招标项目名称：见投标人须知前附表。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1.1.5 本标段建设地点：见投标人须知前附表。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1.1.6工程项目名称：即招标项目所属的工程建设项目，见投标人须知前附表。</w:t>
      </w:r>
    </w:p>
    <w:p>
      <w:pPr>
        <w:pStyle w:val="4"/>
        <w:spacing w:before="0" w:after="0" w:line="480" w:lineRule="exact"/>
        <w:ind w:firstLine="440" w:firstLineChars="200"/>
        <w:rPr>
          <w:rFonts w:hint="eastAsia" w:ascii="宋体" w:hAnsi="宋体" w:eastAsia="宋体" w:cs="宋体"/>
          <w:sz w:val="22"/>
          <w:szCs w:val="22"/>
        </w:rPr>
      </w:pPr>
      <w:bookmarkStart w:id="50" w:name="_Toc152042307"/>
      <w:bookmarkStart w:id="51" w:name="_Toc179632548"/>
      <w:bookmarkStart w:id="52" w:name="_Toc144974499"/>
      <w:bookmarkStart w:id="53" w:name="_Toc152045531"/>
      <w:r>
        <w:rPr>
          <w:rFonts w:hint="eastAsia" w:ascii="宋体" w:hAnsi="宋体" w:eastAsia="宋体" w:cs="宋体"/>
          <w:sz w:val="22"/>
          <w:szCs w:val="22"/>
        </w:rPr>
        <w:t>1.2 资金来源和落实情况</w:t>
      </w:r>
      <w:bookmarkEnd w:id="50"/>
      <w:bookmarkEnd w:id="51"/>
      <w:bookmarkEnd w:id="52"/>
      <w:bookmarkEnd w:id="53"/>
    </w:p>
    <w:p>
      <w:pPr>
        <w:spacing w:line="480" w:lineRule="exact"/>
        <w:ind w:firstLine="440" w:firstLineChars="200"/>
        <w:rPr>
          <w:rFonts w:hint="eastAsia" w:ascii="宋体" w:hAnsi="宋体" w:cs="宋体"/>
          <w:sz w:val="22"/>
          <w:szCs w:val="22"/>
        </w:rPr>
      </w:pPr>
      <w:r>
        <w:rPr>
          <w:rFonts w:hint="eastAsia" w:ascii="宋体" w:hAnsi="宋体" w:cs="宋体"/>
          <w:sz w:val="22"/>
          <w:szCs w:val="22"/>
        </w:rPr>
        <w:t>1.2.1 本招标项目的资金来源：见投标人须知前附表。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1.2.2 本招标项目的出资比例：见投标人须知前附表。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1.2.3 本招标项目的资金落实情况：见投标人须知前附表。</w:t>
      </w:r>
    </w:p>
    <w:p>
      <w:pPr>
        <w:pStyle w:val="4"/>
        <w:spacing w:before="0" w:after="0" w:line="480" w:lineRule="exact"/>
        <w:ind w:firstLine="440" w:firstLineChars="200"/>
        <w:rPr>
          <w:rFonts w:hint="eastAsia" w:ascii="宋体" w:hAnsi="宋体" w:eastAsia="宋体" w:cs="宋体"/>
          <w:sz w:val="22"/>
          <w:szCs w:val="22"/>
        </w:rPr>
      </w:pPr>
      <w:bookmarkStart w:id="54" w:name="_Toc179632549"/>
      <w:bookmarkStart w:id="55" w:name="_Toc152045532"/>
      <w:bookmarkStart w:id="56" w:name="_Toc152042308"/>
      <w:bookmarkStart w:id="57" w:name="_Toc144974500"/>
      <w:r>
        <w:rPr>
          <w:rFonts w:hint="eastAsia" w:ascii="宋体" w:hAnsi="宋体" w:eastAsia="宋体" w:cs="宋体"/>
          <w:sz w:val="22"/>
          <w:szCs w:val="22"/>
        </w:rPr>
        <w:t xml:space="preserve">1.3 </w:t>
      </w:r>
      <w:bookmarkEnd w:id="54"/>
      <w:bookmarkEnd w:id="55"/>
      <w:bookmarkEnd w:id="56"/>
      <w:bookmarkEnd w:id="57"/>
      <w:r>
        <w:rPr>
          <w:rFonts w:hint="eastAsia" w:ascii="宋体" w:hAnsi="宋体" w:eastAsia="宋体" w:cs="宋体"/>
          <w:sz w:val="22"/>
          <w:szCs w:val="22"/>
        </w:rPr>
        <w:t xml:space="preserve"> 招标范围、交货及安装周期、交货及安装地点和技术性能指标</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1.3.1 本次招标范围：见投标人须知前附表。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1.3.2交货及安装周期：见投标人须知前附表。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1.3.3 交货及安装地点：见投标人须知前附表。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1.3.4 技术性能指标：见投标人须知前附表。</w:t>
      </w:r>
    </w:p>
    <w:p>
      <w:pPr>
        <w:pStyle w:val="4"/>
        <w:spacing w:before="0" w:after="0" w:line="480" w:lineRule="exact"/>
        <w:ind w:firstLine="440" w:firstLineChars="200"/>
        <w:rPr>
          <w:rFonts w:hint="eastAsia" w:ascii="宋体" w:hAnsi="宋体" w:eastAsia="宋体" w:cs="宋体"/>
          <w:sz w:val="22"/>
          <w:szCs w:val="22"/>
        </w:rPr>
      </w:pPr>
      <w:bookmarkStart w:id="58" w:name="_Toc144974502"/>
      <w:bookmarkStart w:id="59" w:name="_Toc152042310"/>
      <w:bookmarkStart w:id="60" w:name="_Toc179632551"/>
      <w:bookmarkStart w:id="61" w:name="_Toc152045534"/>
      <w:r>
        <w:rPr>
          <w:rFonts w:hint="eastAsia" w:ascii="宋体" w:hAnsi="宋体" w:eastAsia="宋体" w:cs="宋体"/>
          <w:sz w:val="22"/>
          <w:szCs w:val="22"/>
        </w:rPr>
        <w:t>1.4 投标人资格要求</w:t>
      </w:r>
      <w:bookmarkEnd w:id="58"/>
      <w:bookmarkEnd w:id="59"/>
      <w:bookmarkEnd w:id="60"/>
      <w:bookmarkEnd w:id="61"/>
    </w:p>
    <w:p>
      <w:pPr>
        <w:spacing w:line="480" w:lineRule="exact"/>
        <w:ind w:firstLine="440" w:firstLineChars="200"/>
        <w:rPr>
          <w:rFonts w:hint="eastAsia" w:ascii="宋体" w:hAnsi="宋体" w:cs="宋体"/>
          <w:sz w:val="22"/>
          <w:szCs w:val="22"/>
        </w:rPr>
      </w:pPr>
      <w:r>
        <w:rPr>
          <w:rFonts w:hint="eastAsia" w:ascii="宋体" w:hAnsi="宋体" w:cs="宋体"/>
          <w:sz w:val="22"/>
          <w:szCs w:val="22"/>
        </w:rPr>
        <w:t>1.4.1投标人应具备承担本招标项目的资质条件、能力和信誉：</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（1）资质要求：见投标人须知前附表； </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（2）财务要求：见投标人须知前附表；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（3）业绩要求：见投标人须知前附表；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（4）信誉要求：见投标人须知前附表；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（5）其他要求：见投标人须知前附表。</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投标人为代理经销商的，对投标人的资质要求</w:t>
      </w:r>
      <w:r>
        <w:rPr>
          <w:rFonts w:hint="eastAsia" w:ascii="宋体" w:hAnsi="宋体" w:cs="宋体"/>
          <w:bCs/>
          <w:snapToGrid w:val="0"/>
          <w:color w:val="000000"/>
          <w:kern w:val="0"/>
          <w:sz w:val="22"/>
          <w:szCs w:val="22"/>
        </w:rPr>
        <w:t>可</w:t>
      </w:r>
      <w:r>
        <w:rPr>
          <w:rFonts w:hint="eastAsia" w:ascii="宋体" w:hAnsi="宋体" w:cs="宋体"/>
          <w:sz w:val="22"/>
          <w:szCs w:val="22"/>
        </w:rPr>
        <w:t>包含对制造商的资质要求，对投标人的业绩要求</w:t>
      </w:r>
      <w:r>
        <w:rPr>
          <w:rFonts w:hint="eastAsia" w:ascii="宋体" w:hAnsi="宋体" w:cs="宋体"/>
          <w:bCs/>
          <w:snapToGrid w:val="0"/>
          <w:color w:val="000000"/>
          <w:kern w:val="0"/>
          <w:sz w:val="22"/>
          <w:szCs w:val="22"/>
        </w:rPr>
        <w:t>可</w:t>
      </w:r>
      <w:r>
        <w:rPr>
          <w:rFonts w:hint="eastAsia" w:ascii="宋体" w:hAnsi="宋体" w:cs="宋体"/>
          <w:sz w:val="22"/>
          <w:szCs w:val="22"/>
        </w:rPr>
        <w:t>包含对投标货物的业绩要求。</w:t>
      </w:r>
      <w:r>
        <w:rPr>
          <w:rFonts w:hint="eastAsia" w:ascii="宋体" w:hAnsi="宋体" w:cs="宋体"/>
          <w:bCs/>
          <w:snapToGrid w:val="0"/>
          <w:color w:val="000000"/>
          <w:kern w:val="0"/>
          <w:sz w:val="22"/>
          <w:szCs w:val="22"/>
        </w:rPr>
        <w:t>需要提交的相关证明材料见本章第3.5款的规定。</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1.4.2 投标人须知前附表规定接受联合体投标的，</w:t>
      </w:r>
      <w:r>
        <w:rPr>
          <w:rFonts w:hint="eastAsia" w:ascii="宋体" w:hAnsi="宋体" w:cs="宋体"/>
          <w:bCs/>
          <w:snapToGrid w:val="0"/>
          <w:color w:val="000000"/>
          <w:kern w:val="0"/>
          <w:sz w:val="22"/>
          <w:szCs w:val="22"/>
        </w:rPr>
        <w:t>联合体</w:t>
      </w:r>
      <w:r>
        <w:rPr>
          <w:rFonts w:hint="eastAsia" w:ascii="宋体" w:hAnsi="宋体" w:cs="宋体"/>
          <w:sz w:val="22"/>
          <w:szCs w:val="22"/>
        </w:rPr>
        <w:t>除应符合本章第1.4.1项和投标人须知前附表的要求外，还应遵守以下规定：</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（1）联合体各方应按招标文件提供的格式签订联合体协议书，明确联合体牵头人和各方权利义务</w:t>
      </w:r>
      <w:r>
        <w:rPr>
          <w:rFonts w:hint="eastAsia" w:ascii="宋体" w:hAnsi="宋体" w:cs="宋体"/>
          <w:bCs/>
          <w:snapToGrid w:val="0"/>
          <w:color w:val="000000"/>
          <w:kern w:val="0"/>
          <w:sz w:val="22"/>
          <w:szCs w:val="22"/>
        </w:rPr>
        <w:t>，并承诺就中标项目向招标人承担连带责任</w:t>
      </w:r>
      <w:r>
        <w:rPr>
          <w:rFonts w:hint="eastAsia" w:ascii="宋体" w:hAnsi="宋体" w:cs="宋体"/>
          <w:sz w:val="22"/>
          <w:szCs w:val="22"/>
        </w:rPr>
        <w:t xml:space="preserve">； </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（2）由同一专业的单位组成的联合体，按照资质等级较低的单位确定资质等级；</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（3）联合体各方不得再以自己名义单独或参加其他联合体在同一标段中投标。</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（5）尽管</w:t>
      </w:r>
      <w:r>
        <w:rPr>
          <w:rFonts w:hint="eastAsia" w:ascii="宋体" w:hAnsi="宋体" w:cs="宋体"/>
          <w:bCs/>
          <w:snapToGrid w:val="0"/>
          <w:color w:val="000000"/>
          <w:kern w:val="0"/>
          <w:sz w:val="22"/>
          <w:szCs w:val="22"/>
          <w:lang w:eastAsia="zh-CN"/>
        </w:rPr>
        <w:t>委派</w:t>
      </w:r>
      <w:r>
        <w:rPr>
          <w:rFonts w:hint="eastAsia" w:ascii="宋体" w:hAnsi="宋体" w:cs="宋体"/>
          <w:bCs/>
          <w:snapToGrid w:val="0"/>
          <w:color w:val="000000"/>
          <w:kern w:val="0"/>
          <w:sz w:val="22"/>
          <w:szCs w:val="22"/>
        </w:rPr>
        <w:t>了联合体牵头人，但联合体各成员在投标、签约与履行合同过程中，仍负有连带的和各自的法律责任。</w:t>
      </w:r>
    </w:p>
    <w:p>
      <w:pPr>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shd w:val="clear" w:color="auto" w:fill="FFFFFF"/>
        </w:rPr>
        <w:t xml:space="preserve">1.4.3 </w:t>
      </w:r>
      <w:r>
        <w:rPr>
          <w:rFonts w:hint="eastAsia" w:ascii="宋体" w:hAnsi="宋体" w:cs="宋体"/>
          <w:snapToGrid w:val="0"/>
          <w:color w:val="000000"/>
          <w:kern w:val="0"/>
          <w:sz w:val="22"/>
          <w:szCs w:val="22"/>
          <w:shd w:val="clear" w:color="auto" w:fill="FFFFFF"/>
          <w:lang w:val="zh-CN"/>
        </w:rPr>
        <w:t>投标人（包括联合体各成员</w:t>
      </w:r>
      <w:r>
        <w:rPr>
          <w:rFonts w:hint="eastAsia" w:ascii="宋体" w:hAnsi="宋体" w:cs="宋体"/>
          <w:snapToGrid w:val="0"/>
          <w:color w:val="000000"/>
          <w:kern w:val="0"/>
          <w:sz w:val="22"/>
          <w:szCs w:val="22"/>
          <w:shd w:val="clear" w:color="auto" w:fill="FFFFFF"/>
        </w:rPr>
        <w:t>）</w:t>
      </w:r>
      <w:r>
        <w:rPr>
          <w:rFonts w:hint="eastAsia" w:ascii="宋体" w:hAnsi="宋体" w:cs="宋体"/>
          <w:snapToGrid w:val="0"/>
          <w:color w:val="000000"/>
          <w:kern w:val="0"/>
          <w:sz w:val="22"/>
          <w:szCs w:val="22"/>
          <w:shd w:val="clear" w:color="auto" w:fill="FFFFFF"/>
          <w:lang w:val="zh-CN"/>
        </w:rPr>
        <w:t>不得与本标段相关单位存在下列关联关系：</w:t>
      </w:r>
      <w:r>
        <w:rPr>
          <w:rFonts w:hint="eastAsia" w:ascii="宋体" w:hAnsi="宋体" w:cs="宋体"/>
          <w:snapToGrid w:val="0"/>
          <w:color w:val="000000"/>
          <w:kern w:val="0"/>
          <w:sz w:val="22"/>
          <w:szCs w:val="22"/>
        </w:rPr>
        <w:t xml:space="preserve"> </w:t>
      </w:r>
    </w:p>
    <w:p>
      <w:pPr>
        <w:tabs>
          <w:tab w:val="left" w:pos="1046"/>
        </w:tabs>
        <w:spacing w:line="480" w:lineRule="exact"/>
        <w:ind w:firstLine="440" w:firstLineChars="200"/>
        <w:rPr>
          <w:rFonts w:hint="eastAsia" w:ascii="宋体" w:hAnsi="宋体" w:cs="宋体"/>
          <w:snapToGrid w:val="0"/>
          <w:kern w:val="0"/>
          <w:sz w:val="22"/>
          <w:szCs w:val="22"/>
        </w:rPr>
      </w:pPr>
      <w:r>
        <w:rPr>
          <w:rFonts w:hint="eastAsia" w:ascii="宋体" w:hAnsi="宋体" w:cs="宋体"/>
          <w:snapToGrid w:val="0"/>
          <w:kern w:val="0"/>
          <w:sz w:val="22"/>
          <w:szCs w:val="22"/>
          <w:shd w:val="clear" w:color="auto" w:fill="FFFFFF"/>
          <w:lang w:val="zh-CN"/>
        </w:rPr>
        <w:t>（1）为招标人不具有独立法人资格的附属机构（单位</w:t>
      </w:r>
      <w:r>
        <w:rPr>
          <w:rFonts w:hint="eastAsia" w:ascii="宋体" w:hAnsi="宋体" w:cs="宋体"/>
          <w:snapToGrid w:val="0"/>
          <w:kern w:val="0"/>
          <w:sz w:val="22"/>
          <w:szCs w:val="22"/>
          <w:shd w:val="clear" w:color="auto" w:fill="FFFFFF"/>
        </w:rPr>
        <w:t>）；</w:t>
      </w:r>
      <w:r>
        <w:rPr>
          <w:rFonts w:hint="eastAsia" w:ascii="宋体" w:hAnsi="宋体" w:cs="宋体"/>
          <w:snapToGrid w:val="0"/>
          <w:kern w:val="0"/>
          <w:sz w:val="22"/>
          <w:szCs w:val="22"/>
        </w:rPr>
        <w:t xml:space="preserve"> </w:t>
      </w:r>
    </w:p>
    <w:p>
      <w:pPr>
        <w:tabs>
          <w:tab w:val="left" w:pos="1046"/>
        </w:tabs>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shd w:val="clear" w:color="auto" w:fill="FFFFFF"/>
          <w:lang w:val="zh-CN"/>
        </w:rPr>
        <w:t>（2）与招标人存在利害关系且可能影响招标公正性；</w:t>
      </w:r>
    </w:p>
    <w:p>
      <w:pPr>
        <w:tabs>
          <w:tab w:val="left" w:pos="1046"/>
        </w:tabs>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shd w:val="clear" w:color="auto" w:fill="FFFFFF"/>
          <w:lang w:val="zh-CN"/>
        </w:rPr>
        <w:t>（3）与本标段的其他投标人同为一个单位负责人；</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（4）与本标段的其他投标人存在控股、管理关系；</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（5）为本标段前期准备提供过设计、编制技术规范和其他文件的咨询服务； </w:t>
      </w:r>
    </w:p>
    <w:p>
      <w:pPr>
        <w:spacing w:line="480" w:lineRule="exact"/>
        <w:ind w:firstLine="440" w:firstLineChars="200"/>
        <w:rPr>
          <w:rFonts w:hint="eastAsia" w:ascii="宋体" w:hAnsi="宋体" w:cs="宋体"/>
          <w:snapToGrid w:val="0"/>
          <w:kern w:val="0"/>
          <w:sz w:val="22"/>
          <w:szCs w:val="22"/>
          <w:shd w:val="clear" w:color="auto" w:fill="FFFFFF"/>
          <w:lang w:val="zh-CN"/>
        </w:rPr>
      </w:pPr>
      <w:r>
        <w:rPr>
          <w:rFonts w:hint="eastAsia" w:ascii="宋体" w:hAnsi="宋体" w:cs="宋体"/>
          <w:sz w:val="22"/>
          <w:szCs w:val="22"/>
        </w:rPr>
        <w:t xml:space="preserve">（6）为本工程项目的监理人，或者与本工程项目的监理人存在隶属关系或者其他利害关系； </w:t>
      </w:r>
    </w:p>
    <w:p>
      <w:pPr>
        <w:spacing w:line="480" w:lineRule="exact"/>
        <w:ind w:firstLine="440" w:firstLineChars="200"/>
        <w:rPr>
          <w:rFonts w:hint="eastAsia" w:ascii="宋体" w:hAnsi="宋体" w:cs="宋体"/>
          <w:snapToGrid w:val="0"/>
          <w:kern w:val="0"/>
          <w:sz w:val="22"/>
          <w:szCs w:val="22"/>
        </w:rPr>
      </w:pPr>
      <w:r>
        <w:rPr>
          <w:rFonts w:hint="eastAsia" w:ascii="宋体" w:hAnsi="宋体" w:cs="宋体"/>
          <w:snapToGrid w:val="0"/>
          <w:kern w:val="0"/>
          <w:sz w:val="22"/>
          <w:szCs w:val="22"/>
          <w:shd w:val="clear" w:color="auto" w:fill="FFFFFF"/>
          <w:lang w:val="zh-CN"/>
        </w:rPr>
        <w:t>（7）为本标段的代建人；</w:t>
      </w:r>
    </w:p>
    <w:p>
      <w:pPr>
        <w:tabs>
          <w:tab w:val="left" w:pos="1046"/>
        </w:tabs>
        <w:spacing w:line="480" w:lineRule="exact"/>
        <w:ind w:firstLine="440" w:firstLineChars="200"/>
        <w:rPr>
          <w:rFonts w:hint="eastAsia" w:ascii="宋体" w:hAnsi="宋体" w:cs="宋体"/>
          <w:snapToGrid w:val="0"/>
          <w:kern w:val="0"/>
          <w:sz w:val="22"/>
          <w:szCs w:val="22"/>
        </w:rPr>
      </w:pPr>
      <w:r>
        <w:rPr>
          <w:rFonts w:hint="eastAsia" w:ascii="宋体" w:hAnsi="宋体" w:cs="宋体"/>
          <w:snapToGrid w:val="0"/>
          <w:kern w:val="0"/>
          <w:sz w:val="22"/>
          <w:szCs w:val="22"/>
          <w:shd w:val="clear" w:color="auto" w:fill="FFFFFF"/>
          <w:lang w:val="zh-CN"/>
        </w:rPr>
        <w:t>（8）为本标段的招标代理机构；</w:t>
      </w:r>
    </w:p>
    <w:p>
      <w:pPr>
        <w:tabs>
          <w:tab w:val="left" w:pos="1046"/>
        </w:tabs>
        <w:spacing w:line="480" w:lineRule="exact"/>
        <w:ind w:firstLine="440" w:firstLineChars="200"/>
        <w:rPr>
          <w:rFonts w:hint="eastAsia" w:ascii="宋体" w:hAnsi="宋体" w:cs="宋体"/>
          <w:snapToGrid w:val="0"/>
          <w:kern w:val="0"/>
          <w:sz w:val="22"/>
          <w:szCs w:val="22"/>
        </w:rPr>
      </w:pPr>
      <w:r>
        <w:rPr>
          <w:rFonts w:hint="eastAsia" w:ascii="宋体" w:hAnsi="宋体" w:cs="宋体"/>
          <w:snapToGrid w:val="0"/>
          <w:kern w:val="0"/>
          <w:sz w:val="22"/>
          <w:szCs w:val="22"/>
          <w:shd w:val="clear" w:color="auto" w:fill="FFFFFF"/>
          <w:lang w:val="zh-CN"/>
        </w:rPr>
        <w:t>（9）与本标段的监理人或代建人或招标代理机构同为一个法定代表人；</w:t>
      </w:r>
    </w:p>
    <w:p>
      <w:pPr>
        <w:tabs>
          <w:tab w:val="left" w:pos="1169"/>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（10）与本标段的监理人或代建人或招标代理机构存在控股或参股关系；</w:t>
      </w:r>
    </w:p>
    <w:p>
      <w:pPr>
        <w:tabs>
          <w:tab w:val="left" w:pos="1169"/>
        </w:tabs>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shd w:val="clear" w:color="auto" w:fill="FFFFFF"/>
          <w:lang w:val="zh-CN"/>
        </w:rPr>
        <w:t>（11）法律法规或投标人须知前附表规定的其他情形。</w:t>
      </w:r>
    </w:p>
    <w:p>
      <w:pPr>
        <w:tabs>
          <w:tab w:val="left" w:pos="3828"/>
        </w:tabs>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bCs/>
          <w:snapToGrid w:val="0"/>
          <w:color w:val="000000"/>
          <w:kern w:val="0"/>
          <w:sz w:val="22"/>
          <w:szCs w:val="22"/>
        </w:rPr>
        <w:t>1.4.4 投标人（包括联合体各成员）不得存在下列不良状况或不良信用记录：</w:t>
      </w:r>
      <w:r>
        <w:rPr>
          <w:rFonts w:hint="eastAsia" w:ascii="宋体" w:hAnsi="宋体" w:cs="宋体"/>
          <w:snapToGrid w:val="0"/>
          <w:color w:val="000000"/>
          <w:kern w:val="0"/>
          <w:sz w:val="22"/>
          <w:szCs w:val="22"/>
        </w:rPr>
        <w:t xml:space="preserve"> </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（1）被设区的市级及以上建设行政主管部门/房屋建筑和市政基础设施工程招标投标活动的监督</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 xml:space="preserve">督部门暂停或取消本次招标项目工程所在地或公共资源交易平台所在地的投标资格或禁止进入安徽合肥公共资源交易平台，且处于有效期内； </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rPr>
        <w:t xml:space="preserve">    （2）</w:t>
      </w:r>
      <w:r>
        <w:rPr>
          <w:rFonts w:hint="eastAsia" w:ascii="宋体" w:hAnsi="宋体" w:cs="宋体"/>
          <w:snapToGrid w:val="0"/>
          <w:color w:val="000000"/>
          <w:kern w:val="0"/>
          <w:sz w:val="22"/>
          <w:szCs w:val="22"/>
          <w:shd w:val="clear" w:color="auto" w:fill="FFFFFF"/>
          <w:lang w:val="zh-CN"/>
        </w:rPr>
        <w:t xml:space="preserve">被责令停产停业，暂扣或者吊销许可证，暂扣或者吊销执照； </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（3）进入清算程序，或被宣告破产，或其他丧失履约能力的情形；</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（4）在近三年内（自投标截止之日向前追溯 3 年，下同）发生重大产品质量问题（以相关行业</w:t>
      </w:r>
    </w:p>
    <w:p>
      <w:pPr>
        <w:tabs>
          <w:tab w:val="left" w:pos="1046"/>
        </w:tabs>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napToGrid w:val="0"/>
          <w:color w:val="000000"/>
          <w:kern w:val="0"/>
          <w:sz w:val="22"/>
          <w:szCs w:val="22"/>
          <w:shd w:val="clear" w:color="auto" w:fill="FFFFFF"/>
          <w:lang w:val="zh-CN"/>
        </w:rPr>
        <w:t>业主管部门的行政处罚决定或司法机关出具的有关法律文书为准），但前述行政处罚已完成信用修改</w:t>
      </w:r>
    </w:p>
    <w:p>
      <w:pPr>
        <w:tabs>
          <w:tab w:val="left" w:pos="1046"/>
        </w:tabs>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napToGrid w:val="0"/>
          <w:color w:val="000000"/>
          <w:kern w:val="0"/>
          <w:sz w:val="22"/>
          <w:szCs w:val="22"/>
          <w:shd w:val="clear" w:color="auto" w:fill="FFFFFF"/>
          <w:lang w:val="zh-CN"/>
        </w:rPr>
        <w:t>复的，自行政处罚作出机关或信用修复主管部门同意修复之日起满一年的，不受三年期限限制；</w:t>
      </w:r>
      <w:r>
        <w:rPr>
          <w:rFonts w:hint="eastAsia" w:ascii="宋体" w:hAnsi="宋体" w:cs="宋体"/>
          <w:bCs/>
          <w:snapToGrid w:val="0"/>
          <w:color w:val="000000"/>
          <w:kern w:val="0"/>
          <w:sz w:val="22"/>
          <w:szCs w:val="22"/>
        </w:rPr>
        <w:t xml:space="preserve"> </w:t>
      </w:r>
    </w:p>
    <w:p>
      <w:pPr>
        <w:tabs>
          <w:tab w:val="left" w:pos="1009"/>
        </w:tabs>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（5）在国家企业信用信息公示系统（http://www.gsxt.gov.cn/）中被列入严重违法失信企业名单； </w:t>
      </w:r>
    </w:p>
    <w:p>
      <w:pPr>
        <w:tabs>
          <w:tab w:val="left" w:pos="1009"/>
        </w:tabs>
        <w:spacing w:line="480" w:lineRule="exact"/>
        <w:ind w:firstLine="440" w:firstLineChars="200"/>
        <w:rPr>
          <w:rFonts w:hint="eastAsia" w:ascii="宋体" w:hAnsi="宋体" w:cs="宋体"/>
          <w:snapToGrid w:val="0"/>
          <w:color w:val="000000"/>
          <w:kern w:val="0"/>
          <w:sz w:val="22"/>
          <w:szCs w:val="22"/>
        </w:rPr>
      </w:pPr>
      <w:r>
        <w:rPr>
          <w:rFonts w:hint="eastAsia" w:ascii="宋体" w:hAnsi="宋体" w:cs="宋体"/>
          <w:bCs/>
          <w:snapToGrid w:val="0"/>
          <w:color w:val="000000"/>
          <w:kern w:val="0"/>
          <w:sz w:val="22"/>
          <w:szCs w:val="22"/>
        </w:rPr>
        <w:t>（6）在“信用中国”网站（http://www.creditchina.gov.cn/）中被列入失信被执行人名单；</w:t>
      </w:r>
      <w:r>
        <w:rPr>
          <w:rFonts w:hint="eastAsia" w:ascii="宋体" w:hAnsi="宋体" w:cs="宋体"/>
          <w:snapToGrid w:val="0"/>
          <w:color w:val="000000"/>
          <w:kern w:val="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（7）在“信用中国”网站（http://www.creditchina.gov.cn/）中被列入重大税收违法案件当事人名单； </w:t>
      </w:r>
    </w:p>
    <w:p>
      <w:pPr>
        <w:tabs>
          <w:tab w:val="left" w:pos="1014"/>
        </w:tabs>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（8）在近三年内投标人或其法定代表人（单位负责人）有行贿犯罪行为的；</w:t>
      </w:r>
      <w:r>
        <w:rPr>
          <w:rFonts w:hint="eastAsia" w:ascii="宋体" w:hAnsi="宋体" w:cs="宋体"/>
          <w:color w:val="000000"/>
          <w:sz w:val="22"/>
          <w:szCs w:val="22"/>
        </w:rPr>
        <w:t xml:space="preserve"> </w:t>
      </w:r>
    </w:p>
    <w:p>
      <w:pPr>
        <w:tabs>
          <w:tab w:val="left" w:pos="1014"/>
        </w:tabs>
        <w:spacing w:line="480" w:lineRule="exact"/>
        <w:ind w:firstLine="440" w:firstLineChars="200"/>
        <w:rPr>
          <w:rFonts w:hint="eastAsia" w:ascii="宋体" w:hAnsi="宋体" w:cs="宋体"/>
          <w:bCs/>
          <w:snapToGrid w:val="0"/>
          <w:kern w:val="0"/>
          <w:sz w:val="22"/>
          <w:szCs w:val="22"/>
        </w:rPr>
      </w:pPr>
      <w:bookmarkStart w:id="62" w:name="_Toc152042311"/>
      <w:bookmarkStart w:id="63" w:name="_Toc179632552"/>
      <w:bookmarkStart w:id="64" w:name="_Toc144974503"/>
      <w:bookmarkStart w:id="65" w:name="_Toc152045535"/>
      <w:r>
        <w:rPr>
          <w:rFonts w:hint="eastAsia" w:ascii="宋体" w:hAnsi="宋体" w:cs="宋体"/>
          <w:sz w:val="22"/>
          <w:szCs w:val="22"/>
        </w:rPr>
        <w:t>（9）法律法规或投标人须知前附表规定的其他情形。</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1.5 费用承担</w:t>
      </w:r>
      <w:bookmarkEnd w:id="62"/>
      <w:bookmarkEnd w:id="63"/>
      <w:bookmarkEnd w:id="64"/>
      <w:bookmarkEnd w:id="65"/>
    </w:p>
    <w:p>
      <w:pPr>
        <w:spacing w:line="480" w:lineRule="exact"/>
        <w:ind w:firstLine="440" w:firstLineChars="200"/>
        <w:rPr>
          <w:rFonts w:hint="eastAsia" w:ascii="宋体" w:hAnsi="宋体" w:cs="宋体"/>
          <w:sz w:val="22"/>
          <w:szCs w:val="22"/>
        </w:rPr>
      </w:pPr>
      <w:r>
        <w:rPr>
          <w:rFonts w:hint="eastAsia" w:ascii="宋体" w:hAnsi="宋体" w:cs="宋体"/>
          <w:sz w:val="22"/>
          <w:szCs w:val="22"/>
        </w:rPr>
        <w:t>投标人准备和参加投标活动发生的费用自理。</w:t>
      </w:r>
    </w:p>
    <w:p>
      <w:pPr>
        <w:pStyle w:val="4"/>
        <w:spacing w:before="0" w:after="0" w:line="480" w:lineRule="exact"/>
        <w:ind w:firstLine="440" w:firstLineChars="200"/>
        <w:rPr>
          <w:rFonts w:hint="eastAsia" w:ascii="宋体" w:hAnsi="宋体" w:eastAsia="宋体" w:cs="宋体"/>
          <w:sz w:val="22"/>
          <w:szCs w:val="22"/>
        </w:rPr>
      </w:pPr>
      <w:bookmarkStart w:id="66" w:name="_Toc179632553"/>
      <w:bookmarkStart w:id="67" w:name="_Toc144974504"/>
      <w:bookmarkStart w:id="68" w:name="_Toc152045536"/>
      <w:bookmarkStart w:id="69" w:name="_Toc152042312"/>
      <w:r>
        <w:rPr>
          <w:rFonts w:hint="eastAsia" w:ascii="宋体" w:hAnsi="宋体" w:eastAsia="宋体" w:cs="宋体"/>
          <w:sz w:val="22"/>
          <w:szCs w:val="22"/>
        </w:rPr>
        <w:t>1.6 保密</w:t>
      </w:r>
      <w:bookmarkEnd w:id="66"/>
      <w:bookmarkEnd w:id="67"/>
      <w:bookmarkEnd w:id="68"/>
      <w:bookmarkEnd w:id="69"/>
    </w:p>
    <w:p>
      <w:pPr>
        <w:spacing w:line="480" w:lineRule="exact"/>
        <w:ind w:firstLine="440" w:firstLineChars="200"/>
        <w:rPr>
          <w:rFonts w:hint="eastAsia" w:ascii="宋体" w:hAnsi="宋体" w:cs="宋体"/>
          <w:sz w:val="22"/>
          <w:szCs w:val="22"/>
        </w:rPr>
      </w:pPr>
      <w:bookmarkStart w:id="70" w:name="_Toc144974505"/>
      <w:bookmarkStart w:id="71" w:name="_Toc179632554"/>
      <w:bookmarkStart w:id="72" w:name="_Toc152042313"/>
      <w:bookmarkStart w:id="73" w:name="_Toc152045537"/>
      <w:r>
        <w:rPr>
          <w:rFonts w:hint="eastAsia" w:ascii="宋体" w:hAnsi="宋体" w:cs="宋体"/>
          <w:sz w:val="22"/>
          <w:szCs w:val="22"/>
        </w:rPr>
        <w:t>参与招标投标活动的各方应对招标文件和投标文件中的商业和技术等秘密保密，</w:t>
      </w:r>
      <w:r>
        <w:rPr>
          <w:rFonts w:hint="eastAsia" w:ascii="宋体" w:hAnsi="宋体" w:cs="宋体"/>
          <w:bCs/>
          <w:snapToGrid w:val="0"/>
          <w:color w:val="000000"/>
          <w:kern w:val="0"/>
          <w:sz w:val="22"/>
          <w:szCs w:val="22"/>
        </w:rPr>
        <w:t>否则应承担相应的法律责任</w:t>
      </w:r>
      <w:r>
        <w:rPr>
          <w:rFonts w:hint="eastAsia" w:ascii="宋体" w:hAnsi="宋体" w:cs="宋体"/>
          <w:sz w:val="22"/>
          <w:szCs w:val="22"/>
        </w:rPr>
        <w:t>。</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1.7 语言</w:t>
      </w:r>
      <w:bookmarkEnd w:id="70"/>
      <w:r>
        <w:rPr>
          <w:rFonts w:hint="eastAsia" w:ascii="宋体" w:hAnsi="宋体" w:eastAsia="宋体" w:cs="宋体"/>
          <w:sz w:val="22"/>
          <w:szCs w:val="22"/>
        </w:rPr>
        <w:t>文字</w:t>
      </w:r>
      <w:bookmarkEnd w:id="71"/>
      <w:bookmarkEnd w:id="72"/>
      <w:bookmarkEnd w:id="73"/>
    </w:p>
    <w:p>
      <w:pPr>
        <w:spacing w:line="480" w:lineRule="exact"/>
        <w:ind w:firstLine="440" w:firstLineChars="200"/>
        <w:rPr>
          <w:rFonts w:hint="eastAsia" w:ascii="宋体" w:hAnsi="宋体" w:cs="宋体"/>
          <w:sz w:val="22"/>
          <w:szCs w:val="22"/>
        </w:rPr>
      </w:pPr>
      <w:bookmarkStart w:id="74" w:name="_Toc152045538"/>
      <w:bookmarkStart w:id="75" w:name="_Toc144974506"/>
      <w:bookmarkStart w:id="76" w:name="_Toc152042314"/>
      <w:bookmarkStart w:id="77" w:name="_Toc179632555"/>
      <w:r>
        <w:rPr>
          <w:rFonts w:hint="eastAsia" w:ascii="宋体" w:hAnsi="宋体" w:cs="宋体"/>
          <w:bCs/>
          <w:snapToGrid w:val="0"/>
          <w:color w:val="000000"/>
          <w:kern w:val="0"/>
          <w:sz w:val="22"/>
          <w:szCs w:val="22"/>
        </w:rPr>
        <w:t>招标投标文件使用的语言文字为中文。专用术语使用外文的，应附有中文注释。</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1.8 计量单位</w:t>
      </w:r>
      <w:bookmarkEnd w:id="74"/>
      <w:bookmarkEnd w:id="75"/>
      <w:bookmarkEnd w:id="76"/>
      <w:bookmarkEnd w:id="77"/>
    </w:p>
    <w:p>
      <w:pPr>
        <w:spacing w:line="480" w:lineRule="exact"/>
        <w:ind w:firstLine="440" w:firstLineChars="200"/>
        <w:rPr>
          <w:rFonts w:hint="eastAsia" w:ascii="宋体" w:hAnsi="宋体" w:cs="宋体"/>
          <w:sz w:val="22"/>
          <w:szCs w:val="22"/>
        </w:rPr>
      </w:pPr>
      <w:r>
        <w:rPr>
          <w:rFonts w:hint="eastAsia" w:ascii="宋体" w:hAnsi="宋体" w:cs="宋体"/>
          <w:sz w:val="22"/>
          <w:szCs w:val="22"/>
        </w:rPr>
        <w:t>所有计量均采用中华人民共和国法定计量单位。</w:t>
      </w:r>
    </w:p>
    <w:p>
      <w:pPr>
        <w:pStyle w:val="4"/>
        <w:spacing w:before="0" w:after="0" w:line="480" w:lineRule="exact"/>
        <w:ind w:firstLine="440" w:firstLineChars="200"/>
        <w:rPr>
          <w:rFonts w:hint="eastAsia" w:ascii="宋体" w:hAnsi="宋体" w:eastAsia="宋体" w:cs="宋体"/>
          <w:sz w:val="22"/>
          <w:szCs w:val="22"/>
        </w:rPr>
      </w:pPr>
      <w:bookmarkStart w:id="78" w:name="_Toc144974507"/>
      <w:bookmarkStart w:id="79" w:name="_Toc152045539"/>
      <w:bookmarkStart w:id="80" w:name="_Toc152042315"/>
      <w:bookmarkStart w:id="81" w:name="_Toc179632556"/>
      <w:r>
        <w:rPr>
          <w:rFonts w:hint="eastAsia" w:ascii="宋体" w:hAnsi="宋体" w:eastAsia="宋体" w:cs="宋体"/>
          <w:sz w:val="22"/>
          <w:szCs w:val="22"/>
        </w:rPr>
        <w:t>1.9 踏勘现场</w:t>
      </w:r>
      <w:bookmarkEnd w:id="78"/>
      <w:bookmarkEnd w:id="79"/>
      <w:bookmarkEnd w:id="80"/>
      <w:bookmarkEnd w:id="81"/>
    </w:p>
    <w:p>
      <w:pPr>
        <w:spacing w:line="480" w:lineRule="exact"/>
        <w:ind w:firstLine="440" w:firstLineChars="200"/>
        <w:rPr>
          <w:rFonts w:hint="eastAsia" w:ascii="宋体" w:hAnsi="宋体" w:cs="宋体"/>
          <w:sz w:val="22"/>
          <w:szCs w:val="22"/>
        </w:rPr>
      </w:pPr>
      <w:r>
        <w:rPr>
          <w:rFonts w:hint="eastAsia" w:ascii="宋体" w:hAnsi="宋体" w:cs="宋体"/>
          <w:sz w:val="22"/>
          <w:szCs w:val="22"/>
        </w:rPr>
        <w:t>1.9.1 投标人须知前附表规定组织踏勘现场的，招标人按投标人须知前附表规定的时间、地点组织投标人踏勘项目现场。</w:t>
      </w:r>
      <w:r>
        <w:rPr>
          <w:rFonts w:hint="eastAsia" w:ascii="宋体" w:hAnsi="宋体" w:cs="宋体"/>
          <w:bCs/>
          <w:snapToGrid w:val="0"/>
          <w:color w:val="000000"/>
          <w:kern w:val="0"/>
          <w:sz w:val="22"/>
          <w:szCs w:val="22"/>
        </w:rPr>
        <w:t>部分投标人未按时参加踏勘现场的，不影响踏勘现场的正常进行。招标人不得组织单个或部分投标人踏勘项目现场。</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1.9.2 投标人踏勘现场发生的费用自理。</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1.9.3 除招标人的原因外，投标人自行负责在踏勘现场中所发生的人员伤亡和财产损失。</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1.9.4 招标人在踏勘现场中介绍的项目场地和相关的周边环境情况，供投标人在编制投标文件时参考，招标人不对投标人据此作出的判断和决策负责。</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480" w:lineRule="exact"/>
        <w:ind w:firstLine="440" w:firstLineChars="200"/>
        <w:rPr>
          <w:rFonts w:hint="eastAsia" w:ascii="宋体" w:hAnsi="宋体" w:eastAsia="宋体" w:cs="宋体"/>
          <w:sz w:val="22"/>
          <w:szCs w:val="22"/>
        </w:rPr>
      </w:pPr>
      <w:bookmarkStart w:id="82" w:name="_Toc144974508"/>
      <w:bookmarkStart w:id="83" w:name="_Toc152045540"/>
      <w:bookmarkStart w:id="84" w:name="_Toc152042316"/>
      <w:bookmarkStart w:id="85" w:name="_Toc179632557"/>
      <w:r>
        <w:rPr>
          <w:rFonts w:hint="eastAsia" w:ascii="宋体" w:hAnsi="宋体" w:eastAsia="宋体" w:cs="宋体"/>
          <w:sz w:val="22"/>
          <w:szCs w:val="22"/>
        </w:rPr>
        <w:t>1.10 投标预备会</w:t>
      </w:r>
      <w:bookmarkEnd w:id="82"/>
      <w:bookmarkEnd w:id="83"/>
      <w:bookmarkEnd w:id="84"/>
      <w:bookmarkEnd w:id="85"/>
    </w:p>
    <w:p>
      <w:pPr>
        <w:spacing w:line="480" w:lineRule="exact"/>
        <w:ind w:firstLine="440" w:firstLineChars="200"/>
        <w:rPr>
          <w:rFonts w:hint="eastAsia" w:ascii="宋体" w:hAnsi="宋体" w:cs="宋体"/>
          <w:sz w:val="22"/>
          <w:szCs w:val="22"/>
        </w:rPr>
      </w:pPr>
      <w:r>
        <w:rPr>
          <w:rFonts w:hint="eastAsia" w:ascii="宋体" w:hAnsi="宋体" w:cs="宋体"/>
          <w:sz w:val="22"/>
          <w:szCs w:val="22"/>
        </w:rPr>
        <w:t>1.10.1 投标人须知前附表规定召开投标预备会的，招标人按投标人须知前附表规定的时间和地点召开投标预备会，澄清投标人提出的问题。</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1.10.2 投标人应按投标人须知前附表规定的时间和形式将提出的问题送达招标人，以便招标人在会议期间澄清。</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1.10.3 投标预备会后，招标人将对投标人所提问题的澄清，按本章第2.2款规定的时间和形式通知所有购买招标文件的投标人。该澄清内容为招标文件的组成部分。</w:t>
      </w:r>
    </w:p>
    <w:p>
      <w:pPr>
        <w:pStyle w:val="4"/>
        <w:spacing w:before="0" w:after="0" w:line="480" w:lineRule="exact"/>
        <w:ind w:firstLine="440" w:firstLineChars="200"/>
        <w:rPr>
          <w:rFonts w:hint="eastAsia" w:ascii="宋体" w:hAnsi="宋体" w:eastAsia="宋体" w:cs="宋体"/>
          <w:sz w:val="22"/>
          <w:szCs w:val="22"/>
        </w:rPr>
      </w:pPr>
      <w:bookmarkStart w:id="86" w:name="_Toc144974509"/>
      <w:bookmarkStart w:id="87" w:name="_Toc152042317"/>
      <w:bookmarkStart w:id="88" w:name="_Toc152045541"/>
      <w:bookmarkStart w:id="89" w:name="_Toc179632558"/>
      <w:r>
        <w:rPr>
          <w:rFonts w:hint="eastAsia" w:ascii="宋体" w:hAnsi="宋体" w:eastAsia="宋体" w:cs="宋体"/>
          <w:sz w:val="22"/>
          <w:szCs w:val="22"/>
        </w:rPr>
        <w:t>1.11 分包</w:t>
      </w:r>
      <w:bookmarkEnd w:id="86"/>
      <w:bookmarkEnd w:id="87"/>
      <w:bookmarkEnd w:id="88"/>
      <w:bookmarkEnd w:id="89"/>
    </w:p>
    <w:p>
      <w:pPr>
        <w:spacing w:line="480" w:lineRule="exact"/>
        <w:ind w:firstLine="440" w:firstLineChars="200"/>
        <w:rPr>
          <w:rFonts w:hint="eastAsia" w:ascii="宋体" w:hAnsi="宋体" w:cs="宋体"/>
          <w:sz w:val="22"/>
          <w:szCs w:val="22"/>
        </w:rPr>
      </w:pPr>
      <w:r>
        <w:rPr>
          <w:rFonts w:hint="eastAsia" w:ascii="宋体" w:hAnsi="宋体" w:cs="宋体"/>
          <w:sz w:val="22"/>
          <w:szCs w:val="22"/>
        </w:rPr>
        <w:t>1.11.1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480" w:lineRule="exact"/>
        <w:ind w:firstLine="440" w:firstLineChars="200"/>
        <w:rPr>
          <w:rFonts w:hint="eastAsia" w:ascii="宋体" w:hAnsi="宋体" w:cs="宋体"/>
          <w:sz w:val="22"/>
          <w:szCs w:val="22"/>
        </w:rPr>
      </w:pPr>
      <w:r>
        <w:rPr>
          <w:rFonts w:hint="eastAsia" w:ascii="宋体" w:hAnsi="宋体" w:cs="宋体"/>
          <w:bCs/>
          <w:snapToGrid w:val="0"/>
          <w:color w:val="000000"/>
          <w:kern w:val="0"/>
          <w:sz w:val="22"/>
          <w:szCs w:val="22"/>
        </w:rPr>
        <w:t>1.11.2 中标人不得向他人转让中标项目，接受分包的人不得再次分包。中标人应就分包项目向招标人负责，接受分包的人就分包项目承担连带责任。</w:t>
      </w:r>
    </w:p>
    <w:p>
      <w:pPr>
        <w:pStyle w:val="4"/>
        <w:spacing w:before="0" w:after="0" w:line="480" w:lineRule="exact"/>
        <w:ind w:firstLine="440" w:firstLineChars="200"/>
        <w:rPr>
          <w:rFonts w:hint="eastAsia" w:ascii="宋体" w:hAnsi="宋体" w:eastAsia="宋体" w:cs="宋体"/>
          <w:sz w:val="22"/>
          <w:szCs w:val="22"/>
        </w:rPr>
      </w:pPr>
      <w:bookmarkStart w:id="90" w:name="_Toc179632559"/>
      <w:r>
        <w:rPr>
          <w:rFonts w:hint="eastAsia" w:ascii="宋体" w:hAnsi="宋体" w:eastAsia="宋体" w:cs="宋体"/>
          <w:sz w:val="22"/>
          <w:szCs w:val="22"/>
        </w:rPr>
        <w:t xml:space="preserve">1.12 </w:t>
      </w:r>
      <w:bookmarkEnd w:id="90"/>
      <w:r>
        <w:rPr>
          <w:rFonts w:hint="eastAsia" w:ascii="宋体" w:hAnsi="宋体" w:eastAsia="宋体" w:cs="宋体"/>
          <w:sz w:val="22"/>
          <w:szCs w:val="22"/>
        </w:rPr>
        <w:t>响应和偏差</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1.12.1投标文件应当对招标文件的实质性要求和条件作出满足性或更有利于招标人的响应，否则，投标人的投标将被否决。实质性要求和条件见投标人须知前附表。</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1.12.2 </w:t>
      </w:r>
      <w:r>
        <w:rPr>
          <w:rFonts w:hint="eastAsia" w:ascii="宋体" w:hAnsi="宋体" w:cs="宋体"/>
          <w:sz w:val="22"/>
          <w:szCs w:val="22"/>
        </w:rPr>
        <w:t>投标人应根据招标文件的要求提供投标货物技术性能指标的详细描述、技术支持资料及技术服务和质保期服务计划等内容以对招标文件作出响应。</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1.12.4 投标人须知前附表规定了可以偏差的范围和最高偏差项数的，偏差应当符合投标人须知前附表规定的偏差范围和最高项数，超出偏差范围和最高偏差项数的投标将被否决。</w:t>
      </w:r>
    </w:p>
    <w:p>
      <w:pPr>
        <w:spacing w:line="480" w:lineRule="exact"/>
        <w:ind w:firstLine="440" w:firstLineChars="200"/>
        <w:rPr>
          <w:rFonts w:hint="eastAsia" w:ascii="宋体" w:hAnsi="宋体" w:cs="宋体"/>
          <w:sz w:val="22"/>
          <w:szCs w:val="22"/>
        </w:rPr>
      </w:pPr>
      <w:r>
        <w:rPr>
          <w:rFonts w:hint="eastAsia" w:ascii="宋体" w:hAnsi="宋体" w:cs="宋体"/>
          <w:color w:val="000000"/>
          <w:sz w:val="22"/>
          <w:szCs w:val="22"/>
        </w:rPr>
        <w:t>1.12.5 投标文件对招标文件的全部偏差，均应在投标文件的</w:t>
      </w:r>
      <w:r>
        <w:rPr>
          <w:rFonts w:hint="eastAsia" w:ascii="宋体" w:hAnsi="宋体" w:cs="宋体"/>
          <w:sz w:val="22"/>
          <w:szCs w:val="22"/>
        </w:rPr>
        <w:t>商务和技术偏差表</w:t>
      </w:r>
      <w:r>
        <w:rPr>
          <w:rFonts w:hint="eastAsia" w:ascii="宋体" w:hAnsi="宋体" w:cs="宋体"/>
          <w:color w:val="000000"/>
          <w:sz w:val="22"/>
          <w:szCs w:val="22"/>
        </w:rPr>
        <w:t>中列明，除</w:t>
      </w:r>
      <w:r>
        <w:rPr>
          <w:rFonts w:hint="eastAsia" w:ascii="宋体" w:hAnsi="宋体" w:cs="宋体"/>
          <w:sz w:val="22"/>
          <w:szCs w:val="22"/>
        </w:rPr>
        <w:t>列明的内容外，视为投标人响应招标文件的全部要求。</w:t>
      </w:r>
    </w:p>
    <w:p>
      <w:pPr>
        <w:pStyle w:val="3"/>
        <w:spacing w:before="0" w:after="0" w:line="480" w:lineRule="exact"/>
        <w:rPr>
          <w:rFonts w:hint="eastAsia" w:ascii="宋体" w:hAnsi="宋体" w:cs="宋体"/>
          <w:bCs w:val="0"/>
          <w:sz w:val="22"/>
          <w:szCs w:val="22"/>
        </w:rPr>
      </w:pPr>
      <w:bookmarkStart w:id="91" w:name="_Toc152042318"/>
      <w:bookmarkStart w:id="92" w:name="_Toc26781054"/>
      <w:bookmarkStart w:id="93" w:name="_Toc152045542"/>
      <w:bookmarkStart w:id="94" w:name="_Toc144974510"/>
      <w:bookmarkStart w:id="95" w:name="_Toc179632560"/>
      <w:r>
        <w:rPr>
          <w:rFonts w:hint="eastAsia" w:ascii="宋体" w:hAnsi="宋体" w:cs="宋体"/>
          <w:bCs w:val="0"/>
          <w:sz w:val="22"/>
          <w:szCs w:val="22"/>
        </w:rPr>
        <w:t>2. 招标文件</w:t>
      </w:r>
      <w:bookmarkEnd w:id="91"/>
      <w:bookmarkEnd w:id="92"/>
      <w:bookmarkEnd w:id="93"/>
      <w:bookmarkEnd w:id="94"/>
      <w:bookmarkEnd w:id="95"/>
    </w:p>
    <w:p>
      <w:pPr>
        <w:pStyle w:val="4"/>
        <w:spacing w:before="0" w:after="0" w:line="480" w:lineRule="exact"/>
        <w:ind w:firstLine="440" w:firstLineChars="200"/>
        <w:rPr>
          <w:rFonts w:hint="eastAsia" w:ascii="宋体" w:hAnsi="宋体" w:eastAsia="宋体" w:cs="宋体"/>
          <w:sz w:val="22"/>
          <w:szCs w:val="22"/>
        </w:rPr>
      </w:pPr>
      <w:bookmarkStart w:id="96" w:name="_Toc152042319"/>
      <w:bookmarkStart w:id="97" w:name="_Toc144974511"/>
      <w:bookmarkStart w:id="98" w:name="_Toc179632561"/>
      <w:bookmarkStart w:id="99" w:name="_Toc152045543"/>
      <w:r>
        <w:rPr>
          <w:rFonts w:hint="eastAsia" w:ascii="宋体" w:hAnsi="宋体" w:eastAsia="宋体" w:cs="宋体"/>
          <w:sz w:val="22"/>
          <w:szCs w:val="22"/>
        </w:rPr>
        <w:t>2.1 招标文件的组成</w:t>
      </w:r>
      <w:bookmarkEnd w:id="96"/>
      <w:bookmarkEnd w:id="97"/>
      <w:bookmarkEnd w:id="98"/>
      <w:bookmarkEnd w:id="99"/>
    </w:p>
    <w:p>
      <w:pPr>
        <w:spacing w:line="480" w:lineRule="exact"/>
        <w:ind w:firstLine="440" w:firstLineChars="200"/>
        <w:rPr>
          <w:rFonts w:hint="eastAsia" w:ascii="宋体" w:hAnsi="宋体" w:cs="宋体"/>
          <w:sz w:val="22"/>
          <w:szCs w:val="22"/>
        </w:rPr>
      </w:pPr>
      <w:r>
        <w:rPr>
          <w:rFonts w:hint="eastAsia" w:ascii="宋体" w:hAnsi="宋体" w:cs="宋体"/>
          <w:sz w:val="22"/>
          <w:szCs w:val="22"/>
        </w:rPr>
        <w:t>本招标文件包括：</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（1）招标公告（或投标邀请书）；</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（2）投标人须知；</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（3）评标办法；</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（4）合同条款及格式；</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（5）供货要求；</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（6）投标文件格式；</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（7）投标人须知前附表规定的其他资料。</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根据本章第1.10款、第2.2款和第2.3款对招标文件所</w:t>
      </w:r>
      <w:r>
        <w:rPr>
          <w:rFonts w:hint="eastAsia" w:ascii="宋体" w:hAnsi="宋体" w:cs="宋体"/>
          <w:sz w:val="22"/>
          <w:szCs w:val="22"/>
          <w:lang w:eastAsia="zh-CN"/>
        </w:rPr>
        <w:t>做</w:t>
      </w:r>
      <w:r>
        <w:rPr>
          <w:rFonts w:hint="eastAsia" w:ascii="宋体" w:hAnsi="宋体" w:cs="宋体"/>
          <w:sz w:val="22"/>
          <w:szCs w:val="22"/>
        </w:rPr>
        <w:t>的澄清、修改，构成招标文件的组成部分。当招标文件、招标文件的澄清或修改等在同一内容的表述上不一致时，以最后发出的文件为准。</w:t>
      </w:r>
    </w:p>
    <w:p>
      <w:pPr>
        <w:pStyle w:val="4"/>
        <w:spacing w:before="0" w:after="0" w:line="480" w:lineRule="exact"/>
        <w:ind w:firstLine="440" w:firstLineChars="200"/>
        <w:rPr>
          <w:rFonts w:hint="eastAsia" w:ascii="宋体" w:hAnsi="宋体" w:eastAsia="宋体" w:cs="宋体"/>
          <w:sz w:val="22"/>
          <w:szCs w:val="22"/>
        </w:rPr>
      </w:pPr>
      <w:bookmarkStart w:id="100" w:name="_Toc152042320"/>
      <w:bookmarkStart w:id="101" w:name="_Toc144974512"/>
      <w:bookmarkStart w:id="102" w:name="_Toc179632562"/>
      <w:bookmarkStart w:id="103" w:name="_Toc152045544"/>
      <w:r>
        <w:rPr>
          <w:rFonts w:hint="eastAsia" w:ascii="宋体" w:hAnsi="宋体" w:eastAsia="宋体" w:cs="宋体"/>
          <w:sz w:val="22"/>
          <w:szCs w:val="22"/>
        </w:rPr>
        <w:t>2.2 招标文件的澄清</w:t>
      </w:r>
      <w:bookmarkEnd w:id="100"/>
      <w:bookmarkEnd w:id="101"/>
      <w:bookmarkEnd w:id="102"/>
      <w:bookmarkEnd w:id="103"/>
    </w:p>
    <w:p>
      <w:pPr>
        <w:spacing w:line="480" w:lineRule="exact"/>
        <w:ind w:firstLine="440" w:firstLineChars="200"/>
        <w:rPr>
          <w:rFonts w:hint="eastAsia" w:ascii="宋体" w:hAnsi="宋体" w:cs="宋体"/>
          <w:sz w:val="22"/>
          <w:szCs w:val="22"/>
        </w:rPr>
      </w:pPr>
      <w:bookmarkStart w:id="104" w:name="_Toc144974513"/>
      <w:bookmarkStart w:id="105" w:name="_Toc152042321"/>
      <w:bookmarkStart w:id="106" w:name="_Toc152045545"/>
      <w:bookmarkStart w:id="107" w:name="_Toc179632563"/>
      <w:r>
        <w:rPr>
          <w:rFonts w:hint="eastAsia" w:ascii="宋体" w:hAnsi="宋体" w:cs="宋体"/>
          <w:sz w:val="22"/>
          <w:szCs w:val="22"/>
        </w:rPr>
        <w:t xml:space="preserve">2.2.1 </w:t>
      </w:r>
      <w:r>
        <w:rPr>
          <w:rFonts w:hint="eastAsia" w:ascii="宋体" w:hAnsi="宋体" w:cs="宋体"/>
          <w:bCs/>
          <w:snapToGrid w:val="0"/>
          <w:color w:val="000000"/>
          <w:kern w:val="0"/>
          <w:sz w:val="22"/>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2.2.2 </w:t>
      </w:r>
      <w:r>
        <w:rPr>
          <w:rFonts w:hint="eastAsia" w:ascii="宋体" w:hAnsi="宋体" w:cs="宋体"/>
          <w:bCs/>
          <w:snapToGrid w:val="0"/>
          <w:color w:val="000000"/>
          <w:kern w:val="0"/>
          <w:sz w:val="22"/>
          <w:szCs w:val="22"/>
        </w:rPr>
        <w:t>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pPr>
        <w:spacing w:line="480" w:lineRule="exact"/>
        <w:ind w:firstLine="440" w:firstLineChars="200"/>
        <w:rPr>
          <w:rFonts w:hint="eastAsia" w:ascii="宋体" w:hAnsi="宋体" w:cs="宋体"/>
          <w:snapToGrid w:val="0"/>
          <w:color w:val="000000"/>
          <w:kern w:val="0"/>
          <w:sz w:val="22"/>
          <w:szCs w:val="22"/>
          <w:shd w:val="clear" w:color="auto" w:fill="FFFFFF"/>
          <w:lang w:val="zh-CN"/>
        </w:rPr>
      </w:pPr>
      <w:r>
        <w:rPr>
          <w:rFonts w:hint="eastAsia" w:ascii="宋体" w:hAnsi="宋体" w:cs="宋体"/>
          <w:sz w:val="22"/>
          <w:szCs w:val="22"/>
        </w:rPr>
        <w:t xml:space="preserve">2.2.3 </w:t>
      </w:r>
      <w:r>
        <w:rPr>
          <w:rFonts w:hint="eastAsia" w:ascii="宋体" w:hAnsi="宋体" w:cs="宋体"/>
          <w:bCs/>
          <w:snapToGrid w:val="0"/>
          <w:color w:val="000000"/>
          <w:kern w:val="0"/>
          <w:sz w:val="22"/>
          <w:szCs w:val="22"/>
        </w:rPr>
        <w:t>投标人在收到澄清后，应按投标人须知前附表规定的时间和形式通知招标人，确认已收到该澄清。</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2.2.4 </w:t>
      </w:r>
      <w:r>
        <w:rPr>
          <w:rFonts w:hint="eastAsia" w:ascii="宋体" w:hAnsi="宋体" w:cs="宋体"/>
          <w:bCs/>
          <w:snapToGrid w:val="0"/>
          <w:color w:val="000000"/>
          <w:kern w:val="0"/>
          <w:sz w:val="22"/>
          <w:szCs w:val="22"/>
        </w:rPr>
        <w:t>除非招标人认为确有必要答复，否则，招标人有权拒绝回复投标人在本章第2.2.1项规定的时间后提出的任何澄清要求。</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2.3 招标文件的修改</w:t>
      </w:r>
      <w:bookmarkEnd w:id="104"/>
      <w:bookmarkEnd w:id="105"/>
      <w:bookmarkEnd w:id="106"/>
      <w:bookmarkEnd w:id="107"/>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2.3.1 </w:t>
      </w:r>
      <w:r>
        <w:rPr>
          <w:rFonts w:hint="eastAsia" w:ascii="宋体" w:hAnsi="宋体" w:cs="宋体"/>
          <w:bCs/>
          <w:snapToGrid w:val="0"/>
          <w:color w:val="000000"/>
          <w:kern w:val="0"/>
          <w:sz w:val="22"/>
          <w:szCs w:val="22"/>
        </w:rPr>
        <w:t>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2.3.2 </w:t>
      </w:r>
      <w:r>
        <w:rPr>
          <w:rFonts w:hint="eastAsia" w:ascii="宋体" w:hAnsi="宋体" w:cs="宋体"/>
          <w:bCs/>
          <w:snapToGrid w:val="0"/>
          <w:color w:val="000000"/>
          <w:kern w:val="0"/>
          <w:sz w:val="22"/>
          <w:szCs w:val="22"/>
        </w:rPr>
        <w:t>投标人收到修改内容后，应按投标人须知前附表规定的时间和形式通知招标人，确认已收到该修改。</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2.4 招标文件的异议</w:t>
      </w:r>
    </w:p>
    <w:p>
      <w:pPr>
        <w:spacing w:line="480" w:lineRule="exact"/>
        <w:ind w:firstLine="440" w:firstLineChars="200"/>
        <w:rPr>
          <w:rFonts w:hint="eastAsia" w:ascii="宋体" w:hAnsi="宋体" w:cs="宋体"/>
          <w:bCs/>
          <w:snapToGrid w:val="0"/>
          <w:color w:val="000000"/>
          <w:kern w:val="0"/>
          <w:sz w:val="22"/>
          <w:szCs w:val="22"/>
        </w:rPr>
      </w:pPr>
      <w:bookmarkStart w:id="108" w:name="_Toc144974514"/>
      <w:bookmarkStart w:id="109" w:name="_Toc179632564"/>
      <w:bookmarkStart w:id="110" w:name="_Toc152045546"/>
      <w:bookmarkStart w:id="111" w:name="_Toc152042322"/>
      <w:r>
        <w:rPr>
          <w:rFonts w:hint="eastAsia" w:ascii="宋体" w:hAnsi="宋体" w:cs="宋体"/>
          <w:bCs/>
          <w:snapToGrid w:val="0"/>
          <w:color w:val="000000"/>
          <w:kern w:val="0"/>
          <w:sz w:val="22"/>
          <w:szCs w:val="22"/>
        </w:rPr>
        <w:t>投标人或其他利害关系人对招标文件有异议的，应在投标截止时间10日前以书面形式提出。招标人将在收到异议之日起3日内作出答复；作出答复前，将暂停招标投标活动。</w:t>
      </w:r>
    </w:p>
    <w:p>
      <w:pPr>
        <w:pStyle w:val="3"/>
        <w:spacing w:before="0" w:after="0" w:line="480" w:lineRule="exact"/>
        <w:rPr>
          <w:rFonts w:hint="eastAsia" w:ascii="宋体" w:hAnsi="宋体" w:cs="宋体"/>
          <w:bCs w:val="0"/>
          <w:sz w:val="22"/>
          <w:szCs w:val="22"/>
        </w:rPr>
      </w:pPr>
      <w:bookmarkStart w:id="112" w:name="_Toc26781055"/>
      <w:r>
        <w:rPr>
          <w:rFonts w:hint="eastAsia" w:ascii="宋体" w:hAnsi="宋体" w:cs="宋体"/>
          <w:bCs w:val="0"/>
          <w:sz w:val="22"/>
          <w:szCs w:val="22"/>
        </w:rPr>
        <w:t>3. 投标文件</w:t>
      </w:r>
      <w:bookmarkEnd w:id="108"/>
      <w:bookmarkEnd w:id="109"/>
      <w:bookmarkEnd w:id="110"/>
      <w:bookmarkEnd w:id="111"/>
      <w:bookmarkEnd w:id="112"/>
    </w:p>
    <w:p>
      <w:pPr>
        <w:pStyle w:val="4"/>
        <w:spacing w:before="0" w:after="0" w:line="480" w:lineRule="exact"/>
        <w:ind w:firstLine="440" w:firstLineChars="200"/>
        <w:rPr>
          <w:rFonts w:hint="eastAsia" w:ascii="宋体" w:hAnsi="宋体" w:eastAsia="宋体" w:cs="宋体"/>
          <w:sz w:val="22"/>
          <w:szCs w:val="22"/>
        </w:rPr>
      </w:pPr>
      <w:bookmarkStart w:id="113" w:name="_Toc152042323"/>
      <w:bookmarkStart w:id="114" w:name="_Toc179632565"/>
      <w:bookmarkStart w:id="115" w:name="_Toc144974515"/>
      <w:bookmarkStart w:id="116" w:name="_Toc152045547"/>
      <w:r>
        <w:rPr>
          <w:rFonts w:hint="eastAsia" w:ascii="宋体" w:hAnsi="宋体" w:eastAsia="宋体" w:cs="宋体"/>
          <w:sz w:val="22"/>
          <w:szCs w:val="22"/>
        </w:rPr>
        <w:t>3.1 投标文件的组成</w:t>
      </w:r>
      <w:bookmarkEnd w:id="113"/>
      <w:bookmarkEnd w:id="114"/>
      <w:bookmarkEnd w:id="115"/>
      <w:bookmarkEnd w:id="116"/>
    </w:p>
    <w:p>
      <w:pPr>
        <w:spacing w:line="480" w:lineRule="exact"/>
        <w:ind w:firstLine="440" w:firstLineChars="200"/>
        <w:rPr>
          <w:rFonts w:hint="eastAsia" w:ascii="宋体" w:hAnsi="宋体" w:cs="宋体"/>
          <w:sz w:val="22"/>
          <w:szCs w:val="22"/>
        </w:rPr>
      </w:pPr>
      <w:r>
        <w:rPr>
          <w:rFonts w:hint="eastAsia" w:ascii="宋体" w:hAnsi="宋体" w:cs="宋体"/>
          <w:sz w:val="22"/>
          <w:szCs w:val="22"/>
        </w:rPr>
        <w:t>3.1.1 投标文件应包括下列内容：</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商务及技术文件：</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（1）投标函（不含报价）；</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（2）法定代表人（单位负责人）身份证明或授权委托书；</w:t>
      </w:r>
      <w:r>
        <w:rPr>
          <w:rFonts w:hint="eastAsia" w:ascii="宋体" w:hAnsi="宋体" w:cs="宋体"/>
          <w:color w:val="00000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（3）联合体协议书；</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（4）投标保证金；</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（5）商务和技术偏差表；</w:t>
      </w:r>
      <w:r>
        <w:rPr>
          <w:rFonts w:hint="eastAsia" w:ascii="宋体" w:hAnsi="宋体" w:cs="宋体"/>
          <w:color w:val="00000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（6）资格审查资料；</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（7）投标货物技术性能指标的详细描述；</w:t>
      </w:r>
      <w:r>
        <w:rPr>
          <w:rFonts w:hint="eastAsia" w:ascii="宋体" w:hAnsi="宋体" w:cs="宋体"/>
          <w:color w:val="00000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（8）技术支持资料；</w:t>
      </w:r>
      <w:r>
        <w:rPr>
          <w:rFonts w:hint="eastAsia" w:ascii="宋体" w:hAnsi="宋体" w:cs="宋体"/>
          <w:color w:val="00000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（9）技术服务和质保期服务计划；</w:t>
      </w:r>
      <w:r>
        <w:rPr>
          <w:rFonts w:hint="eastAsia" w:ascii="宋体" w:hAnsi="宋体" w:cs="宋体"/>
          <w:color w:val="000000"/>
          <w:sz w:val="22"/>
          <w:szCs w:val="22"/>
        </w:rPr>
        <w:t xml:space="preserve">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（10）安装、调试方案；</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（11）投标人须知前附表规定的其他资料。</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报价文件：</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（1）投标函（含报价）；</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（2）分项报价表。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3.1.2 投标人须知前附表规定不接受联合体投标的，或投标人没有组成联合体的，投标文件不包括本章第3.1.1（3）目所指的联合体协议书。</w:t>
      </w:r>
    </w:p>
    <w:p>
      <w:pPr>
        <w:spacing w:line="480" w:lineRule="exact"/>
        <w:ind w:firstLine="440" w:firstLineChars="200"/>
        <w:rPr>
          <w:rFonts w:hint="eastAsia" w:ascii="宋体" w:hAnsi="宋体" w:cs="宋体"/>
          <w:color w:val="E36C0A"/>
          <w:sz w:val="22"/>
          <w:szCs w:val="22"/>
        </w:rPr>
      </w:pPr>
      <w:r>
        <w:rPr>
          <w:rFonts w:hint="eastAsia" w:ascii="宋体" w:hAnsi="宋体" w:cs="宋体"/>
          <w:sz w:val="22"/>
          <w:szCs w:val="22"/>
        </w:rPr>
        <w:t xml:space="preserve">3.1.3 </w:t>
      </w:r>
      <w:r>
        <w:rPr>
          <w:rFonts w:hint="eastAsia" w:ascii="宋体" w:hAnsi="宋体" w:cs="宋体"/>
          <w:bCs/>
          <w:snapToGrid w:val="0"/>
          <w:color w:val="000000"/>
          <w:kern w:val="0"/>
          <w:sz w:val="22"/>
          <w:szCs w:val="22"/>
        </w:rPr>
        <w:t>投标人须知前附表未要求提交投标保证金的，投标文件不包括本章第3.1.1（4</w:t>
      </w:r>
      <w:r>
        <w:rPr>
          <w:rFonts w:hint="eastAsia" w:ascii="宋体" w:hAnsi="宋体" w:cs="宋体"/>
          <w:bCs/>
          <w:snapToGrid w:val="0"/>
          <w:color w:val="000000"/>
          <w:kern w:val="0"/>
          <w:sz w:val="22"/>
          <w:szCs w:val="22"/>
          <w:lang w:eastAsia="zh-CN"/>
        </w:rPr>
        <w:t>）项</w:t>
      </w:r>
      <w:r>
        <w:rPr>
          <w:rFonts w:hint="eastAsia" w:ascii="宋体" w:hAnsi="宋体" w:cs="宋体"/>
          <w:bCs/>
          <w:snapToGrid w:val="0"/>
          <w:color w:val="000000"/>
          <w:kern w:val="0"/>
          <w:sz w:val="22"/>
          <w:szCs w:val="22"/>
        </w:rPr>
        <w:t>目所指的投标保证金。</w:t>
      </w:r>
    </w:p>
    <w:p>
      <w:pPr>
        <w:pStyle w:val="4"/>
        <w:spacing w:before="0" w:after="0" w:line="480" w:lineRule="exact"/>
        <w:ind w:firstLine="440" w:firstLineChars="200"/>
        <w:rPr>
          <w:rFonts w:hint="eastAsia" w:ascii="宋体" w:hAnsi="宋体" w:eastAsia="宋体" w:cs="宋体"/>
          <w:sz w:val="22"/>
          <w:szCs w:val="22"/>
        </w:rPr>
      </w:pPr>
      <w:bookmarkStart w:id="117" w:name="_Toc179632566"/>
      <w:bookmarkStart w:id="118" w:name="_Toc144974516"/>
      <w:bookmarkStart w:id="119" w:name="_Toc152045548"/>
      <w:bookmarkStart w:id="120" w:name="_Toc152042324"/>
      <w:r>
        <w:rPr>
          <w:rFonts w:hint="eastAsia" w:ascii="宋体" w:hAnsi="宋体" w:eastAsia="宋体" w:cs="宋体"/>
          <w:sz w:val="22"/>
          <w:szCs w:val="22"/>
        </w:rPr>
        <w:t>3.2 投标报价</w:t>
      </w:r>
      <w:bookmarkEnd w:id="117"/>
      <w:bookmarkEnd w:id="118"/>
      <w:bookmarkEnd w:id="119"/>
      <w:bookmarkEnd w:id="120"/>
    </w:p>
    <w:p>
      <w:pPr>
        <w:spacing w:line="480" w:lineRule="exact"/>
        <w:ind w:firstLine="440" w:firstLineChars="200"/>
        <w:rPr>
          <w:rFonts w:hint="eastAsia" w:ascii="宋体" w:hAnsi="宋体" w:cs="宋体"/>
          <w:bCs/>
          <w:snapToGrid w:val="0"/>
          <w:color w:val="000000"/>
          <w:kern w:val="0"/>
          <w:sz w:val="22"/>
          <w:szCs w:val="22"/>
        </w:rPr>
      </w:pPr>
      <w:bookmarkStart w:id="121" w:name="_Toc179632567"/>
      <w:bookmarkStart w:id="122" w:name="_Toc152045549"/>
      <w:bookmarkStart w:id="123" w:name="_Toc152042325"/>
      <w:bookmarkStart w:id="124" w:name="_Toc144974517"/>
      <w:r>
        <w:rPr>
          <w:rFonts w:hint="eastAsia" w:ascii="宋体" w:hAnsi="宋体" w:cs="宋体"/>
          <w:sz w:val="22"/>
          <w:szCs w:val="22"/>
        </w:rPr>
        <w:t xml:space="preserve">3.2.1 </w:t>
      </w:r>
      <w:r>
        <w:rPr>
          <w:rFonts w:hint="eastAsia" w:ascii="宋体" w:hAnsi="宋体" w:cs="宋体"/>
          <w:bCs/>
          <w:snapToGrid w:val="0"/>
          <w:color w:val="000000"/>
          <w:kern w:val="0"/>
          <w:sz w:val="22"/>
          <w:szCs w:val="22"/>
        </w:rPr>
        <w:t>投标报价应包括国家规定的增值税税金，除投标人须知前附表另有规定外，增值税税金按一般计税方法计算。投标人应按第六章“投标文件格式”的要求在投标函中进行报价并填写分项报价表。</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3.2.2 </w:t>
      </w:r>
      <w:r>
        <w:rPr>
          <w:rFonts w:hint="eastAsia" w:ascii="宋体" w:hAnsi="宋体" w:cs="宋体"/>
          <w:bCs/>
          <w:snapToGrid w:val="0"/>
          <w:color w:val="000000"/>
          <w:kern w:val="0"/>
          <w:sz w:val="22"/>
          <w:szCs w:val="22"/>
        </w:rPr>
        <w:t>投标人应充分了解本项目的总体情况以及影响投标报价的其他要素。</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480" w:lineRule="exact"/>
        <w:ind w:firstLine="440" w:firstLineChars="200"/>
        <w:jc w:val="left"/>
        <w:rPr>
          <w:rFonts w:hint="eastAsia" w:ascii="宋体" w:hAnsi="宋体" w:cs="宋体"/>
          <w:bCs/>
          <w:snapToGrid w:val="0"/>
          <w:color w:val="000000"/>
          <w:kern w:val="0"/>
          <w:sz w:val="22"/>
          <w:szCs w:val="22"/>
        </w:rPr>
      </w:pPr>
      <w:r>
        <w:rPr>
          <w:rFonts w:hint="eastAsia" w:ascii="宋体" w:hAnsi="宋体" w:cs="宋体"/>
          <w:sz w:val="22"/>
          <w:szCs w:val="22"/>
        </w:rPr>
        <w:t>3.2.4</w:t>
      </w:r>
      <w:r>
        <w:rPr>
          <w:rFonts w:hint="eastAsia" w:ascii="宋体" w:hAnsi="宋体" w:cs="宋体"/>
          <w:bCs/>
          <w:snapToGrid w:val="0"/>
          <w:color w:val="000000"/>
          <w:kern w:val="0"/>
          <w:sz w:val="22"/>
          <w:szCs w:val="22"/>
        </w:rPr>
        <w:t>招标人设有最高投标限价的，投标人的投标报价不得超过最高投标限价，最高投标限价在投标人须知前附表中载明。</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3.2.5 </w:t>
      </w:r>
      <w:r>
        <w:rPr>
          <w:rFonts w:hint="eastAsia" w:ascii="宋体" w:hAnsi="宋体" w:cs="宋体"/>
          <w:bCs/>
          <w:snapToGrid w:val="0"/>
          <w:color w:val="000000"/>
          <w:kern w:val="0"/>
          <w:sz w:val="22"/>
          <w:szCs w:val="22"/>
        </w:rPr>
        <w:t>投标报价的其他要求见投标人须知前附表。</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3.3 投标有效期</w:t>
      </w:r>
      <w:bookmarkEnd w:id="121"/>
      <w:bookmarkEnd w:id="122"/>
      <w:bookmarkEnd w:id="123"/>
      <w:bookmarkEnd w:id="124"/>
    </w:p>
    <w:p>
      <w:pPr>
        <w:spacing w:line="480" w:lineRule="exact"/>
        <w:ind w:firstLine="440" w:firstLineChars="200"/>
        <w:jc w:val="left"/>
        <w:rPr>
          <w:rFonts w:hint="eastAsia" w:ascii="宋体" w:hAnsi="宋体" w:cs="宋体"/>
          <w:sz w:val="22"/>
          <w:szCs w:val="22"/>
        </w:rPr>
      </w:pPr>
      <w:bookmarkStart w:id="125" w:name="_Toc152042326"/>
      <w:bookmarkStart w:id="126" w:name="_Toc144974518"/>
      <w:bookmarkStart w:id="127" w:name="_Toc152045550"/>
      <w:bookmarkStart w:id="128" w:name="_Toc179632568"/>
      <w:r>
        <w:rPr>
          <w:rFonts w:hint="eastAsia" w:ascii="宋体" w:hAnsi="宋体" w:cs="宋体"/>
          <w:snapToGrid w:val="0"/>
          <w:color w:val="000000"/>
          <w:kern w:val="0"/>
          <w:sz w:val="22"/>
          <w:szCs w:val="22"/>
          <w:shd w:val="clear" w:color="auto" w:fill="FFFFFF"/>
        </w:rPr>
        <w:t>3.3.1</w:t>
      </w:r>
      <w:r>
        <w:rPr>
          <w:rFonts w:hint="eastAsia" w:ascii="宋体" w:hAnsi="宋体" w:cs="宋体"/>
          <w:sz w:val="22"/>
          <w:szCs w:val="22"/>
        </w:rPr>
        <w:t xml:space="preserve"> </w:t>
      </w:r>
      <w:r>
        <w:rPr>
          <w:rFonts w:hint="eastAsia" w:ascii="宋体" w:hAnsi="宋体" w:cs="宋体"/>
          <w:bCs/>
          <w:snapToGrid w:val="0"/>
          <w:color w:val="000000"/>
          <w:kern w:val="0"/>
          <w:sz w:val="22"/>
          <w:szCs w:val="22"/>
        </w:rPr>
        <w:t>除投标人须知前附表另有规定外，投标有效期为90日。</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3.3.2 </w:t>
      </w:r>
      <w:r>
        <w:rPr>
          <w:rFonts w:hint="eastAsia" w:ascii="宋体" w:hAnsi="宋体" w:cs="宋体"/>
          <w:bCs/>
          <w:snapToGrid w:val="0"/>
          <w:color w:val="000000"/>
          <w:kern w:val="0"/>
          <w:sz w:val="22"/>
          <w:szCs w:val="22"/>
        </w:rPr>
        <w:t>在投标有效期内，投标人撤销投标文件的，应承担招标文件和法律规定的责任。</w:t>
      </w:r>
    </w:p>
    <w:p>
      <w:pPr>
        <w:spacing w:line="480" w:lineRule="exact"/>
        <w:ind w:firstLine="440" w:firstLineChars="200"/>
        <w:jc w:val="left"/>
        <w:rPr>
          <w:rFonts w:hint="eastAsia" w:ascii="宋体" w:hAnsi="宋体" w:cs="宋体"/>
          <w:sz w:val="22"/>
          <w:szCs w:val="22"/>
        </w:rPr>
      </w:pPr>
      <w:r>
        <w:rPr>
          <w:rFonts w:hint="eastAsia" w:ascii="宋体" w:hAnsi="宋体" w:cs="宋体"/>
          <w:sz w:val="22"/>
          <w:szCs w:val="22"/>
        </w:rPr>
        <w:t xml:space="preserve">3.3.3 </w:t>
      </w:r>
      <w:r>
        <w:rPr>
          <w:rFonts w:hint="eastAsia" w:ascii="宋体" w:hAnsi="宋体" w:cs="宋体"/>
          <w:bCs/>
          <w:snapToGrid w:val="0"/>
          <w:color w:val="000000"/>
          <w:kern w:val="0"/>
          <w:sz w:val="22"/>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3.4 投标保证金</w:t>
      </w:r>
      <w:bookmarkEnd w:id="125"/>
      <w:bookmarkEnd w:id="126"/>
      <w:bookmarkEnd w:id="127"/>
      <w:bookmarkEnd w:id="128"/>
    </w:p>
    <w:p>
      <w:pPr>
        <w:spacing w:line="480" w:lineRule="exact"/>
        <w:ind w:firstLine="440" w:firstLineChars="200"/>
        <w:rPr>
          <w:rFonts w:hint="eastAsia" w:ascii="宋体" w:hAnsi="宋体" w:cs="宋体"/>
          <w:sz w:val="22"/>
          <w:szCs w:val="22"/>
        </w:rPr>
      </w:pPr>
      <w:r>
        <w:rPr>
          <w:rFonts w:hint="eastAsia" w:ascii="宋体" w:hAnsi="宋体" w:cs="宋体"/>
          <w:sz w:val="22"/>
          <w:szCs w:val="22"/>
        </w:rPr>
        <w:t>3.4.1 投标人在递交投标文件的同时，应按投标人须知前附表规定的金额、担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无论采取何种形式的投标保证金，投标保证金有效期均应与投标有效期一致。招标人如果按本章第3.3.3项的规定延长了投标有效期，则投标保证金的有效期也相应延长。</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3.4.2 投标人不按本章第3.4.1项要求提交投标保证金的，评标委员会将否决其投标。</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3.4.3 </w:t>
      </w:r>
      <w:r>
        <w:rPr>
          <w:rFonts w:hint="eastAsia" w:ascii="宋体" w:hAnsi="宋体" w:cs="宋体"/>
          <w:bCs/>
          <w:snapToGrid w:val="0"/>
          <w:color w:val="000000"/>
          <w:kern w:val="0"/>
          <w:sz w:val="22"/>
          <w:szCs w:val="22"/>
        </w:rPr>
        <w:t>招标人最迟将在中标通知书发出后5日内向中标候选人以外的其他投标人退还投标保证金，与中标人签订合同后5日内向中标人和其他中标候选人退还投标保证金。投标保证金以现金或</w:t>
      </w:r>
      <w:bookmarkStart w:id="129" w:name="OLE_LINK1"/>
      <w:bookmarkStart w:id="130" w:name="OLE_LINK2"/>
      <w:r>
        <w:rPr>
          <w:rFonts w:hint="eastAsia" w:ascii="宋体" w:hAnsi="宋体" w:cs="宋体"/>
          <w:bCs/>
          <w:snapToGrid w:val="0"/>
          <w:color w:val="000000"/>
          <w:kern w:val="0"/>
          <w:sz w:val="22"/>
          <w:szCs w:val="22"/>
        </w:rPr>
        <w:t>支票</w:t>
      </w:r>
      <w:bookmarkEnd w:id="129"/>
      <w:bookmarkEnd w:id="130"/>
      <w:r>
        <w:rPr>
          <w:rFonts w:hint="eastAsia" w:ascii="宋体" w:hAnsi="宋体" w:cs="宋体"/>
          <w:bCs/>
          <w:snapToGrid w:val="0"/>
          <w:color w:val="000000"/>
          <w:kern w:val="0"/>
          <w:sz w:val="22"/>
          <w:szCs w:val="22"/>
        </w:rPr>
        <w:t>形式递交的，招标人应同时退还投标保证金的银行同期活期存款利息，且退还至投标人的基本账户。</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3.4.4 有下列情形之一的，投标保证</w:t>
      </w:r>
      <w:r>
        <w:rPr>
          <w:rFonts w:hint="eastAsia" w:ascii="宋体" w:hAnsi="宋体" w:cs="宋体"/>
          <w:bCs/>
          <w:snapToGrid w:val="0"/>
          <w:color w:val="000000"/>
          <w:kern w:val="0"/>
          <w:sz w:val="22"/>
          <w:szCs w:val="22"/>
        </w:rPr>
        <w:t xml:space="preserve">金将不予退还： </w:t>
      </w:r>
    </w:p>
    <w:p>
      <w:pPr>
        <w:spacing w:line="480" w:lineRule="exact"/>
        <w:ind w:firstLine="440" w:firstLineChars="200"/>
        <w:rPr>
          <w:rFonts w:hint="eastAsia" w:ascii="宋体" w:hAnsi="宋体" w:cs="宋体"/>
          <w:bCs/>
          <w:snapToGrid w:val="0"/>
          <w:color w:val="000000"/>
          <w:kern w:val="0"/>
          <w:sz w:val="22"/>
          <w:szCs w:val="22"/>
        </w:rPr>
      </w:pPr>
      <w:bookmarkStart w:id="131" w:name="_Toc152045552"/>
      <w:bookmarkStart w:id="132" w:name="_Toc152042328"/>
      <w:bookmarkStart w:id="133" w:name="_Toc179632570"/>
      <w:bookmarkStart w:id="134" w:name="_Toc144974520"/>
      <w:r>
        <w:rPr>
          <w:rFonts w:hint="eastAsia" w:ascii="宋体" w:hAnsi="宋体" w:cs="宋体"/>
          <w:bCs/>
          <w:snapToGrid w:val="0"/>
          <w:color w:val="000000"/>
          <w:kern w:val="0"/>
          <w:sz w:val="22"/>
          <w:szCs w:val="22"/>
        </w:rPr>
        <w:t xml:space="preserve">（1）投标人在规定的投标有效期内撤销其投标文件；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（2）中标人在收到中标通知书后，无正当理由不与招标人订立合同，在签订合同时向招标人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提出附加条件，或不按照招标文件要求提交履约保证金；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（3）发生投标人须知前附表规定的其他可以不予退还投标保证金的情形。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注：如投标保证金采用第二类、第三</w:t>
      </w:r>
      <w:r>
        <w:rPr>
          <w:rFonts w:hint="eastAsia" w:ascii="宋体" w:hAnsi="宋体" w:cs="宋体"/>
          <w:bCs/>
          <w:snapToGrid w:val="0"/>
          <w:color w:val="000000"/>
          <w:kern w:val="0"/>
          <w:sz w:val="22"/>
          <w:szCs w:val="22"/>
          <w:lang w:eastAsia="zh-CN"/>
        </w:rPr>
        <w:t>类形</w:t>
      </w:r>
      <w:r>
        <w:rPr>
          <w:rFonts w:hint="eastAsia" w:ascii="宋体" w:hAnsi="宋体" w:cs="宋体"/>
          <w:bCs/>
          <w:snapToGrid w:val="0"/>
          <w:color w:val="000000"/>
          <w:kern w:val="0"/>
          <w:sz w:val="22"/>
          <w:szCs w:val="22"/>
        </w:rPr>
        <w:t xml:space="preserve">式，出现以上情形的，由受益人向开立人申请索赔。 </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3.5 资格审查资料</w:t>
      </w:r>
      <w:bookmarkEnd w:id="131"/>
      <w:bookmarkEnd w:id="132"/>
      <w:bookmarkEnd w:id="133"/>
      <w:bookmarkEnd w:id="134"/>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3.5.1 投标人应按投标人须知前附表附录要求提供资格审查资料，内容及格式见第六章“投标文件格式”要求。</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3.5.2 投标人须知前附表规定接受联合体投标的，资格审查资料应包括联合体各方相关情况。</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3.5.3 招标人有权核查投标人在投标文件中提供的资料，若在评标期间发现投标人提供了虚假资料，其投标将被否决；若在签订合同前发现作为中标候选人的投标人提供了虚假资料，招标人有权取消其中标资格。同时招标人将投标人上述弄虚作假行为上报公共资源交易监督管理部门，作为不良记录记入交易主体信用信息。</w:t>
      </w:r>
    </w:p>
    <w:p>
      <w:pPr>
        <w:pStyle w:val="4"/>
        <w:spacing w:before="0" w:after="0" w:line="480" w:lineRule="exact"/>
        <w:ind w:firstLine="440" w:firstLineChars="200"/>
        <w:rPr>
          <w:rFonts w:hint="eastAsia" w:ascii="宋体" w:hAnsi="宋体" w:eastAsia="宋体" w:cs="宋体"/>
          <w:sz w:val="22"/>
          <w:szCs w:val="22"/>
        </w:rPr>
      </w:pPr>
      <w:bookmarkStart w:id="135" w:name="_Toc144974521"/>
      <w:bookmarkStart w:id="136" w:name="_Toc152042329"/>
      <w:bookmarkStart w:id="137" w:name="_Toc152045553"/>
      <w:bookmarkStart w:id="138" w:name="_Toc179632571"/>
      <w:r>
        <w:rPr>
          <w:rFonts w:hint="eastAsia" w:ascii="宋体" w:hAnsi="宋体" w:eastAsia="宋体" w:cs="宋体"/>
          <w:sz w:val="22"/>
          <w:szCs w:val="22"/>
        </w:rPr>
        <w:t>3.6 备选投标方案</w:t>
      </w:r>
      <w:bookmarkEnd w:id="135"/>
      <w:bookmarkEnd w:id="136"/>
      <w:bookmarkEnd w:id="137"/>
      <w:bookmarkEnd w:id="138"/>
    </w:p>
    <w:p>
      <w:pPr>
        <w:spacing w:line="480" w:lineRule="exact"/>
        <w:ind w:firstLine="440" w:firstLineChars="200"/>
        <w:rPr>
          <w:rFonts w:hint="eastAsia" w:ascii="宋体" w:hAnsi="宋体" w:cs="宋体"/>
          <w:sz w:val="22"/>
          <w:szCs w:val="22"/>
        </w:rPr>
      </w:pPr>
      <w:bookmarkStart w:id="139" w:name="_Toc179632572"/>
      <w:bookmarkStart w:id="140" w:name="_Toc152042330"/>
      <w:bookmarkStart w:id="141" w:name="_Toc144974522"/>
      <w:bookmarkStart w:id="142" w:name="_Toc152045554"/>
      <w:r>
        <w:rPr>
          <w:rFonts w:hint="eastAsia" w:ascii="宋体" w:hAnsi="宋体" w:cs="宋体"/>
          <w:sz w:val="22"/>
          <w:szCs w:val="22"/>
        </w:rPr>
        <w:t xml:space="preserve">3.6.1 </w:t>
      </w:r>
      <w:r>
        <w:rPr>
          <w:rFonts w:hint="eastAsia" w:ascii="宋体" w:hAnsi="宋体" w:cs="宋体"/>
          <w:bCs/>
          <w:snapToGrid w:val="0"/>
          <w:color w:val="000000"/>
          <w:kern w:val="0"/>
          <w:sz w:val="22"/>
          <w:szCs w:val="22"/>
        </w:rPr>
        <w:t>除投标人须知前附表规定允许外，投标人不得递交备选投标方案，否则其投标将被否决。</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3.6.2 </w:t>
      </w:r>
      <w:r>
        <w:rPr>
          <w:rFonts w:hint="eastAsia" w:ascii="宋体" w:hAnsi="宋体" w:cs="宋体"/>
          <w:bCs/>
          <w:snapToGrid w:val="0"/>
          <w:color w:val="000000"/>
          <w:kern w:val="0"/>
          <w:sz w:val="22"/>
          <w:szCs w:val="22"/>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3.6.3 </w:t>
      </w:r>
      <w:r>
        <w:rPr>
          <w:rFonts w:hint="eastAsia" w:ascii="宋体" w:hAnsi="宋体" w:cs="宋体"/>
          <w:bCs/>
          <w:snapToGrid w:val="0"/>
          <w:color w:val="000000"/>
          <w:kern w:val="0"/>
          <w:sz w:val="22"/>
          <w:szCs w:val="22"/>
        </w:rPr>
        <w:t>投标人提供两个或两个以上投标报价，或在投标文件中提供一个报价，但同时提供两个或两个以上供货方案的，视为提供备选方案。</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3.7 投标文件的编制</w:t>
      </w:r>
      <w:bookmarkEnd w:id="139"/>
      <w:bookmarkEnd w:id="140"/>
      <w:bookmarkEnd w:id="141"/>
      <w:bookmarkEnd w:id="142"/>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3.7.1 投标文件应按第六章“投标文件格式”进行编写，如有必要，可以增加附页，作为投标文件的组成部分。</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3.7.2 投标文件应当对招标文件有关交货期、投标有效期、供货要求、招标范围等实质性内容作出响应。投标文件在满足招标文件实质性要求的基础上，可以提出比招标文件要求更有利于招标人的承诺。</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3.7.3 投标文件的制作应满足以下规定：</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（1）投标文件由投标人使用电子交易系统提供的“投标文件制作工具”制作生成。“投标文件制作工具”可以通过电子交易系统下载。</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2）在第六章“投标文件格式”中要求盖单位章和（或）签字处，投标人应加盖投标人单位电子印章和（或）法定代表人的个人电子印章/电子签名章。联合体投标的，除联合体协议书外，投标文件由联合体牵头人按上述规定加盖联合体牵头人单位电子印章和（或）法定代表人的个人电子印章/电子签名章。</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（3）投标文件制作完成后，投标人应对投标文件进行文件加密，形成加密的投标文件。采用数字证书加密的，加密时投标文件的所有内容均只能使用同一</w:t>
      </w:r>
      <w:r>
        <w:rPr>
          <w:rFonts w:hint="eastAsia" w:ascii="宋体" w:hAnsi="宋体" w:cs="宋体"/>
          <w:snapToGrid w:val="0"/>
          <w:color w:val="000000"/>
          <w:kern w:val="0"/>
          <w:sz w:val="22"/>
          <w:szCs w:val="22"/>
          <w:shd w:val="clear" w:color="auto" w:fill="FFFFFF"/>
          <w:lang w:eastAsia="zh-CN"/>
        </w:rPr>
        <w:t>张</w:t>
      </w:r>
      <w:r>
        <w:rPr>
          <w:rFonts w:hint="eastAsia" w:ascii="宋体" w:hAnsi="宋体" w:cs="宋体"/>
          <w:snapToGrid w:val="0"/>
          <w:color w:val="000000"/>
          <w:kern w:val="0"/>
          <w:sz w:val="22"/>
          <w:szCs w:val="22"/>
          <w:shd w:val="clear" w:color="auto" w:fill="FFFFFF"/>
        </w:rPr>
        <w:t>数字证书进行加密，否则引起的解密失败责任由投标人自行承担。</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（4）投标文件制作的具体方法详见“投标文件制作工具”中的帮助文档。</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3.7.4 电子交易系统生成加密投标文件时，同时生成非加密投标文件，作为加密投标文件无法解密、导入时的补救措施。投标人应按投标人须知前附表的要求递交非加密投标文件。</w:t>
      </w:r>
    </w:p>
    <w:p>
      <w:pPr>
        <w:spacing w:line="480" w:lineRule="exact"/>
        <w:ind w:firstLine="440" w:firstLineChars="200"/>
        <w:rPr>
          <w:rFonts w:hint="eastAsia" w:ascii="宋体" w:hAnsi="宋体" w:cs="宋体"/>
          <w:snapToGrid w:val="0"/>
          <w:color w:val="000000"/>
          <w:kern w:val="0"/>
          <w:sz w:val="22"/>
          <w:szCs w:val="22"/>
          <w:shd w:val="clear" w:color="auto" w:fill="FFFFFF"/>
        </w:rPr>
      </w:pPr>
      <w:r>
        <w:rPr>
          <w:rFonts w:hint="eastAsia" w:ascii="宋体" w:hAnsi="宋体" w:cs="宋体"/>
          <w:snapToGrid w:val="0"/>
          <w:color w:val="000000"/>
          <w:kern w:val="0"/>
          <w:sz w:val="22"/>
          <w:szCs w:val="22"/>
          <w:shd w:val="clear" w:color="auto" w:fill="FFFFFF"/>
        </w:rPr>
        <w:t>3.7.5 因投标人自身原因而导致投标文件（指解密后的投标文件或启用补救措施下的非加密投标文件）无法导入电子交易系统电子开标、评标系统，该投标视为无效投标，投标人自行承担由此导致的全部责任。</w:t>
      </w:r>
    </w:p>
    <w:p>
      <w:pPr>
        <w:pStyle w:val="3"/>
        <w:spacing w:before="0" w:after="0" w:line="480" w:lineRule="exact"/>
        <w:rPr>
          <w:rFonts w:hint="eastAsia" w:ascii="宋体" w:hAnsi="宋体" w:cs="宋体"/>
          <w:bCs w:val="0"/>
          <w:sz w:val="22"/>
          <w:szCs w:val="22"/>
        </w:rPr>
      </w:pPr>
      <w:bookmarkStart w:id="143" w:name="_Toc152042331"/>
      <w:bookmarkStart w:id="144" w:name="_Toc26781056"/>
      <w:bookmarkStart w:id="145" w:name="_Toc179632573"/>
      <w:bookmarkStart w:id="146" w:name="_Toc152045555"/>
      <w:bookmarkStart w:id="147" w:name="_Toc144974523"/>
      <w:r>
        <w:rPr>
          <w:rFonts w:hint="eastAsia" w:ascii="宋体" w:hAnsi="宋体" w:cs="宋体"/>
          <w:bCs w:val="0"/>
          <w:sz w:val="22"/>
          <w:szCs w:val="22"/>
        </w:rPr>
        <w:t>4. 投标</w:t>
      </w:r>
      <w:bookmarkEnd w:id="143"/>
      <w:bookmarkEnd w:id="144"/>
      <w:bookmarkEnd w:id="145"/>
      <w:bookmarkEnd w:id="146"/>
      <w:bookmarkEnd w:id="147"/>
    </w:p>
    <w:p>
      <w:pPr>
        <w:pStyle w:val="4"/>
        <w:spacing w:before="0" w:after="0" w:line="480" w:lineRule="exact"/>
        <w:ind w:firstLine="440" w:firstLineChars="200"/>
        <w:rPr>
          <w:rFonts w:hint="eastAsia" w:ascii="宋体" w:hAnsi="宋体" w:eastAsia="宋体" w:cs="宋体"/>
          <w:sz w:val="22"/>
          <w:szCs w:val="22"/>
        </w:rPr>
      </w:pPr>
      <w:bookmarkStart w:id="148" w:name="_Toc152042332"/>
      <w:bookmarkStart w:id="149" w:name="_Toc152045556"/>
      <w:bookmarkStart w:id="150" w:name="_Toc179632574"/>
      <w:bookmarkStart w:id="151" w:name="_Toc144974524"/>
      <w:r>
        <w:rPr>
          <w:rFonts w:hint="eastAsia" w:ascii="宋体" w:hAnsi="宋体" w:eastAsia="宋体" w:cs="宋体"/>
          <w:sz w:val="22"/>
          <w:szCs w:val="22"/>
        </w:rPr>
        <w:t>4.1 投标文件的加密（密封）和标记</w:t>
      </w:r>
      <w:bookmarkEnd w:id="148"/>
      <w:bookmarkEnd w:id="149"/>
      <w:bookmarkEnd w:id="150"/>
      <w:bookmarkEnd w:id="151"/>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4.1.1 </w:t>
      </w:r>
      <w:r>
        <w:rPr>
          <w:rFonts w:hint="eastAsia" w:ascii="宋体" w:hAnsi="宋体" w:cs="宋体"/>
          <w:bCs/>
          <w:snapToGrid w:val="0"/>
          <w:color w:val="000000"/>
          <w:kern w:val="0"/>
          <w:sz w:val="22"/>
          <w:szCs w:val="22"/>
        </w:rPr>
        <w:t>投标文件应按照本章第 3.7.3 项要求制作并加密，未按要求加密的投标文件将被拒绝接收。</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4.1.2 </w:t>
      </w:r>
      <w:r>
        <w:rPr>
          <w:rFonts w:hint="eastAsia" w:ascii="宋体" w:hAnsi="宋体" w:cs="宋体"/>
          <w:bCs/>
          <w:snapToGrid w:val="0"/>
          <w:color w:val="000000"/>
          <w:kern w:val="0"/>
          <w:sz w:val="22"/>
          <w:szCs w:val="22"/>
        </w:rPr>
        <w:t>如投标人须知前附表规定接受投标人提供非加密投标文件（与加密的投标文件为同时生成的版本），则非加密投标文件应当单独密封包装在一个封套中。封套的封口处加盖投标人单位章或由投标人的</w:t>
      </w:r>
      <w:r>
        <w:rPr>
          <w:rFonts w:hint="eastAsia" w:ascii="宋体" w:hAnsi="宋体" w:cs="宋体"/>
          <w:bCs/>
          <w:snapToGrid w:val="0"/>
          <w:color w:val="000000"/>
          <w:kern w:val="0"/>
          <w:sz w:val="22"/>
          <w:szCs w:val="22"/>
          <w:lang w:eastAsia="zh-CN"/>
        </w:rPr>
        <w:t>法定代表人</w:t>
      </w:r>
      <w:r>
        <w:rPr>
          <w:rFonts w:hint="eastAsia" w:ascii="宋体" w:hAnsi="宋体" w:cs="宋体"/>
          <w:bCs/>
          <w:snapToGrid w:val="0"/>
          <w:color w:val="000000"/>
          <w:kern w:val="0"/>
          <w:sz w:val="22"/>
          <w:szCs w:val="22"/>
        </w:rPr>
        <w:t>或其授权的代理人签字。</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采用工程保函形式提交投标保证金的，工程保函原件应密封在单独的封套中。</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非加密投标文件及银行保函封套上应写明的内容要求见投标人须知前附表。</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非加密投标文件及银行保函未按规定封装或加写标记，招标人将不承担投标文件未被开启或提前开启的责任。</w:t>
      </w:r>
    </w:p>
    <w:p>
      <w:pPr>
        <w:pStyle w:val="4"/>
        <w:spacing w:before="0" w:after="0" w:line="480" w:lineRule="exact"/>
        <w:ind w:firstLine="440" w:firstLineChars="200"/>
        <w:rPr>
          <w:rFonts w:hint="eastAsia" w:ascii="宋体" w:hAnsi="宋体" w:eastAsia="宋体" w:cs="宋体"/>
          <w:sz w:val="22"/>
          <w:szCs w:val="22"/>
        </w:rPr>
      </w:pPr>
      <w:bookmarkStart w:id="152" w:name="_Toc152045557"/>
      <w:bookmarkStart w:id="153" w:name="_Toc152042333"/>
      <w:bookmarkStart w:id="154" w:name="_Toc144974525"/>
      <w:bookmarkStart w:id="155" w:name="_Toc179632575"/>
      <w:r>
        <w:rPr>
          <w:rFonts w:hint="eastAsia" w:ascii="宋体" w:hAnsi="宋体" w:eastAsia="宋体" w:cs="宋体"/>
          <w:sz w:val="22"/>
          <w:szCs w:val="22"/>
        </w:rPr>
        <w:t>4.2 投标文件的递交</w:t>
      </w:r>
      <w:bookmarkEnd w:id="152"/>
      <w:bookmarkEnd w:id="153"/>
      <w:bookmarkEnd w:id="154"/>
      <w:bookmarkEnd w:id="155"/>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4.2.1 </w:t>
      </w:r>
      <w:r>
        <w:rPr>
          <w:rFonts w:hint="eastAsia" w:ascii="宋体" w:hAnsi="宋体" w:cs="宋体"/>
          <w:bCs/>
          <w:snapToGrid w:val="0"/>
          <w:color w:val="000000"/>
          <w:kern w:val="0"/>
          <w:sz w:val="22"/>
          <w:szCs w:val="22"/>
        </w:rPr>
        <w:t>投标人应当在第一章“招标公告”规定的投标截止时间前，将加密投标文件在电子交易系统上传。</w:t>
      </w:r>
    </w:p>
    <w:p>
      <w:pPr>
        <w:spacing w:line="480" w:lineRule="exact"/>
        <w:ind w:firstLine="440" w:firstLineChars="200"/>
        <w:rPr>
          <w:rFonts w:hint="eastAsia" w:ascii="宋体" w:hAnsi="宋体" w:cs="宋体"/>
          <w:sz w:val="22"/>
          <w:szCs w:val="22"/>
        </w:rPr>
      </w:pPr>
      <w:r>
        <w:rPr>
          <w:rFonts w:hint="eastAsia" w:ascii="宋体" w:hAnsi="宋体" w:cs="宋体"/>
          <w:bCs/>
          <w:snapToGrid w:val="0"/>
          <w:color w:val="000000"/>
          <w:kern w:val="0"/>
          <w:sz w:val="22"/>
          <w:szCs w:val="22"/>
        </w:rPr>
        <w:t>4.2.2 投标</w:t>
      </w:r>
      <w:r>
        <w:rPr>
          <w:rFonts w:hint="eastAsia" w:ascii="宋体" w:hAnsi="宋体" w:cs="宋体"/>
          <w:sz w:val="22"/>
          <w:szCs w:val="22"/>
        </w:rPr>
        <w:t>人递交非加密投标文件的地点：见投标人须知前附表。招标人收到非加密投标文件后由投标人代表登记或向投标人出具签收凭证。</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4.2.3 除投标人须知前附表另有规定外，投标人所递交的投标文件不予退还。</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4.2.4</w:t>
      </w:r>
      <w:r>
        <w:rPr>
          <w:rFonts w:hint="eastAsia" w:ascii="宋体" w:hAnsi="宋体" w:cs="宋体"/>
          <w:snapToGrid w:val="0"/>
          <w:color w:val="000000"/>
          <w:kern w:val="0"/>
          <w:sz w:val="22"/>
          <w:szCs w:val="22"/>
        </w:rPr>
        <w:t xml:space="preserve"> 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4.2.5如投标人须知前附表允许递交非加密投标文件，投标人逾期送达的或者未送达指定地点的非加密投标文件，招标人不予接收，但不影响其已按招标文件要求从电子交易系统递交的加密投标文件的有效性。未从电子交易系统递交加密投标文件的，投标人递交的非加密投标文件将被视为无效。</w:t>
      </w:r>
    </w:p>
    <w:p>
      <w:pPr>
        <w:spacing w:line="480" w:lineRule="exact"/>
        <w:ind w:firstLine="440" w:firstLineChars="200"/>
        <w:rPr>
          <w:rFonts w:hint="eastAsia" w:ascii="宋体" w:hAnsi="宋体" w:cs="宋体"/>
          <w:sz w:val="22"/>
          <w:szCs w:val="22"/>
        </w:rPr>
      </w:pPr>
      <w:r>
        <w:rPr>
          <w:rFonts w:hint="eastAsia" w:ascii="宋体" w:hAnsi="宋体" w:cs="宋体"/>
          <w:bCs/>
          <w:snapToGrid w:val="0"/>
          <w:color w:val="000000"/>
          <w:kern w:val="0"/>
          <w:sz w:val="22"/>
          <w:szCs w:val="22"/>
        </w:rPr>
        <w:t>4.2.6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pPr>
        <w:pStyle w:val="4"/>
        <w:spacing w:before="0" w:after="0" w:line="480" w:lineRule="exact"/>
        <w:ind w:firstLine="440" w:firstLineChars="200"/>
        <w:rPr>
          <w:rFonts w:hint="eastAsia" w:ascii="宋体" w:hAnsi="宋体" w:eastAsia="宋体" w:cs="宋体"/>
          <w:sz w:val="22"/>
          <w:szCs w:val="22"/>
        </w:rPr>
      </w:pPr>
      <w:bookmarkStart w:id="156" w:name="_Toc179632576"/>
      <w:bookmarkStart w:id="157" w:name="_Toc144974526"/>
      <w:bookmarkStart w:id="158" w:name="_Toc152042334"/>
      <w:bookmarkStart w:id="159" w:name="_Toc152045558"/>
      <w:r>
        <w:rPr>
          <w:rFonts w:hint="eastAsia" w:ascii="宋体" w:hAnsi="宋体" w:eastAsia="宋体" w:cs="宋体"/>
          <w:sz w:val="22"/>
          <w:szCs w:val="22"/>
        </w:rPr>
        <w:t>4.3 投标文件的修改与撤回</w:t>
      </w:r>
      <w:bookmarkEnd w:id="156"/>
      <w:bookmarkEnd w:id="157"/>
      <w:bookmarkEnd w:id="158"/>
      <w:bookmarkEnd w:id="159"/>
    </w:p>
    <w:p>
      <w:pPr>
        <w:spacing w:line="480" w:lineRule="exact"/>
        <w:ind w:firstLine="440" w:firstLineChars="200"/>
        <w:rPr>
          <w:rFonts w:hint="eastAsia" w:ascii="宋体" w:hAnsi="宋体" w:cs="宋体"/>
          <w:sz w:val="22"/>
          <w:szCs w:val="22"/>
        </w:rPr>
      </w:pPr>
      <w:r>
        <w:rPr>
          <w:rFonts w:hint="eastAsia" w:ascii="宋体" w:hAnsi="宋体" w:cs="宋体"/>
          <w:sz w:val="22"/>
          <w:szCs w:val="22"/>
        </w:rPr>
        <w:t xml:space="preserve">4.3.1 </w:t>
      </w:r>
      <w:r>
        <w:rPr>
          <w:rFonts w:hint="eastAsia" w:ascii="宋体" w:hAnsi="宋体" w:cs="宋体"/>
          <w:bCs/>
          <w:snapToGrid w:val="0"/>
          <w:color w:val="000000"/>
          <w:kern w:val="0"/>
          <w:sz w:val="22"/>
          <w:szCs w:val="22"/>
        </w:rPr>
        <w:t>在本章第4.2.1项规定的投标截止时间前，投标人可以修改或撤回已递交的投标文件。投标人对加密投标文件进行撤回的，应在电子交易系统直接进行撤回操作；投标人对加密投标文件进行修改的，应在投标截止时间前完成上传</w:t>
      </w:r>
      <w:r>
        <w:rPr>
          <w:rFonts w:hint="eastAsia" w:ascii="宋体" w:hAnsi="宋体" w:cs="宋体"/>
          <w:sz w:val="22"/>
          <w:szCs w:val="22"/>
        </w:rPr>
        <w:t>。</w:t>
      </w:r>
      <w:r>
        <w:rPr>
          <w:rFonts w:hint="eastAsia" w:ascii="宋体" w:hAnsi="宋体" w:cs="宋体"/>
          <w:bCs/>
          <w:snapToGrid w:val="0"/>
          <w:color w:val="000000"/>
          <w:kern w:val="0"/>
          <w:sz w:val="22"/>
          <w:szCs w:val="22"/>
        </w:rPr>
        <w:t>投标人修改投标文件的，应使用“投标文件制作工具”制作成完整的投标文件，并按照本章第 3 条、第 4 条规定进行编制、加密和递交。</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4.3.2 投标人修改或撤回已递交的</w:t>
      </w:r>
      <w:r>
        <w:rPr>
          <w:rFonts w:hint="eastAsia" w:ascii="宋体" w:hAnsi="宋体" w:cs="宋体"/>
          <w:bCs/>
          <w:snapToGrid w:val="0"/>
          <w:color w:val="000000"/>
          <w:kern w:val="0"/>
          <w:sz w:val="22"/>
          <w:szCs w:val="22"/>
        </w:rPr>
        <w:t>非加密</w:t>
      </w:r>
      <w:r>
        <w:rPr>
          <w:rFonts w:hint="eastAsia" w:ascii="宋体" w:hAnsi="宋体" w:cs="宋体"/>
          <w:sz w:val="22"/>
          <w:szCs w:val="22"/>
        </w:rPr>
        <w:t>投标文件的，应当以书面形式通知招标人。书面通知应按照本章第3.7.3项的要求签字或盖章。招标人收到书面通知后，向投标人出具</w:t>
      </w:r>
      <w:r>
        <w:rPr>
          <w:rFonts w:hint="eastAsia" w:ascii="宋体" w:hAnsi="宋体" w:cs="宋体"/>
          <w:sz w:val="22"/>
          <w:szCs w:val="22"/>
          <w:lang w:eastAsia="zh-CN"/>
        </w:rPr>
        <w:t>验</w:t>
      </w:r>
      <w:r>
        <w:rPr>
          <w:rFonts w:hint="eastAsia" w:ascii="宋体" w:hAnsi="宋体" w:cs="宋体"/>
          <w:sz w:val="22"/>
          <w:szCs w:val="22"/>
        </w:rPr>
        <w:t>收凭证。</w:t>
      </w:r>
    </w:p>
    <w:p>
      <w:pPr>
        <w:pStyle w:val="3"/>
        <w:spacing w:before="0" w:after="0" w:line="480" w:lineRule="exact"/>
        <w:rPr>
          <w:rFonts w:hint="eastAsia" w:ascii="宋体" w:hAnsi="宋体" w:cs="宋体"/>
          <w:bCs w:val="0"/>
          <w:sz w:val="22"/>
          <w:szCs w:val="22"/>
        </w:rPr>
      </w:pPr>
      <w:bookmarkStart w:id="160" w:name="_Toc152042335"/>
      <w:bookmarkStart w:id="161" w:name="_Toc144974527"/>
      <w:bookmarkStart w:id="162" w:name="_Toc26781057"/>
      <w:bookmarkStart w:id="163" w:name="_Toc179632577"/>
      <w:bookmarkStart w:id="164" w:name="_Toc152045559"/>
      <w:r>
        <w:rPr>
          <w:rFonts w:hint="eastAsia" w:ascii="宋体" w:hAnsi="宋体" w:cs="宋体"/>
          <w:bCs w:val="0"/>
          <w:sz w:val="22"/>
          <w:szCs w:val="22"/>
        </w:rPr>
        <w:t>5. 开标</w:t>
      </w:r>
      <w:bookmarkEnd w:id="160"/>
      <w:bookmarkEnd w:id="161"/>
      <w:bookmarkEnd w:id="162"/>
      <w:bookmarkEnd w:id="163"/>
      <w:bookmarkEnd w:id="164"/>
    </w:p>
    <w:p>
      <w:pPr>
        <w:pStyle w:val="4"/>
        <w:spacing w:before="0" w:after="0" w:line="480" w:lineRule="exact"/>
        <w:ind w:firstLine="440" w:firstLineChars="200"/>
        <w:rPr>
          <w:rFonts w:hint="eastAsia" w:ascii="宋体" w:hAnsi="宋体" w:eastAsia="宋体" w:cs="宋体"/>
          <w:sz w:val="22"/>
          <w:szCs w:val="22"/>
        </w:rPr>
      </w:pPr>
      <w:bookmarkStart w:id="165" w:name="_Toc144974528"/>
      <w:bookmarkStart w:id="166" w:name="_Toc152042336"/>
      <w:bookmarkStart w:id="167" w:name="_Toc152045560"/>
      <w:bookmarkStart w:id="168" w:name="_Toc179632578"/>
      <w:r>
        <w:rPr>
          <w:rFonts w:hint="eastAsia" w:ascii="宋体" w:hAnsi="宋体" w:eastAsia="宋体" w:cs="宋体"/>
          <w:sz w:val="22"/>
          <w:szCs w:val="22"/>
        </w:rPr>
        <w:t>5.1 开标时间和地点</w:t>
      </w:r>
      <w:bookmarkEnd w:id="165"/>
      <w:bookmarkEnd w:id="166"/>
      <w:bookmarkEnd w:id="167"/>
      <w:bookmarkEnd w:id="168"/>
    </w:p>
    <w:p>
      <w:pPr>
        <w:spacing w:line="480" w:lineRule="exact"/>
        <w:ind w:firstLine="440" w:firstLineChars="200"/>
        <w:rPr>
          <w:rFonts w:hint="eastAsia" w:ascii="宋体" w:hAnsi="宋体" w:cs="宋体"/>
          <w:sz w:val="22"/>
          <w:szCs w:val="22"/>
        </w:rPr>
      </w:pPr>
      <w:r>
        <w:rPr>
          <w:rFonts w:hint="eastAsia" w:ascii="宋体" w:hAnsi="宋体" w:cs="宋体"/>
          <w:bCs/>
          <w:snapToGrid w:val="0"/>
          <w:color w:val="000000"/>
          <w:kern w:val="0"/>
          <w:sz w:val="22"/>
          <w:szCs w:val="22"/>
        </w:rPr>
        <w:t>招标人在本章第4.2.1项规定的投标截止时间（开标时间），通过电子交易系统公开开标，所有投标人的法定代表人（单位负责人）或其委托代理人应当准时参加。</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投标人若未派法定代表人（单位负责人）或其委托代理人出席开标活动，视为该投标人默认开标结果。</w:t>
      </w:r>
    </w:p>
    <w:p>
      <w:pPr>
        <w:pStyle w:val="4"/>
        <w:spacing w:before="0" w:after="0" w:line="480" w:lineRule="exact"/>
        <w:ind w:firstLine="440" w:firstLineChars="200"/>
        <w:rPr>
          <w:rFonts w:hint="eastAsia" w:ascii="宋体" w:hAnsi="宋体" w:eastAsia="宋体" w:cs="宋体"/>
          <w:sz w:val="22"/>
          <w:szCs w:val="22"/>
        </w:rPr>
      </w:pPr>
      <w:bookmarkStart w:id="169" w:name="_Toc144974529"/>
      <w:bookmarkStart w:id="170" w:name="_Toc179632579"/>
      <w:bookmarkStart w:id="171" w:name="_Toc152042337"/>
      <w:bookmarkStart w:id="172" w:name="_Toc152045561"/>
      <w:r>
        <w:rPr>
          <w:rFonts w:hint="eastAsia" w:ascii="宋体" w:hAnsi="宋体" w:eastAsia="宋体" w:cs="宋体"/>
          <w:sz w:val="22"/>
          <w:szCs w:val="22"/>
        </w:rPr>
        <w:t>5.2 开标程序</w:t>
      </w:r>
      <w:bookmarkEnd w:id="169"/>
      <w:bookmarkEnd w:id="170"/>
      <w:bookmarkEnd w:id="171"/>
      <w:bookmarkEnd w:id="172"/>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 xml:space="preserve">除投标人须知前附表另有规定外，主持人按下列程序进行开标： </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（1）公布在投标截止时间前通过电子交易系统完成投标文件递交的投标人名称；</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（2）由投标人推选的代表检查非加密投标文件及银行保函原件的密封情况（如有）；</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（3）投标人在投标截止时间后在投标人须知前附表规定的解密时间内完成投标文件的解密工作；</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（4）招标人完成解密工作，导入并读取所有成功解密的投标文件，或招标人成功导入现场递交的非加密投标文件；</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（5）按投标人须知前附表规定公布投标人名称、标段名称、投标报价及其他内容；</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（6）开标结束。</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5.3 开标异议</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投标人对开标有异议的，应当在开标过程中提出；招标人当场对异议作出答复，并记入开标记录。异议与答复应通过电子交易系统进行。</w:t>
      </w:r>
    </w:p>
    <w:p>
      <w:pPr>
        <w:pStyle w:val="3"/>
        <w:spacing w:before="0" w:after="0" w:line="480" w:lineRule="exact"/>
        <w:rPr>
          <w:rFonts w:hint="eastAsia" w:ascii="宋体" w:hAnsi="宋体" w:cs="宋体"/>
          <w:bCs w:val="0"/>
          <w:sz w:val="22"/>
          <w:szCs w:val="22"/>
        </w:rPr>
      </w:pPr>
      <w:bookmarkStart w:id="173" w:name="_Toc144974530"/>
      <w:bookmarkStart w:id="174" w:name="_Toc179632580"/>
      <w:bookmarkStart w:id="175" w:name="_Toc152042338"/>
      <w:bookmarkStart w:id="176" w:name="_Toc26781058"/>
      <w:bookmarkStart w:id="177" w:name="_Toc152045562"/>
      <w:r>
        <w:rPr>
          <w:rFonts w:hint="eastAsia" w:ascii="宋体" w:hAnsi="宋体" w:cs="宋体"/>
          <w:bCs w:val="0"/>
          <w:sz w:val="22"/>
          <w:szCs w:val="22"/>
        </w:rPr>
        <w:t>6. 评标</w:t>
      </w:r>
      <w:bookmarkEnd w:id="173"/>
      <w:bookmarkEnd w:id="174"/>
      <w:bookmarkEnd w:id="175"/>
      <w:bookmarkEnd w:id="176"/>
      <w:bookmarkEnd w:id="177"/>
    </w:p>
    <w:p>
      <w:pPr>
        <w:pStyle w:val="4"/>
        <w:spacing w:before="0" w:after="0" w:line="480" w:lineRule="exact"/>
        <w:ind w:firstLine="440" w:firstLineChars="200"/>
        <w:rPr>
          <w:rFonts w:hint="eastAsia" w:ascii="宋体" w:hAnsi="宋体" w:eastAsia="宋体" w:cs="宋体"/>
          <w:sz w:val="22"/>
          <w:szCs w:val="22"/>
        </w:rPr>
      </w:pPr>
      <w:bookmarkStart w:id="178" w:name="_Toc179632581"/>
      <w:bookmarkStart w:id="179" w:name="_Toc152045563"/>
      <w:bookmarkStart w:id="180" w:name="_Toc144974531"/>
      <w:bookmarkStart w:id="181" w:name="_Toc152042339"/>
      <w:r>
        <w:rPr>
          <w:rFonts w:hint="eastAsia" w:ascii="宋体" w:hAnsi="宋体" w:eastAsia="宋体" w:cs="宋体"/>
          <w:sz w:val="22"/>
          <w:szCs w:val="22"/>
        </w:rPr>
        <w:t>6.1 评标委员会</w:t>
      </w:r>
      <w:bookmarkEnd w:id="178"/>
      <w:bookmarkEnd w:id="179"/>
      <w:bookmarkEnd w:id="180"/>
      <w:bookmarkEnd w:id="181"/>
    </w:p>
    <w:p>
      <w:pPr>
        <w:spacing w:line="480" w:lineRule="exact"/>
        <w:ind w:firstLine="440" w:firstLineChars="200"/>
        <w:rPr>
          <w:rFonts w:hint="eastAsia" w:ascii="宋体" w:hAnsi="宋体" w:cs="宋体"/>
          <w:sz w:val="22"/>
          <w:szCs w:val="22"/>
        </w:rPr>
      </w:pPr>
      <w:r>
        <w:rPr>
          <w:rFonts w:hint="eastAsia" w:ascii="宋体" w:hAnsi="宋体" w:cs="宋体"/>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6.1.2 评标委员会成员有下列情形之一的，应当主动提出回避：</w:t>
      </w:r>
    </w:p>
    <w:p>
      <w:pPr>
        <w:spacing w:line="480" w:lineRule="exact"/>
        <w:ind w:firstLine="440" w:firstLineChars="200"/>
        <w:rPr>
          <w:rFonts w:hint="eastAsia" w:ascii="宋体" w:hAnsi="宋体" w:cs="宋体"/>
          <w:sz w:val="22"/>
          <w:szCs w:val="22"/>
        </w:rPr>
      </w:pPr>
      <w:bookmarkStart w:id="182" w:name="_Toc144974532"/>
      <w:bookmarkStart w:id="183" w:name="_Toc152045564"/>
      <w:bookmarkStart w:id="184" w:name="_Toc152042340"/>
      <w:bookmarkStart w:id="185" w:name="_Toc179632582"/>
      <w:r>
        <w:rPr>
          <w:rFonts w:hint="eastAsia" w:ascii="宋体" w:hAnsi="宋体" w:cs="宋体"/>
          <w:sz w:val="22"/>
          <w:szCs w:val="22"/>
        </w:rPr>
        <w:t>（1）</w:t>
      </w:r>
      <w:r>
        <w:rPr>
          <w:rFonts w:hint="eastAsia" w:ascii="宋体" w:hAnsi="宋体" w:cs="宋体"/>
          <w:bCs/>
          <w:snapToGrid w:val="0"/>
          <w:color w:val="000000"/>
          <w:kern w:val="0"/>
          <w:sz w:val="22"/>
          <w:szCs w:val="22"/>
        </w:rPr>
        <w:t>投标人</w:t>
      </w:r>
      <w:r>
        <w:rPr>
          <w:rFonts w:hint="eastAsia" w:ascii="宋体" w:hAnsi="宋体" w:cs="宋体"/>
          <w:sz w:val="22"/>
          <w:szCs w:val="22"/>
        </w:rPr>
        <w:t xml:space="preserve">或投标人的主要负责人的近亲属； </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（2）项目主管部门或者行政监督部门的人员；</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（3）与投标人有经济利益关系，可能影响对投标公正评审的；</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（4）曾因在招标、评标以及其他与招标投标有关活动中从事违法行为而受过行政处罚或刑事处罚的；</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（5）与投标人有其他利害关系。</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 xml:space="preserve">6.1.3 </w:t>
      </w:r>
      <w:r>
        <w:rPr>
          <w:rFonts w:hint="eastAsia" w:ascii="宋体" w:hAnsi="宋体" w:cs="宋体"/>
          <w:bCs/>
          <w:snapToGrid w:val="0"/>
          <w:color w:val="000000"/>
          <w:kern w:val="0"/>
          <w:sz w:val="22"/>
          <w:szCs w:val="22"/>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6.2 评标原则</w:t>
      </w:r>
      <w:bookmarkEnd w:id="182"/>
      <w:bookmarkEnd w:id="183"/>
      <w:bookmarkEnd w:id="184"/>
      <w:bookmarkEnd w:id="185"/>
    </w:p>
    <w:p>
      <w:pPr>
        <w:spacing w:line="480" w:lineRule="exact"/>
        <w:ind w:firstLine="440" w:firstLineChars="200"/>
        <w:rPr>
          <w:rFonts w:hint="eastAsia" w:ascii="宋体" w:hAnsi="宋体" w:cs="宋体"/>
          <w:sz w:val="22"/>
          <w:szCs w:val="22"/>
        </w:rPr>
      </w:pPr>
      <w:r>
        <w:rPr>
          <w:rFonts w:hint="eastAsia" w:ascii="宋体" w:hAnsi="宋体" w:cs="宋体"/>
          <w:sz w:val="22"/>
          <w:szCs w:val="22"/>
        </w:rPr>
        <w:t>评标活动遵循公平、公正、科学和择优的原则。</w:t>
      </w:r>
    </w:p>
    <w:p>
      <w:pPr>
        <w:pStyle w:val="4"/>
        <w:spacing w:before="0" w:after="0" w:line="480" w:lineRule="exact"/>
        <w:ind w:firstLine="440" w:firstLineChars="200"/>
        <w:rPr>
          <w:rFonts w:hint="eastAsia" w:ascii="宋体" w:hAnsi="宋体" w:eastAsia="宋体" w:cs="宋体"/>
          <w:sz w:val="22"/>
          <w:szCs w:val="22"/>
        </w:rPr>
      </w:pPr>
      <w:bookmarkStart w:id="186" w:name="_Toc144974533"/>
      <w:bookmarkStart w:id="187" w:name="_Toc152042341"/>
      <w:bookmarkStart w:id="188" w:name="_Toc179632583"/>
      <w:bookmarkStart w:id="189" w:name="_Toc152045565"/>
      <w:r>
        <w:rPr>
          <w:rFonts w:hint="eastAsia" w:ascii="宋体" w:hAnsi="宋体" w:eastAsia="宋体" w:cs="宋体"/>
          <w:sz w:val="22"/>
          <w:szCs w:val="22"/>
        </w:rPr>
        <w:t>6.3 评标</w:t>
      </w:r>
      <w:bookmarkEnd w:id="186"/>
      <w:bookmarkEnd w:id="187"/>
      <w:bookmarkEnd w:id="188"/>
      <w:bookmarkEnd w:id="189"/>
    </w:p>
    <w:p>
      <w:pPr>
        <w:spacing w:line="480" w:lineRule="exact"/>
        <w:ind w:firstLine="440" w:firstLineChars="200"/>
        <w:rPr>
          <w:rFonts w:hint="eastAsia" w:ascii="宋体" w:hAnsi="宋体" w:cs="宋体"/>
          <w:sz w:val="22"/>
          <w:szCs w:val="22"/>
        </w:rPr>
      </w:pPr>
      <w:r>
        <w:rPr>
          <w:rFonts w:hint="eastAsia" w:ascii="宋体" w:hAnsi="宋体" w:cs="宋体"/>
          <w:sz w:val="22"/>
          <w:szCs w:val="22"/>
        </w:rPr>
        <w:t>6.3.1 评标委员会按照第三章“评标办法”规定的方法、评审因素、标准和程序对投标文件进行评审。第三章“评标办法”没有规定的方法、评审因素和标准，不作为评标依据。</w:t>
      </w:r>
    </w:p>
    <w:p>
      <w:pPr>
        <w:spacing w:line="480" w:lineRule="exact"/>
        <w:ind w:firstLine="440" w:firstLineChars="200"/>
        <w:rPr>
          <w:rFonts w:hint="eastAsia" w:ascii="宋体" w:hAnsi="宋体" w:cs="宋体"/>
          <w:sz w:val="22"/>
          <w:szCs w:val="22"/>
        </w:rPr>
      </w:pPr>
      <w:bookmarkStart w:id="190" w:name="_Toc152042342"/>
      <w:bookmarkStart w:id="191" w:name="_Toc144974534"/>
      <w:bookmarkStart w:id="192" w:name="_Toc152045566"/>
      <w:bookmarkStart w:id="193" w:name="_Toc179632584"/>
      <w:r>
        <w:rPr>
          <w:rFonts w:hint="eastAsia" w:ascii="宋体" w:hAnsi="宋体" w:cs="宋体"/>
          <w:sz w:val="22"/>
          <w:szCs w:val="22"/>
        </w:rPr>
        <w:t xml:space="preserve">6.3.2 </w:t>
      </w:r>
      <w:r>
        <w:rPr>
          <w:rFonts w:hint="eastAsia" w:ascii="宋体" w:hAnsi="宋体" w:cs="宋体"/>
          <w:bCs/>
          <w:snapToGrid w:val="0"/>
          <w:color w:val="000000"/>
          <w:kern w:val="0"/>
          <w:sz w:val="22"/>
          <w:szCs w:val="22"/>
        </w:rPr>
        <w:t>评标完成后，评标委员会应向招标人提交书面评标报告和中标候选人名单。评标委员会推荐中标候选人的人数见投标人须知前附表。</w:t>
      </w:r>
    </w:p>
    <w:p>
      <w:pPr>
        <w:pStyle w:val="3"/>
        <w:spacing w:before="0" w:after="0" w:line="480" w:lineRule="exact"/>
        <w:rPr>
          <w:rFonts w:hint="eastAsia" w:ascii="宋体" w:hAnsi="宋体" w:cs="宋体"/>
          <w:bCs w:val="0"/>
          <w:sz w:val="22"/>
          <w:szCs w:val="22"/>
        </w:rPr>
      </w:pPr>
      <w:bookmarkStart w:id="194" w:name="_Toc26781059"/>
      <w:r>
        <w:rPr>
          <w:rFonts w:hint="eastAsia" w:ascii="宋体" w:hAnsi="宋体" w:cs="宋体"/>
          <w:bCs w:val="0"/>
          <w:sz w:val="22"/>
          <w:szCs w:val="22"/>
        </w:rPr>
        <w:t>7. 合同授予</w:t>
      </w:r>
      <w:bookmarkEnd w:id="190"/>
      <w:bookmarkEnd w:id="191"/>
      <w:bookmarkEnd w:id="192"/>
      <w:bookmarkEnd w:id="193"/>
      <w:bookmarkEnd w:id="194"/>
    </w:p>
    <w:p>
      <w:pPr>
        <w:pStyle w:val="4"/>
        <w:spacing w:before="0" w:after="0" w:line="480" w:lineRule="exact"/>
        <w:ind w:firstLine="440" w:firstLineChars="200"/>
        <w:rPr>
          <w:rFonts w:hint="eastAsia" w:ascii="宋体" w:hAnsi="宋体" w:eastAsia="宋体" w:cs="宋体"/>
          <w:snapToGrid w:val="0"/>
          <w:sz w:val="22"/>
          <w:szCs w:val="22"/>
        </w:rPr>
      </w:pPr>
      <w:bookmarkStart w:id="195" w:name="_Toc144974535"/>
      <w:bookmarkStart w:id="196" w:name="_Toc152045567"/>
      <w:bookmarkStart w:id="197" w:name="_Toc152042343"/>
      <w:bookmarkStart w:id="198" w:name="_Toc179632585"/>
      <w:r>
        <w:rPr>
          <w:rFonts w:hint="eastAsia" w:ascii="宋体" w:hAnsi="宋体" w:eastAsia="宋体" w:cs="宋体"/>
          <w:snapToGrid w:val="0"/>
          <w:sz w:val="22"/>
          <w:szCs w:val="22"/>
        </w:rPr>
        <w:t>7.1 中标候选人公示</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招标人在收到评标报告之日起3日内，按照投标人须知前附表规定的公示媒介和期限依法公示中标候选人。</w:t>
      </w:r>
    </w:p>
    <w:p>
      <w:pPr>
        <w:pStyle w:val="4"/>
        <w:spacing w:before="0" w:after="0" w:line="480" w:lineRule="exact"/>
        <w:ind w:firstLine="440" w:firstLineChars="200"/>
        <w:rPr>
          <w:rFonts w:hint="eastAsia" w:ascii="宋体" w:hAnsi="宋体" w:eastAsia="宋体" w:cs="宋体"/>
          <w:snapToGrid w:val="0"/>
          <w:sz w:val="22"/>
          <w:szCs w:val="22"/>
        </w:rPr>
      </w:pPr>
      <w:r>
        <w:rPr>
          <w:rFonts w:hint="eastAsia" w:ascii="宋体" w:hAnsi="宋体" w:eastAsia="宋体" w:cs="宋体"/>
          <w:snapToGrid w:val="0"/>
          <w:sz w:val="22"/>
          <w:szCs w:val="22"/>
        </w:rPr>
        <w:t>7.2 评标结果异议</w:t>
      </w:r>
    </w:p>
    <w:p>
      <w:pPr>
        <w:spacing w:line="480" w:lineRule="exact"/>
        <w:ind w:firstLine="440" w:firstLineChars="200"/>
        <w:rPr>
          <w:rFonts w:hint="eastAsia" w:ascii="宋体" w:hAnsi="宋体" w:cs="宋体"/>
          <w:sz w:val="22"/>
          <w:szCs w:val="22"/>
        </w:rPr>
      </w:pPr>
      <w:r>
        <w:rPr>
          <w:rFonts w:hint="eastAsia" w:ascii="宋体" w:hAnsi="宋体" w:cs="宋体"/>
          <w:bCs/>
          <w:snapToGrid w:val="0"/>
          <w:color w:val="000000"/>
          <w:kern w:val="0"/>
          <w:sz w:val="22"/>
          <w:szCs w:val="22"/>
        </w:rPr>
        <w:t>投标人或其他利害关系人对评标结果有异议的，应在中标候选人公示期间提出。招标人将在收到异议之日起3日内作出答复；作出答复前，将暂停招标投标活动。</w:t>
      </w:r>
    </w:p>
    <w:p>
      <w:pPr>
        <w:pStyle w:val="4"/>
        <w:spacing w:before="0" w:after="0" w:line="480" w:lineRule="exact"/>
        <w:ind w:firstLine="440" w:firstLineChars="200"/>
        <w:rPr>
          <w:rFonts w:hint="eastAsia" w:ascii="宋体" w:hAnsi="宋体" w:eastAsia="宋体" w:cs="宋体"/>
          <w:snapToGrid w:val="0"/>
          <w:sz w:val="22"/>
          <w:szCs w:val="22"/>
        </w:rPr>
      </w:pPr>
      <w:r>
        <w:rPr>
          <w:rFonts w:hint="eastAsia" w:ascii="宋体" w:hAnsi="宋体" w:eastAsia="宋体" w:cs="宋体"/>
          <w:snapToGrid w:val="0"/>
          <w:sz w:val="22"/>
          <w:szCs w:val="22"/>
        </w:rPr>
        <w:t>7.3 中标候选人履约能力审查</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bookmarkEnd w:id="195"/>
    <w:bookmarkEnd w:id="196"/>
    <w:bookmarkEnd w:id="197"/>
    <w:bookmarkEnd w:id="198"/>
    <w:p>
      <w:pPr>
        <w:pStyle w:val="4"/>
        <w:spacing w:before="0" w:after="0" w:line="480" w:lineRule="exact"/>
        <w:ind w:firstLine="440" w:firstLineChars="200"/>
        <w:rPr>
          <w:rFonts w:hint="eastAsia" w:ascii="宋体" w:hAnsi="宋体" w:eastAsia="宋体" w:cs="宋体"/>
          <w:sz w:val="22"/>
          <w:szCs w:val="22"/>
        </w:rPr>
      </w:pPr>
      <w:bookmarkStart w:id="199" w:name="_Toc144974536"/>
      <w:bookmarkStart w:id="200" w:name="_Toc152042344"/>
      <w:bookmarkStart w:id="201" w:name="_Toc152045568"/>
      <w:bookmarkStart w:id="202" w:name="_Toc179632586"/>
      <w:r>
        <w:rPr>
          <w:rFonts w:hint="eastAsia" w:ascii="宋体" w:hAnsi="宋体" w:eastAsia="宋体" w:cs="宋体"/>
          <w:snapToGrid w:val="0"/>
          <w:sz w:val="22"/>
          <w:szCs w:val="22"/>
        </w:rPr>
        <w:t>7.4</w:t>
      </w:r>
      <w:r>
        <w:rPr>
          <w:rFonts w:hint="eastAsia" w:ascii="宋体" w:hAnsi="宋体" w:eastAsia="宋体" w:cs="宋体"/>
          <w:sz w:val="22"/>
          <w:szCs w:val="22"/>
        </w:rPr>
        <w:t xml:space="preserve"> </w:t>
      </w:r>
      <w:r>
        <w:rPr>
          <w:rFonts w:hint="eastAsia" w:ascii="宋体" w:hAnsi="宋体" w:eastAsia="宋体" w:cs="宋体"/>
          <w:color w:val="000000"/>
          <w:sz w:val="22"/>
          <w:szCs w:val="22"/>
        </w:rPr>
        <w:t>定标</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napToGrid w:val="0"/>
          <w:sz w:val="22"/>
          <w:szCs w:val="22"/>
        </w:rPr>
        <w:t xml:space="preserve">7.5 </w:t>
      </w:r>
      <w:r>
        <w:rPr>
          <w:rFonts w:hint="eastAsia" w:ascii="宋体" w:hAnsi="宋体" w:eastAsia="宋体" w:cs="宋体"/>
          <w:sz w:val="22"/>
          <w:szCs w:val="22"/>
        </w:rPr>
        <w:t>中标通知</w:t>
      </w:r>
      <w:bookmarkEnd w:id="199"/>
      <w:bookmarkEnd w:id="200"/>
      <w:bookmarkEnd w:id="201"/>
      <w:bookmarkEnd w:id="202"/>
    </w:p>
    <w:p>
      <w:pPr>
        <w:spacing w:line="480" w:lineRule="exact"/>
        <w:ind w:firstLine="440" w:firstLineChars="200"/>
        <w:rPr>
          <w:rFonts w:hint="eastAsia" w:ascii="宋体" w:hAnsi="宋体" w:cs="宋体"/>
          <w:sz w:val="22"/>
          <w:szCs w:val="22"/>
        </w:rPr>
      </w:pPr>
      <w:r>
        <w:rPr>
          <w:rFonts w:hint="eastAsia" w:ascii="宋体" w:hAnsi="宋体" w:cs="宋体"/>
          <w:sz w:val="22"/>
          <w:szCs w:val="22"/>
        </w:rPr>
        <w:t>在本章第3.3款规定的投标有效期内，招标人以书面形</w:t>
      </w:r>
      <w:r>
        <w:rPr>
          <w:rFonts w:hint="eastAsia" w:ascii="宋体" w:hAnsi="宋体" w:cs="宋体"/>
          <w:snapToGrid w:val="0"/>
          <w:color w:val="000000"/>
          <w:kern w:val="0"/>
          <w:sz w:val="22"/>
          <w:szCs w:val="22"/>
          <w:shd w:val="clear" w:color="auto" w:fill="FFFFFF"/>
          <w:lang w:val="zh-CN"/>
        </w:rPr>
        <w:t>式</w:t>
      </w:r>
      <w:r>
        <w:rPr>
          <w:rFonts w:hint="eastAsia" w:ascii="宋体" w:hAnsi="宋体" w:cs="宋体"/>
          <w:sz w:val="22"/>
          <w:szCs w:val="22"/>
        </w:rPr>
        <w:t>向中标人发出中标通知书，同时将中标结果通知未中标的投标人。</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napToGrid w:val="0"/>
          <w:sz w:val="22"/>
          <w:szCs w:val="22"/>
        </w:rPr>
        <w:t>7.6 中标结果公示</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招标人在确定中标人之日起3日内，按照投标人须知前附表规定的公示媒介和期限依法公示中标结果。</w:t>
      </w:r>
    </w:p>
    <w:p>
      <w:pPr>
        <w:pStyle w:val="4"/>
        <w:spacing w:before="0" w:after="0" w:line="480" w:lineRule="exact"/>
        <w:ind w:firstLine="440" w:firstLineChars="200"/>
        <w:rPr>
          <w:rFonts w:hint="eastAsia" w:ascii="宋体" w:hAnsi="宋体" w:eastAsia="宋体" w:cs="宋体"/>
          <w:sz w:val="22"/>
          <w:szCs w:val="22"/>
        </w:rPr>
      </w:pPr>
      <w:bookmarkStart w:id="203" w:name="_Toc144974537"/>
      <w:bookmarkStart w:id="204" w:name="_Toc152042345"/>
      <w:bookmarkStart w:id="205" w:name="_Toc179632587"/>
      <w:bookmarkStart w:id="206" w:name="_Toc152045569"/>
      <w:r>
        <w:rPr>
          <w:rFonts w:hint="eastAsia" w:ascii="宋体" w:hAnsi="宋体" w:eastAsia="宋体" w:cs="宋体"/>
          <w:snapToGrid w:val="0"/>
          <w:sz w:val="22"/>
          <w:szCs w:val="22"/>
        </w:rPr>
        <w:t>7.7</w:t>
      </w:r>
      <w:r>
        <w:rPr>
          <w:rFonts w:hint="eastAsia" w:ascii="宋体" w:hAnsi="宋体" w:eastAsia="宋体" w:cs="宋体"/>
          <w:sz w:val="22"/>
          <w:szCs w:val="22"/>
        </w:rPr>
        <w:t xml:space="preserve"> 履约</w:t>
      </w:r>
      <w:r>
        <w:rPr>
          <w:rFonts w:hint="eastAsia" w:ascii="宋体" w:hAnsi="宋体" w:eastAsia="宋体" w:cs="宋体"/>
          <w:snapToGrid w:val="0"/>
          <w:sz w:val="22"/>
          <w:szCs w:val="22"/>
        </w:rPr>
        <w:t>保证金</w:t>
      </w:r>
      <w:bookmarkEnd w:id="203"/>
      <w:bookmarkEnd w:id="204"/>
      <w:bookmarkEnd w:id="205"/>
      <w:bookmarkEnd w:id="206"/>
    </w:p>
    <w:p>
      <w:pPr>
        <w:spacing w:line="480" w:lineRule="exact"/>
        <w:ind w:firstLine="440" w:firstLineChars="200"/>
        <w:rPr>
          <w:rFonts w:hint="eastAsia" w:ascii="宋体" w:hAnsi="宋体" w:cs="宋体"/>
          <w:sz w:val="22"/>
          <w:szCs w:val="22"/>
        </w:rPr>
      </w:pPr>
      <w:bookmarkStart w:id="207" w:name="_Toc179632588"/>
      <w:bookmarkStart w:id="208" w:name="_Toc152045570"/>
      <w:bookmarkStart w:id="209" w:name="_Toc144974538"/>
      <w:bookmarkStart w:id="210" w:name="_Toc152042346"/>
      <w:r>
        <w:rPr>
          <w:rFonts w:hint="eastAsia" w:ascii="宋体" w:hAnsi="宋体" w:cs="宋体"/>
          <w:sz w:val="22"/>
          <w:szCs w:val="22"/>
        </w:rPr>
        <w:t>7.7.1</w:t>
      </w:r>
      <w:r>
        <w:rPr>
          <w:rFonts w:hint="eastAsia" w:ascii="宋体" w:hAnsi="宋体" w:cs="宋体"/>
          <w:bCs/>
          <w:snapToGrid w:val="0"/>
          <w:color w:val="000000"/>
          <w:kern w:val="0"/>
          <w:sz w:val="22"/>
          <w:szCs w:val="22"/>
        </w:rPr>
        <w:t>在签订合同前，中标人应按投标人须知前附表规定的金额、担保形式和招标文件第四章“合同条款及格式”规定的或者事先经过招标人书面认可的履约保证金格式向招标人提交履约保证金。除投标人须知前附表另有规定外，</w:t>
      </w:r>
      <w:r>
        <w:rPr>
          <w:rFonts w:hint="eastAsia" w:ascii="宋体" w:hAnsi="宋体" w:cs="宋体"/>
          <w:bCs/>
          <w:snapToGrid w:val="0"/>
          <w:color w:val="000000"/>
          <w:kern w:val="0"/>
          <w:sz w:val="22"/>
          <w:szCs w:val="22"/>
          <w:highlight w:val="yellow"/>
        </w:rPr>
        <w:t>履约保证金为中标合同金额的2%</w:t>
      </w:r>
      <w:r>
        <w:rPr>
          <w:rFonts w:hint="eastAsia" w:ascii="宋体" w:hAnsi="宋体" w:cs="宋体"/>
          <w:bCs/>
          <w:snapToGrid w:val="0"/>
          <w:color w:val="000000"/>
          <w:kern w:val="0"/>
          <w:sz w:val="22"/>
          <w:szCs w:val="22"/>
        </w:rPr>
        <w:t>。联合体中标的，其履约保证金以联合体各方或者联合体中牵头人的名义提交。</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480" w:lineRule="exact"/>
        <w:ind w:firstLine="440" w:firstLineChars="200"/>
        <w:rPr>
          <w:rFonts w:hint="eastAsia" w:ascii="宋体" w:hAnsi="宋体" w:eastAsia="宋体" w:cs="宋体"/>
          <w:sz w:val="22"/>
          <w:szCs w:val="22"/>
        </w:rPr>
      </w:pPr>
      <w:r>
        <w:rPr>
          <w:rFonts w:hint="eastAsia" w:ascii="宋体" w:hAnsi="宋体" w:eastAsia="宋体" w:cs="宋体"/>
          <w:snapToGrid w:val="0"/>
          <w:sz w:val="22"/>
          <w:szCs w:val="22"/>
        </w:rPr>
        <w:t>7.8</w:t>
      </w:r>
      <w:r>
        <w:rPr>
          <w:rFonts w:hint="eastAsia" w:ascii="宋体" w:hAnsi="宋体" w:eastAsia="宋体" w:cs="宋体"/>
          <w:snapToGrid w:val="0"/>
          <w:color w:val="000000"/>
          <w:kern w:val="0"/>
          <w:sz w:val="22"/>
          <w:szCs w:val="22"/>
        </w:rPr>
        <w:t xml:space="preserve"> </w:t>
      </w:r>
      <w:r>
        <w:rPr>
          <w:rFonts w:hint="eastAsia" w:ascii="宋体" w:hAnsi="宋体" w:eastAsia="宋体" w:cs="宋体"/>
          <w:sz w:val="22"/>
          <w:szCs w:val="22"/>
        </w:rPr>
        <w:t>签订合同</w:t>
      </w:r>
      <w:bookmarkEnd w:id="207"/>
      <w:bookmarkEnd w:id="208"/>
      <w:bookmarkEnd w:id="209"/>
      <w:bookmarkEnd w:id="210"/>
    </w:p>
    <w:p>
      <w:pPr>
        <w:spacing w:line="480" w:lineRule="exact"/>
        <w:ind w:firstLine="440" w:firstLineChars="200"/>
        <w:rPr>
          <w:rFonts w:hint="eastAsia" w:ascii="宋体" w:hAnsi="宋体" w:cs="宋体"/>
          <w:sz w:val="22"/>
          <w:szCs w:val="22"/>
        </w:rPr>
      </w:pPr>
      <w:bookmarkStart w:id="211" w:name="_Toc144974539"/>
      <w:bookmarkStart w:id="212" w:name="_Toc152045571"/>
      <w:bookmarkStart w:id="213" w:name="_Toc152042347"/>
      <w:bookmarkStart w:id="214" w:name="_Toc179632589"/>
      <w:r>
        <w:rPr>
          <w:rFonts w:hint="eastAsia" w:ascii="宋体" w:hAnsi="宋体" w:cs="宋体"/>
          <w:sz w:val="22"/>
          <w:szCs w:val="22"/>
        </w:rPr>
        <w:t>7.8.1</w:t>
      </w:r>
      <w:r>
        <w:rPr>
          <w:rFonts w:hint="eastAsia" w:ascii="宋体" w:hAnsi="宋体" w:cs="宋体"/>
          <w:bCs/>
          <w:snapToGrid w:val="0"/>
          <w:color w:val="000000"/>
          <w:kern w:val="0"/>
          <w:sz w:val="22"/>
          <w:szCs w:val="22"/>
        </w:rPr>
        <w:t>中标人和招标人应在投标有效期内以及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7.8.2</w:t>
      </w:r>
      <w:r>
        <w:rPr>
          <w:rFonts w:hint="eastAsia" w:ascii="宋体" w:hAnsi="宋体" w:cs="宋体"/>
          <w:bCs/>
          <w:snapToGrid w:val="0"/>
          <w:color w:val="000000"/>
          <w:kern w:val="0"/>
          <w:sz w:val="22"/>
          <w:szCs w:val="22"/>
        </w:rPr>
        <w:t>发出中标通知书后，招标人无正当理由拒签合同，或者在签订合同时向中标人提出附加条件的，招标人向中标人退还投标保证金；给中标人造成损失的，还应当赔偿损失。</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sz w:val="22"/>
          <w:szCs w:val="22"/>
        </w:rPr>
        <w:t>7.8.3</w:t>
      </w:r>
      <w:r>
        <w:rPr>
          <w:rFonts w:hint="eastAsia" w:ascii="宋体" w:hAnsi="宋体" w:cs="宋体"/>
          <w:bCs/>
          <w:snapToGrid w:val="0"/>
          <w:color w:val="000000"/>
          <w:kern w:val="0"/>
          <w:sz w:val="22"/>
          <w:szCs w:val="22"/>
        </w:rPr>
        <w:t>联合体中标的，联合体各方应当共同与招标人签订合同，就中标项目向招标人承担连带责任。</w:t>
      </w:r>
    </w:p>
    <w:p>
      <w:pPr>
        <w:pStyle w:val="3"/>
        <w:spacing w:before="0" w:after="0" w:line="480" w:lineRule="exact"/>
        <w:rPr>
          <w:rFonts w:hint="eastAsia" w:ascii="宋体" w:hAnsi="宋体" w:cs="宋体"/>
          <w:snapToGrid w:val="0"/>
          <w:sz w:val="22"/>
          <w:szCs w:val="22"/>
        </w:rPr>
      </w:pPr>
      <w:bookmarkStart w:id="215" w:name="_Toc26781060"/>
      <w:r>
        <w:rPr>
          <w:rFonts w:hint="eastAsia" w:ascii="宋体" w:hAnsi="宋体" w:cs="宋体"/>
          <w:sz w:val="22"/>
          <w:szCs w:val="22"/>
        </w:rPr>
        <w:t>8.</w:t>
      </w:r>
      <w:r>
        <w:rPr>
          <w:rFonts w:hint="eastAsia" w:ascii="宋体" w:hAnsi="宋体" w:cs="宋体"/>
          <w:snapToGrid w:val="0"/>
          <w:sz w:val="22"/>
          <w:szCs w:val="22"/>
        </w:rPr>
        <w:t xml:space="preserve"> 重新招标和不再招标</w:t>
      </w:r>
      <w:bookmarkEnd w:id="211"/>
      <w:bookmarkEnd w:id="212"/>
      <w:bookmarkEnd w:id="213"/>
      <w:bookmarkEnd w:id="214"/>
      <w:bookmarkEnd w:id="215"/>
    </w:p>
    <w:p>
      <w:pPr>
        <w:pStyle w:val="4"/>
        <w:spacing w:before="0" w:after="0" w:line="480" w:lineRule="exact"/>
        <w:ind w:firstLine="440" w:firstLineChars="200"/>
        <w:rPr>
          <w:rFonts w:hint="eastAsia" w:ascii="宋体" w:hAnsi="宋体" w:eastAsia="宋体" w:cs="宋体"/>
          <w:sz w:val="22"/>
          <w:szCs w:val="22"/>
        </w:rPr>
      </w:pPr>
      <w:bookmarkStart w:id="216" w:name="_Toc179632590"/>
      <w:bookmarkStart w:id="217" w:name="_Toc144974540"/>
      <w:bookmarkStart w:id="218" w:name="_Toc152042348"/>
      <w:bookmarkStart w:id="219" w:name="_Toc152045572"/>
      <w:r>
        <w:rPr>
          <w:rFonts w:hint="eastAsia" w:ascii="宋体" w:hAnsi="宋体" w:eastAsia="宋体" w:cs="宋体"/>
          <w:sz w:val="22"/>
          <w:szCs w:val="22"/>
        </w:rPr>
        <w:t>8.1 重新招标</w:t>
      </w:r>
      <w:bookmarkEnd w:id="216"/>
      <w:bookmarkEnd w:id="217"/>
      <w:bookmarkEnd w:id="218"/>
      <w:bookmarkEnd w:id="219"/>
    </w:p>
    <w:p>
      <w:pPr>
        <w:spacing w:line="480" w:lineRule="exact"/>
        <w:ind w:firstLine="440" w:firstLineChars="200"/>
        <w:rPr>
          <w:rFonts w:hint="eastAsia" w:ascii="宋体" w:hAnsi="宋体" w:cs="宋体"/>
          <w:sz w:val="22"/>
          <w:szCs w:val="22"/>
        </w:rPr>
      </w:pPr>
      <w:r>
        <w:rPr>
          <w:rFonts w:hint="eastAsia" w:ascii="宋体" w:hAnsi="宋体" w:cs="宋体"/>
          <w:sz w:val="22"/>
          <w:szCs w:val="22"/>
        </w:rPr>
        <w:t>依法必须招标的项目有下列情形之一的，招标人将重新招标：</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（1）投标截止时间止，投标人少于3个的；</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（2）经评标委员会评审后否决所有投标的；</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（3）中标候选人均未与招标人签订合同的；</w:t>
      </w:r>
    </w:p>
    <w:p>
      <w:pPr>
        <w:spacing w:line="480" w:lineRule="exact"/>
        <w:ind w:firstLine="440" w:firstLineChars="200"/>
        <w:rPr>
          <w:rFonts w:hint="eastAsia" w:ascii="宋体" w:hAnsi="宋体" w:cs="宋体"/>
          <w:bCs/>
          <w:snapToGrid w:val="0"/>
          <w:color w:val="000000"/>
          <w:kern w:val="0"/>
          <w:sz w:val="22"/>
          <w:szCs w:val="22"/>
        </w:rPr>
      </w:pPr>
      <w:r>
        <w:rPr>
          <w:rFonts w:hint="eastAsia" w:ascii="宋体" w:hAnsi="宋体" w:cs="宋体"/>
          <w:bCs/>
          <w:snapToGrid w:val="0"/>
          <w:color w:val="000000"/>
          <w:kern w:val="0"/>
          <w:sz w:val="22"/>
          <w:szCs w:val="22"/>
        </w:rPr>
        <w:t>（4）</w:t>
      </w:r>
      <w:r>
        <w:rPr>
          <w:rFonts w:hint="eastAsia" w:ascii="宋体" w:hAnsi="宋体" w:cs="宋体"/>
          <w:bCs/>
          <w:snapToGrid w:val="0"/>
          <w:color w:val="000000"/>
          <w:kern w:val="0"/>
          <w:sz w:val="22"/>
          <w:szCs w:val="22"/>
          <w:lang w:eastAsia="zh-CN"/>
        </w:rPr>
        <w:t>法律法规</w:t>
      </w:r>
      <w:r>
        <w:rPr>
          <w:rFonts w:hint="eastAsia" w:ascii="宋体" w:hAnsi="宋体" w:cs="宋体"/>
          <w:bCs/>
          <w:snapToGrid w:val="0"/>
          <w:color w:val="000000"/>
          <w:kern w:val="0"/>
          <w:sz w:val="22"/>
          <w:szCs w:val="22"/>
        </w:rPr>
        <w:t>规定的其他情形。</w:t>
      </w:r>
    </w:p>
    <w:p>
      <w:pPr>
        <w:pStyle w:val="4"/>
        <w:spacing w:before="0" w:after="0" w:line="480" w:lineRule="exact"/>
        <w:ind w:firstLine="440" w:firstLineChars="200"/>
        <w:rPr>
          <w:rFonts w:hint="eastAsia" w:ascii="宋体" w:hAnsi="宋体" w:eastAsia="宋体" w:cs="宋体"/>
          <w:sz w:val="22"/>
          <w:szCs w:val="22"/>
        </w:rPr>
      </w:pPr>
      <w:bookmarkStart w:id="220" w:name="_Toc179632591"/>
      <w:bookmarkStart w:id="221" w:name="_Toc152042349"/>
      <w:bookmarkStart w:id="222" w:name="_Toc144974541"/>
      <w:bookmarkStart w:id="223" w:name="_Toc152045573"/>
      <w:r>
        <w:rPr>
          <w:rFonts w:hint="eastAsia" w:ascii="宋体" w:hAnsi="宋体" w:eastAsia="宋体" w:cs="宋体"/>
          <w:sz w:val="22"/>
          <w:szCs w:val="22"/>
        </w:rPr>
        <w:t>8.2 不再招标</w:t>
      </w:r>
      <w:bookmarkEnd w:id="220"/>
      <w:bookmarkEnd w:id="221"/>
      <w:bookmarkEnd w:id="222"/>
      <w:bookmarkEnd w:id="223"/>
    </w:p>
    <w:p>
      <w:pPr>
        <w:spacing w:line="480" w:lineRule="exact"/>
        <w:ind w:firstLine="440" w:firstLineChars="200"/>
        <w:rPr>
          <w:rFonts w:hint="eastAsia" w:ascii="宋体" w:hAnsi="宋体" w:cs="宋体"/>
          <w:sz w:val="22"/>
          <w:szCs w:val="22"/>
        </w:rPr>
      </w:pPr>
      <w:r>
        <w:rPr>
          <w:rFonts w:hint="eastAsia" w:ascii="宋体" w:hAnsi="宋体" w:cs="宋体"/>
          <w:sz w:val="22"/>
          <w:szCs w:val="22"/>
        </w:rPr>
        <w:t>重新招标后投标人仍少于3个或者所有投标被否决的，属于必须审批或核准的工程建设项目，经原审批或核准部门批准后不再进行招标。</w:t>
      </w:r>
    </w:p>
    <w:p>
      <w:pPr>
        <w:pStyle w:val="3"/>
        <w:spacing w:before="0" w:after="0" w:line="480" w:lineRule="exact"/>
        <w:rPr>
          <w:rFonts w:hint="eastAsia" w:ascii="宋体" w:hAnsi="宋体" w:cs="宋体"/>
          <w:bCs w:val="0"/>
          <w:sz w:val="22"/>
          <w:szCs w:val="22"/>
        </w:rPr>
      </w:pPr>
      <w:bookmarkStart w:id="224" w:name="_Toc144974542"/>
      <w:bookmarkStart w:id="225" w:name="_Toc152045574"/>
      <w:bookmarkStart w:id="226" w:name="_Toc26781061"/>
      <w:bookmarkStart w:id="227" w:name="_Toc179632592"/>
      <w:bookmarkStart w:id="228" w:name="_Toc152042350"/>
      <w:r>
        <w:rPr>
          <w:rFonts w:hint="eastAsia" w:ascii="宋体" w:hAnsi="宋体" w:cs="宋体"/>
          <w:bCs w:val="0"/>
          <w:sz w:val="22"/>
          <w:szCs w:val="22"/>
        </w:rPr>
        <w:t>9. 纪律和监督</w:t>
      </w:r>
      <w:bookmarkEnd w:id="224"/>
      <w:bookmarkEnd w:id="225"/>
      <w:bookmarkEnd w:id="226"/>
      <w:bookmarkEnd w:id="227"/>
      <w:bookmarkEnd w:id="228"/>
    </w:p>
    <w:p>
      <w:pPr>
        <w:pStyle w:val="4"/>
        <w:spacing w:before="0" w:after="0" w:line="480" w:lineRule="exact"/>
        <w:ind w:firstLine="440" w:firstLineChars="200"/>
        <w:rPr>
          <w:rFonts w:hint="eastAsia" w:ascii="宋体" w:hAnsi="宋体" w:eastAsia="宋体" w:cs="宋体"/>
          <w:sz w:val="22"/>
          <w:szCs w:val="22"/>
        </w:rPr>
      </w:pPr>
      <w:bookmarkStart w:id="229" w:name="_Toc179632593"/>
      <w:bookmarkStart w:id="230" w:name="_Toc144974543"/>
      <w:bookmarkStart w:id="231" w:name="_Toc152045575"/>
      <w:bookmarkStart w:id="232" w:name="_Toc152042351"/>
      <w:r>
        <w:rPr>
          <w:rFonts w:hint="eastAsia" w:ascii="宋体" w:hAnsi="宋体" w:eastAsia="宋体" w:cs="宋体"/>
          <w:sz w:val="22"/>
          <w:szCs w:val="22"/>
        </w:rPr>
        <w:t>9.1 对招标人的纪律要求</w:t>
      </w:r>
      <w:bookmarkEnd w:id="229"/>
      <w:bookmarkEnd w:id="230"/>
      <w:bookmarkEnd w:id="231"/>
      <w:bookmarkEnd w:id="232"/>
    </w:p>
    <w:p>
      <w:pPr>
        <w:spacing w:line="480" w:lineRule="exact"/>
        <w:ind w:firstLine="440" w:firstLineChars="200"/>
        <w:rPr>
          <w:rFonts w:hint="eastAsia" w:ascii="宋体" w:hAnsi="宋体" w:cs="宋体"/>
          <w:sz w:val="22"/>
          <w:szCs w:val="22"/>
        </w:rPr>
      </w:pPr>
      <w:r>
        <w:rPr>
          <w:rFonts w:hint="eastAsia" w:ascii="宋体" w:hAnsi="宋体" w:cs="宋体"/>
          <w:sz w:val="22"/>
          <w:szCs w:val="22"/>
        </w:rPr>
        <w:t>招标人不得</w:t>
      </w:r>
      <w:r>
        <w:rPr>
          <w:rFonts w:hint="eastAsia" w:ascii="宋体" w:hAnsi="宋体" w:cs="宋体"/>
          <w:sz w:val="22"/>
          <w:szCs w:val="22"/>
          <w:lang w:eastAsia="zh-CN"/>
        </w:rPr>
        <w:t>泄露</w:t>
      </w:r>
      <w:r>
        <w:rPr>
          <w:rFonts w:hint="eastAsia" w:ascii="宋体" w:hAnsi="宋体" w:cs="宋体"/>
          <w:sz w:val="22"/>
          <w:szCs w:val="22"/>
        </w:rPr>
        <w:t>招标投标活动中应当保密的情况和资料，不得与投标人串通损害国家利益、社会公共利益或者他人合法权益。</w:t>
      </w:r>
    </w:p>
    <w:p>
      <w:pPr>
        <w:pStyle w:val="4"/>
        <w:spacing w:before="0" w:after="0" w:line="480" w:lineRule="exact"/>
        <w:ind w:firstLine="440" w:firstLineChars="200"/>
        <w:rPr>
          <w:rFonts w:hint="eastAsia" w:ascii="宋体" w:hAnsi="宋体" w:eastAsia="宋体" w:cs="宋体"/>
          <w:sz w:val="22"/>
          <w:szCs w:val="22"/>
        </w:rPr>
      </w:pPr>
      <w:bookmarkStart w:id="233" w:name="_Toc179632594"/>
      <w:bookmarkStart w:id="234" w:name="_Toc144974544"/>
      <w:bookmarkStart w:id="235" w:name="_Toc152042352"/>
      <w:bookmarkStart w:id="236" w:name="_Toc152045576"/>
      <w:r>
        <w:rPr>
          <w:rFonts w:hint="eastAsia" w:ascii="宋体" w:hAnsi="宋体" w:eastAsia="宋体" w:cs="宋体"/>
          <w:sz w:val="22"/>
          <w:szCs w:val="22"/>
        </w:rPr>
        <w:t>9.2 对投标人的纪律要求</w:t>
      </w:r>
      <w:bookmarkEnd w:id="233"/>
      <w:bookmarkEnd w:id="234"/>
      <w:bookmarkEnd w:id="235"/>
      <w:bookmarkEnd w:id="236"/>
    </w:p>
    <w:p>
      <w:pPr>
        <w:spacing w:line="480" w:lineRule="exact"/>
        <w:ind w:firstLine="440" w:firstLineChars="200"/>
        <w:rPr>
          <w:rFonts w:hint="eastAsia" w:ascii="宋体" w:hAnsi="宋体" w:cs="宋体"/>
          <w:sz w:val="22"/>
          <w:szCs w:val="22"/>
        </w:rPr>
      </w:pPr>
      <w:r>
        <w:rPr>
          <w:rFonts w:hint="eastAsia" w:ascii="宋体" w:hAnsi="宋体" w:cs="宋体"/>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480" w:lineRule="exact"/>
        <w:ind w:firstLine="440" w:firstLineChars="200"/>
        <w:rPr>
          <w:rFonts w:hint="eastAsia" w:ascii="宋体" w:hAnsi="宋体" w:eastAsia="宋体" w:cs="宋体"/>
          <w:sz w:val="22"/>
          <w:szCs w:val="22"/>
        </w:rPr>
      </w:pPr>
      <w:bookmarkStart w:id="237" w:name="_Toc152042353"/>
      <w:bookmarkStart w:id="238" w:name="_Toc179632595"/>
      <w:bookmarkStart w:id="239" w:name="_Toc152045577"/>
      <w:bookmarkStart w:id="240" w:name="_Toc144974545"/>
      <w:r>
        <w:rPr>
          <w:rFonts w:hint="eastAsia" w:ascii="宋体" w:hAnsi="宋体" w:eastAsia="宋体" w:cs="宋体"/>
          <w:sz w:val="22"/>
          <w:szCs w:val="22"/>
        </w:rPr>
        <w:t>9.3 对评标委员会成员的纪律要求</w:t>
      </w:r>
      <w:bookmarkEnd w:id="237"/>
      <w:bookmarkEnd w:id="238"/>
      <w:bookmarkEnd w:id="239"/>
      <w:bookmarkEnd w:id="240"/>
    </w:p>
    <w:p>
      <w:pPr>
        <w:spacing w:line="480" w:lineRule="exact"/>
        <w:ind w:firstLine="440" w:firstLineChars="200"/>
        <w:rPr>
          <w:rFonts w:hint="eastAsia" w:ascii="宋体" w:hAnsi="宋体" w:cs="宋体"/>
          <w:sz w:val="22"/>
          <w:szCs w:val="22"/>
        </w:rPr>
      </w:pPr>
      <w:r>
        <w:rPr>
          <w:rFonts w:hint="eastAsia" w:ascii="宋体" w:hAnsi="宋体" w:cs="宋体"/>
          <w:sz w:val="22"/>
          <w:szCs w:val="22"/>
        </w:rPr>
        <w:t>评标委员会成员不得收受他人的财物或者其他好处，不得向他人</w:t>
      </w:r>
      <w:r>
        <w:rPr>
          <w:rFonts w:hint="eastAsia" w:ascii="宋体" w:hAnsi="宋体" w:cs="宋体"/>
          <w:sz w:val="22"/>
          <w:szCs w:val="22"/>
          <w:lang w:eastAsia="zh-CN"/>
        </w:rPr>
        <w:t>透露</w:t>
      </w:r>
      <w:r>
        <w:rPr>
          <w:rFonts w:hint="eastAsia" w:ascii="宋体" w:hAnsi="宋体" w:cs="宋体"/>
          <w:sz w:val="22"/>
          <w:szCs w:val="22"/>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480" w:lineRule="exact"/>
        <w:ind w:firstLine="440" w:firstLineChars="200"/>
        <w:rPr>
          <w:rFonts w:hint="eastAsia" w:ascii="宋体" w:hAnsi="宋体" w:eastAsia="宋体" w:cs="宋体"/>
          <w:sz w:val="22"/>
          <w:szCs w:val="22"/>
        </w:rPr>
      </w:pPr>
      <w:bookmarkStart w:id="241" w:name="_Toc152042354"/>
      <w:bookmarkStart w:id="242" w:name="_Toc152045578"/>
      <w:bookmarkStart w:id="243" w:name="_Toc179632596"/>
      <w:bookmarkStart w:id="244" w:name="_Toc144974546"/>
      <w:r>
        <w:rPr>
          <w:rFonts w:hint="eastAsia" w:ascii="宋体" w:hAnsi="宋体" w:eastAsia="宋体" w:cs="宋体"/>
          <w:sz w:val="22"/>
          <w:szCs w:val="22"/>
        </w:rPr>
        <w:t>9.4 对与评标活动有关的工作人员的纪律要求</w:t>
      </w:r>
      <w:bookmarkEnd w:id="241"/>
      <w:bookmarkEnd w:id="242"/>
      <w:bookmarkEnd w:id="243"/>
    </w:p>
    <w:p>
      <w:pPr>
        <w:spacing w:line="480" w:lineRule="exact"/>
        <w:ind w:firstLine="440" w:firstLineChars="200"/>
        <w:rPr>
          <w:rFonts w:hint="eastAsia" w:ascii="宋体" w:hAnsi="宋体" w:cs="宋体"/>
          <w:sz w:val="22"/>
          <w:szCs w:val="22"/>
        </w:rPr>
      </w:pPr>
      <w:bookmarkStart w:id="245" w:name="_Toc152042355"/>
      <w:r>
        <w:rPr>
          <w:rFonts w:hint="eastAsia" w:ascii="宋体" w:hAnsi="宋体" w:cs="宋体"/>
          <w:sz w:val="22"/>
          <w:szCs w:val="22"/>
        </w:rPr>
        <w:t>与评标活动有关的工作人员不得收受他人的财物或者其他好处，不得向他人</w:t>
      </w:r>
      <w:r>
        <w:rPr>
          <w:rFonts w:hint="eastAsia" w:ascii="宋体" w:hAnsi="宋体" w:cs="宋体"/>
          <w:sz w:val="22"/>
          <w:szCs w:val="22"/>
          <w:lang w:eastAsia="zh-CN"/>
        </w:rPr>
        <w:t>透露</w:t>
      </w:r>
      <w:r>
        <w:rPr>
          <w:rFonts w:hint="eastAsia" w:ascii="宋体" w:hAnsi="宋体" w:cs="宋体"/>
          <w:sz w:val="22"/>
          <w:szCs w:val="22"/>
        </w:rPr>
        <w:t>对投标文件的评审和比较、中标候选人的推荐情况以及评标有关的其他情况。在评标活动中，与评标活动有关的工作人员不得擅离职守，影响评标程序正常进行。</w:t>
      </w:r>
      <w:bookmarkEnd w:id="245"/>
    </w:p>
    <w:p>
      <w:pPr>
        <w:pStyle w:val="4"/>
        <w:spacing w:before="0" w:after="0" w:line="480" w:lineRule="exact"/>
        <w:ind w:firstLine="440" w:firstLineChars="200"/>
        <w:rPr>
          <w:rFonts w:hint="eastAsia" w:ascii="宋体" w:hAnsi="宋体" w:eastAsia="宋体" w:cs="宋体"/>
          <w:sz w:val="22"/>
          <w:szCs w:val="22"/>
        </w:rPr>
      </w:pPr>
      <w:bookmarkStart w:id="246" w:name="_Toc152042356"/>
      <w:bookmarkStart w:id="247" w:name="_Toc152045579"/>
      <w:bookmarkStart w:id="248" w:name="_Toc179632597"/>
      <w:r>
        <w:rPr>
          <w:rFonts w:hint="eastAsia" w:ascii="宋体" w:hAnsi="宋体" w:eastAsia="宋体" w:cs="宋体"/>
          <w:sz w:val="22"/>
          <w:szCs w:val="22"/>
        </w:rPr>
        <w:t>9.5 投诉</w:t>
      </w:r>
      <w:bookmarkEnd w:id="244"/>
      <w:bookmarkEnd w:id="246"/>
      <w:bookmarkEnd w:id="247"/>
      <w:bookmarkEnd w:id="248"/>
    </w:p>
    <w:p>
      <w:pPr>
        <w:spacing w:line="480" w:lineRule="exact"/>
        <w:ind w:firstLine="440" w:firstLineChars="200"/>
        <w:rPr>
          <w:rFonts w:hint="eastAsia" w:ascii="宋体" w:hAnsi="宋体" w:cs="宋体"/>
          <w:color w:val="000000"/>
          <w:sz w:val="22"/>
          <w:szCs w:val="22"/>
        </w:rPr>
      </w:pPr>
      <w:bookmarkStart w:id="249" w:name="_Toc179632598"/>
      <w:bookmarkStart w:id="250" w:name="_Toc144974547"/>
      <w:bookmarkStart w:id="251" w:name="_Toc152045580"/>
      <w:bookmarkStart w:id="252" w:name="_Toc152042357"/>
      <w:r>
        <w:rPr>
          <w:rFonts w:hint="eastAsia" w:ascii="宋体" w:hAnsi="宋体" w:cs="宋体"/>
          <w:color w:val="000000"/>
          <w:sz w:val="22"/>
          <w:szCs w:val="22"/>
        </w:rPr>
        <w:t xml:space="preserve">9.5.1 </w:t>
      </w:r>
      <w:r>
        <w:rPr>
          <w:rFonts w:hint="eastAsia" w:ascii="宋体" w:hAnsi="宋体" w:cs="宋体"/>
          <w:bCs/>
          <w:snapToGrid w:val="0"/>
          <w:color w:val="000000"/>
          <w:kern w:val="0"/>
          <w:sz w:val="22"/>
          <w:szCs w:val="22"/>
        </w:rPr>
        <w:t>投标人或者其他利害关系人认为招标投标活动不符合法律、行政法规规定的，可以自知道或者应当知道之日起10日内向有关行政监督部门投诉。投诉应当有明确的请求和必要的证明材料。投诉受理方式见投标人须知前附表。</w:t>
      </w:r>
    </w:p>
    <w:p>
      <w:pPr>
        <w:spacing w:line="4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9.5.2 </w:t>
      </w:r>
      <w:r>
        <w:rPr>
          <w:rFonts w:hint="eastAsia" w:ascii="宋体" w:hAnsi="宋体" w:cs="宋体"/>
          <w:bCs/>
          <w:snapToGrid w:val="0"/>
          <w:color w:val="000000"/>
          <w:kern w:val="0"/>
          <w:sz w:val="22"/>
          <w:szCs w:val="22"/>
        </w:rPr>
        <w:t>投标人或者其他利害关系人对招标文件、开标和评标结果提出投诉的，应当按照投标人须知第2.4款、第5.3款和第7.2款的规定先向招标人提出异议。异议答复期间</w:t>
      </w:r>
      <w:bookmarkStart w:id="253" w:name="_Toc300834993"/>
      <w:bookmarkStart w:id="254" w:name="_Toc352691517"/>
      <w:bookmarkStart w:id="255" w:name="_Toc247513994"/>
      <w:bookmarkStart w:id="256" w:name="_Toc369531561"/>
      <w:bookmarkStart w:id="257" w:name="_Toc361508630"/>
      <w:bookmarkStart w:id="258" w:name="_Toc12776"/>
      <w:bookmarkStart w:id="259" w:name="_Toc384308255"/>
      <w:bookmarkStart w:id="260" w:name="_Toc247527595"/>
      <w:r>
        <w:rPr>
          <w:rFonts w:hint="eastAsia" w:ascii="宋体" w:hAnsi="宋体" w:cs="宋体"/>
          <w:bCs/>
          <w:snapToGrid w:val="0"/>
          <w:color w:val="000000"/>
          <w:kern w:val="0"/>
          <w:sz w:val="22"/>
          <w:szCs w:val="22"/>
        </w:rPr>
        <w:t>不计算在第9.5.</w:t>
      </w:r>
      <w:bookmarkEnd w:id="253"/>
      <w:bookmarkEnd w:id="254"/>
      <w:bookmarkEnd w:id="255"/>
      <w:bookmarkEnd w:id="256"/>
      <w:bookmarkEnd w:id="257"/>
      <w:bookmarkEnd w:id="258"/>
      <w:bookmarkEnd w:id="259"/>
      <w:bookmarkEnd w:id="260"/>
      <w:r>
        <w:rPr>
          <w:rFonts w:hint="eastAsia" w:ascii="宋体" w:hAnsi="宋体" w:cs="宋体"/>
          <w:bCs/>
          <w:snapToGrid w:val="0"/>
          <w:color w:val="000000"/>
          <w:kern w:val="0"/>
          <w:sz w:val="22"/>
          <w:szCs w:val="22"/>
        </w:rPr>
        <w:t>1项规定的期限内。</w:t>
      </w:r>
    </w:p>
    <w:p>
      <w:pPr>
        <w:pStyle w:val="3"/>
        <w:spacing w:before="0" w:after="0" w:line="480" w:lineRule="exact"/>
        <w:rPr>
          <w:rFonts w:hint="eastAsia" w:ascii="宋体" w:hAnsi="宋体" w:cs="宋体"/>
          <w:bCs w:val="0"/>
          <w:sz w:val="22"/>
          <w:szCs w:val="22"/>
        </w:rPr>
      </w:pPr>
      <w:bookmarkStart w:id="261" w:name="_Toc26781062"/>
      <w:r>
        <w:rPr>
          <w:rFonts w:hint="eastAsia" w:ascii="宋体" w:hAnsi="宋体" w:cs="宋体"/>
          <w:bCs w:val="0"/>
          <w:sz w:val="22"/>
          <w:szCs w:val="22"/>
        </w:rPr>
        <w:t>10. 需要补充的其他内容</w:t>
      </w:r>
      <w:bookmarkEnd w:id="249"/>
      <w:bookmarkEnd w:id="250"/>
      <w:bookmarkEnd w:id="251"/>
      <w:bookmarkEnd w:id="252"/>
      <w:bookmarkEnd w:id="261"/>
    </w:p>
    <w:p>
      <w:pPr>
        <w:spacing w:line="480" w:lineRule="exact"/>
        <w:ind w:firstLine="440" w:firstLineChars="200"/>
        <w:rPr>
          <w:rFonts w:hint="eastAsia" w:ascii="宋体" w:hAnsi="宋体" w:cs="宋体"/>
          <w:sz w:val="22"/>
          <w:szCs w:val="22"/>
        </w:rPr>
      </w:pPr>
      <w:r>
        <w:rPr>
          <w:rFonts w:hint="eastAsia" w:ascii="宋体" w:hAnsi="宋体" w:cs="宋体"/>
          <w:sz w:val="22"/>
          <w:szCs w:val="22"/>
        </w:rPr>
        <w:t>需要补充的其他内容：见投标人须知前附表。</w:t>
      </w:r>
    </w:p>
    <w:p>
      <w:pPr>
        <w:pStyle w:val="2"/>
        <w:jc w:val="center"/>
        <w:rPr>
          <w:rFonts w:hint="eastAsia" w:eastAsia="黑体"/>
          <w:b w:val="0"/>
        </w:rPr>
      </w:pPr>
      <w:r>
        <w:rPr>
          <w:color w:val="000000"/>
          <w:sz w:val="24"/>
        </w:rPr>
        <w:br w:type="page"/>
      </w:r>
      <w:bookmarkStart w:id="262" w:name="_Toc25053146"/>
      <w:bookmarkStart w:id="263" w:name="_Toc26781063"/>
      <w:bookmarkStart w:id="264" w:name="_Toc26705847"/>
      <w:bookmarkStart w:id="265" w:name="_Toc26712637"/>
      <w:bookmarkStart w:id="266" w:name="_Toc15656420"/>
      <w:r>
        <w:rPr>
          <w:rFonts w:hint="eastAsia" w:eastAsia="黑体"/>
          <w:b w:val="0"/>
        </w:rPr>
        <w:t>附件：合肥市公共资源交易电子招标投标操作规程</w:t>
      </w:r>
      <w:bookmarkEnd w:id="262"/>
      <w:bookmarkEnd w:id="263"/>
      <w:bookmarkEnd w:id="264"/>
      <w:bookmarkEnd w:id="265"/>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【制定依据】</w:t>
      </w:r>
      <w:r>
        <w:rPr>
          <w:rFonts w:hint="eastAsia" w:ascii="宋体" w:hAnsi="宋体" w:cs="宋体"/>
          <w:sz w:val="22"/>
          <w:szCs w:val="22"/>
        </w:rPr>
        <w:t>第一条 为进一步规范招标投标行为，提高招标投标效率，充分利用信息网络技术，根据《中华人民共和国招标投标法</w:t>
      </w:r>
      <w:r>
        <w:rPr>
          <w:rFonts w:hint="eastAsia" w:ascii="宋体" w:hAnsi="宋体" w:cs="宋体"/>
          <w:sz w:val="22"/>
          <w:szCs w:val="22"/>
          <w:lang w:eastAsia="zh-CN"/>
        </w:rPr>
        <w:t>》《</w:t>
      </w:r>
      <w:r>
        <w:rPr>
          <w:rFonts w:hint="eastAsia" w:ascii="宋体" w:hAnsi="宋体" w:cs="宋体"/>
          <w:sz w:val="22"/>
          <w:szCs w:val="22"/>
        </w:rPr>
        <w:t>中华人民共和国政府采购法</w:t>
      </w:r>
      <w:r>
        <w:rPr>
          <w:rFonts w:hint="eastAsia" w:ascii="宋体" w:hAnsi="宋体" w:cs="宋体"/>
          <w:sz w:val="22"/>
          <w:szCs w:val="22"/>
          <w:lang w:eastAsia="zh-CN"/>
        </w:rPr>
        <w:t>》《</w:t>
      </w:r>
      <w:r>
        <w:rPr>
          <w:rFonts w:hint="eastAsia" w:ascii="宋体" w:hAnsi="宋体" w:cs="宋体"/>
          <w:sz w:val="22"/>
          <w:szCs w:val="22"/>
        </w:rPr>
        <w:t>中华人民共和国电子签名法</w:t>
      </w:r>
      <w:r>
        <w:rPr>
          <w:rFonts w:hint="eastAsia" w:ascii="宋体" w:hAnsi="宋体" w:cs="宋体"/>
          <w:sz w:val="22"/>
          <w:szCs w:val="22"/>
          <w:lang w:eastAsia="zh-CN"/>
        </w:rPr>
        <w:t>》《</w:t>
      </w:r>
      <w:r>
        <w:rPr>
          <w:rFonts w:hint="eastAsia" w:ascii="宋体" w:hAnsi="宋体" w:cs="宋体"/>
          <w:sz w:val="22"/>
          <w:szCs w:val="22"/>
        </w:rPr>
        <w:t>合肥市公共资源交易管理条例》和《电子招标投标办法》（八部委20号令）等有关规定，并结合工作实际，制定本规程。</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【电子招标投标】</w:t>
      </w:r>
      <w:r>
        <w:rPr>
          <w:rFonts w:hint="eastAsia" w:ascii="宋体" w:hAnsi="宋体" w:cs="宋体"/>
          <w:sz w:val="22"/>
          <w:szCs w:val="22"/>
        </w:rPr>
        <w:t>第二条 本规程所指的电子招标投标，是指以数据电文形式，依托电子交易系统和安徽合肥公共资源交易中心电子服务系统完成的全部或者部分招标投标交易活动。</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【适用范围】</w:t>
      </w:r>
      <w:r>
        <w:rPr>
          <w:rFonts w:hint="eastAsia" w:ascii="宋体" w:hAnsi="宋体" w:cs="宋体"/>
          <w:sz w:val="22"/>
          <w:szCs w:val="22"/>
        </w:rPr>
        <w:t>第三条 本规程适用于《合肥市公共资源集中交易目录》范围内的建设工程和政府采购、资产类项目。</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【职责分工】</w:t>
      </w:r>
      <w:r>
        <w:rPr>
          <w:rFonts w:hint="eastAsia" w:ascii="宋体" w:hAnsi="宋体" w:cs="宋体"/>
          <w:sz w:val="22"/>
          <w:szCs w:val="22"/>
        </w:rPr>
        <w:t>第四条 招标人或招标代理机构负责电子招标投标的组织实施，电子交易系统建设单位负责电子交易系统的服务保障，电子服务系统建设单位负责电子服务系统的服务保障。</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【电子服务系统】</w:t>
      </w:r>
      <w:r>
        <w:rPr>
          <w:rFonts w:hint="eastAsia" w:ascii="宋体" w:hAnsi="宋体" w:cs="宋体"/>
          <w:sz w:val="22"/>
          <w:szCs w:val="22"/>
        </w:rPr>
        <w:t>第五条 为满足与各电子交易系统之间电子招标投标信息对接交换、资源共享的需要，并为市场主体、行政监督部门和社会公众提供信息交换、整合和发布的系统。电子服务系统具备与各电子交易系统之间招标投标相关信息对接交换、发布、资格信誉和业绩公开、行业统计分析、连接评标专家库、提供行政监督通道等服务功能。</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【电子交易系统】</w:t>
      </w:r>
      <w:r>
        <w:rPr>
          <w:rFonts w:hint="eastAsia" w:ascii="宋体" w:hAnsi="宋体" w:cs="宋体"/>
          <w:sz w:val="22"/>
          <w:szCs w:val="22"/>
        </w:rPr>
        <w:t>第六条 招标投标当事人</w:t>
      </w:r>
      <w:r>
        <w:rPr>
          <w:rFonts w:hint="eastAsia" w:ascii="宋体" w:hAnsi="宋体" w:cs="宋体"/>
          <w:sz w:val="22"/>
          <w:szCs w:val="22"/>
          <w:lang w:val="zh-CN"/>
        </w:rPr>
        <w:t>通过</w:t>
      </w:r>
      <w:r>
        <w:rPr>
          <w:rFonts w:hint="eastAsia" w:ascii="宋体" w:hAnsi="宋体" w:cs="宋体"/>
          <w:sz w:val="22"/>
          <w:szCs w:val="22"/>
        </w:rPr>
        <w:t>数据电文形式完成招标投标交易活动的系统。电子</w:t>
      </w:r>
      <w:r>
        <w:rPr>
          <w:rFonts w:hint="eastAsia" w:ascii="宋体" w:hAnsi="宋体" w:cs="宋体"/>
          <w:bCs/>
          <w:iCs/>
          <w:sz w:val="22"/>
          <w:szCs w:val="22"/>
        </w:rPr>
        <w:t>交易系统具备用于在线完成招标投标全部交易过程，编辑、生成、对接、交换和发布有关招标投标数据信息功能，为行政监督相关部门依法实施监督、监察和受理投诉提供所需的信息通道。</w:t>
      </w:r>
      <w:r>
        <w:rPr>
          <w:rFonts w:hint="eastAsia" w:ascii="宋体" w:hAnsi="宋体" w:cs="宋体"/>
          <w:b/>
          <w:sz w:val="22"/>
          <w:szCs w:val="22"/>
        </w:rPr>
        <w:t xml:space="preserve">        </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【交易主体信息库】</w:t>
      </w:r>
      <w:r>
        <w:rPr>
          <w:rFonts w:hint="eastAsia" w:ascii="宋体" w:hAnsi="宋体" w:cs="宋体"/>
          <w:sz w:val="22"/>
          <w:szCs w:val="22"/>
        </w:rPr>
        <w:t>第七条 安徽合肥公共资源交易中心负责建设和管理合肥区域公共资源交易主体信息库（以下简称主体库），对入库单位提交的资料进行网上公示。</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主体库成员应及时对其注册的信息进行维护，并作出信用承诺，对信息的真实性、准确性和完整性负责。当主体库中填写的文字信息与上传扫描件的信息不一致时，以扫描件为准。</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投标文件引用的主体库资料的有效性在评标时由项目评标委员会负责评审认定。</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【数字证书】</w:t>
      </w:r>
      <w:r>
        <w:rPr>
          <w:rFonts w:hint="eastAsia" w:ascii="宋体" w:hAnsi="宋体" w:cs="宋体"/>
          <w:sz w:val="22"/>
          <w:szCs w:val="22"/>
        </w:rPr>
        <w:t>第八条 投标人应妥善保管数字证书，由于数字证书遗失、损坏、更换、续期等情况导致投标文件无法上传或解密，由投标人自行承担责任。</w:t>
      </w:r>
    </w:p>
    <w:p>
      <w:pPr>
        <w:spacing w:line="480" w:lineRule="exact"/>
        <w:ind w:firstLine="442" w:firstLineChars="200"/>
        <w:jc w:val="left"/>
        <w:rPr>
          <w:rFonts w:hint="eastAsia" w:ascii="宋体" w:hAnsi="宋体" w:cs="宋体"/>
          <w:sz w:val="22"/>
          <w:szCs w:val="22"/>
        </w:rPr>
      </w:pPr>
      <w:r>
        <w:rPr>
          <w:rFonts w:hint="eastAsia" w:ascii="宋体" w:hAnsi="宋体" w:cs="宋体"/>
          <w:b/>
          <w:sz w:val="22"/>
          <w:szCs w:val="22"/>
        </w:rPr>
        <w:t>【招标文件制作】</w:t>
      </w:r>
      <w:r>
        <w:rPr>
          <w:rFonts w:hint="eastAsia" w:ascii="宋体" w:hAnsi="宋体" w:cs="宋体"/>
          <w:sz w:val="22"/>
          <w:szCs w:val="22"/>
        </w:rPr>
        <w:t xml:space="preserve">第九条 招标人或招标代理机构应在招标公告和招标文件中明确招标项目采取电子招标投标方式，并按相关流程通过电子交易系统制作招标文件。 </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【招标文件发布】</w:t>
      </w:r>
      <w:r>
        <w:rPr>
          <w:rFonts w:hint="eastAsia" w:ascii="宋体" w:hAnsi="宋体" w:cs="宋体"/>
          <w:sz w:val="22"/>
          <w:szCs w:val="22"/>
        </w:rPr>
        <w:t>第十条 招标公告、招标文件应由招标人或招标代理机构通过电子服务系统在安徽合肥公共资源交易中心网站发布，其中招标文件须加盖电子签章。</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【招标文件获取】</w:t>
      </w:r>
      <w:r>
        <w:rPr>
          <w:rFonts w:hint="eastAsia" w:ascii="宋体" w:hAnsi="宋体" w:cs="宋体"/>
          <w:sz w:val="22"/>
          <w:szCs w:val="22"/>
        </w:rPr>
        <w:t>第十一条 投标人登录安徽合肥公共资源交易中心电子服务系统获取招标文件。</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w:t>
      </w:r>
      <w:r>
        <w:rPr>
          <w:rFonts w:hint="eastAsia" w:ascii="宋体" w:hAnsi="宋体" w:cs="宋体"/>
          <w:b/>
          <w:sz w:val="22"/>
          <w:szCs w:val="22"/>
        </w:rPr>
        <w:t>招标文件澄清、修改</w:t>
      </w:r>
      <w:r>
        <w:rPr>
          <w:rFonts w:hint="eastAsia" w:ascii="宋体" w:hAnsi="宋体" w:cs="宋体"/>
          <w:sz w:val="22"/>
          <w:szCs w:val="22"/>
        </w:rPr>
        <w:t>】第十二条 澄清、修改文件应由招标人或招标代理机构通过电子服务系统在安徽合肥公共资源交易中心网站发布，投标人应及时查阅相关澄清、修改信息。</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【投标文件制作】</w:t>
      </w:r>
      <w:r>
        <w:rPr>
          <w:rFonts w:hint="eastAsia" w:ascii="宋体" w:hAnsi="宋体" w:cs="宋体"/>
          <w:sz w:val="22"/>
          <w:szCs w:val="22"/>
        </w:rPr>
        <w:t>第十三条 投标人应使用电子标书制作软件制作投标文件，电子标书制作软件允许投标人离线编制投标文件，并且具备分段或整体加密、解密功能。</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【投标文件上传】</w:t>
      </w:r>
      <w:r>
        <w:rPr>
          <w:rFonts w:hint="eastAsia" w:ascii="宋体" w:hAnsi="宋体" w:cs="宋体"/>
          <w:sz w:val="22"/>
          <w:szCs w:val="22"/>
        </w:rPr>
        <w:t>第十四条 投标人必须对投标文件进行电子签章并使用数字证书加密，并于招标文件规定的投标截止时间前通过电子交易系统完成上传。</w:t>
      </w:r>
    </w:p>
    <w:p>
      <w:pPr>
        <w:spacing w:line="480" w:lineRule="exact"/>
        <w:ind w:firstLine="440" w:firstLineChars="200"/>
        <w:rPr>
          <w:rFonts w:hint="eastAsia" w:ascii="宋体" w:hAnsi="宋体" w:cs="宋体"/>
          <w:b/>
          <w:sz w:val="22"/>
          <w:szCs w:val="22"/>
        </w:rPr>
      </w:pPr>
      <w:r>
        <w:rPr>
          <w:rFonts w:hint="eastAsia" w:ascii="宋体" w:hAnsi="宋体" w:cs="宋体"/>
          <w:sz w:val="22"/>
          <w:szCs w:val="22"/>
        </w:rPr>
        <w:t>投标人对加密的投标文件进行撤回的，应通过电子交易系统在投标截止时间前直接进行撤回操作；投标人对加密的投标文件进行修改的，应在投标截止时间前完成上传。</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【投标截止时间】</w:t>
      </w:r>
      <w:r>
        <w:rPr>
          <w:rFonts w:hint="eastAsia" w:ascii="宋体" w:hAnsi="宋体" w:cs="宋体"/>
          <w:sz w:val="22"/>
          <w:szCs w:val="22"/>
        </w:rPr>
        <w:t>第十五条 投标截止时间以电子交易系统显示的时间为准，逾期系统将自动关闭</w:t>
      </w:r>
      <w:r>
        <w:rPr>
          <w:rFonts w:hint="eastAsia" w:ascii="宋体" w:hAnsi="宋体" w:cs="宋体"/>
          <w:sz w:val="22"/>
          <w:szCs w:val="22"/>
          <w:lang w:eastAsia="zh-CN"/>
        </w:rPr>
        <w:t>，</w:t>
      </w:r>
      <w:r>
        <w:rPr>
          <w:rFonts w:hint="eastAsia" w:ascii="宋体" w:hAnsi="宋体" w:cs="宋体"/>
          <w:sz w:val="22"/>
          <w:szCs w:val="22"/>
        </w:rPr>
        <w:t xml:space="preserve"> 未完成上传的投标文件将被拒绝。</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【开标环节】</w:t>
      </w:r>
      <w:r>
        <w:rPr>
          <w:rFonts w:hint="eastAsia" w:ascii="宋体" w:hAnsi="宋体" w:cs="宋体"/>
          <w:sz w:val="22"/>
          <w:szCs w:val="22"/>
        </w:rPr>
        <w:t>第十六条 投标人须按照招标文件的要求在投标截止时间以前登录安徽合肥公共资源交易中心电子服务系统并保持在线，直到项目评审结束。</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招标文件约定须到达现场进行演示、答辩、磋商、谈判的情形，投标人应按照招标（磋商、谈判）文件规定的时间到达现场。</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投标人在投标截止时间后按招标文件规定的解密时间完成投标文件解密，加密和解密须用同一数字证书。投标人未在招标文件规定的时间内完成解密的视为其放弃投标。</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招标人或招标代理机构完成解密，导入并读取所有成功解密的投标文件，系统自动记录开标过程。</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【解密特殊情形】</w:t>
      </w:r>
      <w:r>
        <w:rPr>
          <w:rFonts w:hint="eastAsia" w:ascii="宋体" w:hAnsi="宋体" w:cs="宋体"/>
          <w:sz w:val="22"/>
          <w:szCs w:val="22"/>
        </w:rPr>
        <w:t>第十七条 未能成功解密的投标人，如招标文件中允许使用电子光盘作为备份，并且投标人在投标截止时间之前到达开标现场并成功递交电子光盘，招标人或招标代理机构可导入电子光盘继续开标。若系统识别出电子光盘中未加密的投标文件和网上递交的加密投标文件识别码不一致，系统将拒绝导入。</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【评标环节】</w:t>
      </w:r>
      <w:r>
        <w:rPr>
          <w:rFonts w:hint="eastAsia" w:ascii="宋体" w:hAnsi="宋体" w:cs="宋体"/>
          <w:sz w:val="22"/>
          <w:szCs w:val="22"/>
        </w:rPr>
        <w:t>第十八条 招标人或招标代理机构组织评标，评标委员会依据招标文件规定的评标办法进行电子评标，并对评标结果签字或电子签名确认。</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二次报价应按招标文件的要求提交。</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【询标环节】</w:t>
      </w:r>
      <w:r>
        <w:rPr>
          <w:rFonts w:hint="eastAsia" w:ascii="宋体" w:hAnsi="宋体" w:cs="宋体"/>
          <w:sz w:val="22"/>
          <w:szCs w:val="22"/>
        </w:rPr>
        <w:t>第十九条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【评标报告】</w:t>
      </w:r>
      <w:r>
        <w:rPr>
          <w:rFonts w:hint="eastAsia" w:ascii="宋体" w:hAnsi="宋体" w:cs="宋体"/>
          <w:sz w:val="22"/>
          <w:szCs w:val="22"/>
        </w:rPr>
        <w:t>第二十条 评标委员会完成评标后，应通过电子交易系统提交评标报告。招标人或招标代理机构将评标报告及时交互至安徽合肥公共资源交易中心电子服务系统。</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【结果公示】</w:t>
      </w:r>
      <w:r>
        <w:rPr>
          <w:rFonts w:hint="eastAsia" w:ascii="宋体" w:hAnsi="宋体" w:cs="宋体"/>
          <w:sz w:val="22"/>
          <w:szCs w:val="22"/>
        </w:rPr>
        <w:t>第二十一条 招标人应通过电子服务系统在安徽合肥公共资源交易中心网站公示和公布中标候选人及中标结果。</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【中标通知书】</w:t>
      </w:r>
      <w:r>
        <w:rPr>
          <w:rFonts w:hint="eastAsia" w:ascii="宋体" w:hAnsi="宋体" w:cs="宋体"/>
          <w:sz w:val="22"/>
          <w:szCs w:val="22"/>
        </w:rPr>
        <w:t>第二十二条</w:t>
      </w:r>
      <w:r>
        <w:rPr>
          <w:rFonts w:hint="eastAsia" w:ascii="宋体" w:hAnsi="宋体" w:cs="宋体"/>
          <w:b/>
          <w:sz w:val="22"/>
          <w:szCs w:val="22"/>
        </w:rPr>
        <w:t xml:space="preserve"> </w:t>
      </w:r>
      <w:r>
        <w:rPr>
          <w:rFonts w:hint="eastAsia" w:ascii="宋体" w:hAnsi="宋体" w:cs="宋体"/>
          <w:sz w:val="22"/>
          <w:szCs w:val="22"/>
        </w:rPr>
        <w:t>招标人确定中标人后，应通过电子交易系统向中标人发出中标通知书，中标通知书发出即视为送达。</w:t>
      </w:r>
      <w:r>
        <w:rPr>
          <w:rFonts w:hint="eastAsia" w:ascii="宋体" w:hAnsi="宋体" w:cs="宋体"/>
          <w:b/>
          <w:sz w:val="22"/>
          <w:szCs w:val="22"/>
        </w:rPr>
        <w:t xml:space="preserve"> </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【意外情况】</w:t>
      </w:r>
      <w:r>
        <w:rPr>
          <w:rFonts w:hint="eastAsia" w:ascii="宋体" w:hAnsi="宋体" w:cs="宋体"/>
          <w:sz w:val="22"/>
          <w:szCs w:val="22"/>
        </w:rPr>
        <w:t>第二十三条 出现下列情形导致电子服务系统或电子交易系统无法正常运行，影响</w:t>
      </w:r>
      <w:r>
        <w:rPr>
          <w:rFonts w:hint="eastAsia" w:ascii="宋体" w:hAnsi="宋体" w:cs="宋体"/>
          <w:color w:val="000000"/>
          <w:sz w:val="22"/>
          <w:szCs w:val="22"/>
        </w:rPr>
        <w:t>招投标</w:t>
      </w:r>
      <w:r>
        <w:rPr>
          <w:rFonts w:hint="eastAsia" w:ascii="宋体" w:hAnsi="宋体" w:cs="宋体"/>
          <w:sz w:val="22"/>
          <w:szCs w:val="22"/>
        </w:rPr>
        <w:t>过程的公平、公正和信息安全，经第三方机构认定后，各方当事人免责：</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（一）网络、服务器、数据库发生故障造成无法访问或使用的；</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（二）电力系统发生故障导致电子服务系统或电子交易系统无法运行；</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（三）出现网络攻击、病毒入侵以及电子服务系统或电子交易系统安全漏洞导致无法正常提供服务的；</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（四）其他无法保证招投标过程公平、公正和信息安全的情形。</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【处理流程】</w:t>
      </w:r>
      <w:r>
        <w:rPr>
          <w:rFonts w:hint="eastAsia" w:ascii="宋体" w:hAnsi="宋体" w:cs="宋体"/>
          <w:sz w:val="22"/>
          <w:szCs w:val="22"/>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交易中心网站进行公布。</w:t>
      </w:r>
    </w:p>
    <w:p>
      <w:pPr>
        <w:spacing w:line="480" w:lineRule="exact"/>
        <w:ind w:firstLine="440" w:firstLineChars="200"/>
        <w:rPr>
          <w:rFonts w:hint="eastAsia" w:ascii="宋体" w:hAnsi="宋体" w:cs="宋体"/>
          <w:sz w:val="22"/>
          <w:szCs w:val="22"/>
        </w:rPr>
      </w:pPr>
      <w:r>
        <w:rPr>
          <w:rFonts w:hint="eastAsia" w:ascii="宋体" w:hAnsi="宋体" w:cs="宋体"/>
          <w:sz w:val="22"/>
          <w:szCs w:val="22"/>
        </w:rPr>
        <w:t>（二）项目恢复，导致项目中止的情形消除后，招标人或代理机构应当尽快恢复招投标程序，向投标人发出恢复交易通知，并在交易中心网站进行公布；已发出延长中止期限通知的，按通知执行。</w:t>
      </w:r>
    </w:p>
    <w:p>
      <w:pPr>
        <w:spacing w:line="480" w:lineRule="exact"/>
        <w:ind w:firstLine="442" w:firstLineChars="200"/>
        <w:rPr>
          <w:rFonts w:hint="eastAsia" w:ascii="宋体" w:hAnsi="宋体" w:cs="宋体"/>
          <w:sz w:val="22"/>
          <w:szCs w:val="22"/>
        </w:rPr>
      </w:pPr>
      <w:r>
        <w:rPr>
          <w:rFonts w:hint="eastAsia" w:ascii="宋体" w:hAnsi="宋体" w:cs="宋体"/>
          <w:b/>
          <w:sz w:val="22"/>
          <w:szCs w:val="22"/>
        </w:rPr>
        <w:t>【规程解释】</w:t>
      </w:r>
      <w:r>
        <w:rPr>
          <w:rFonts w:hint="eastAsia" w:ascii="宋体" w:hAnsi="宋体" w:cs="宋体"/>
          <w:sz w:val="22"/>
          <w:szCs w:val="22"/>
        </w:rPr>
        <w:t>第二十五条 本规程由合肥市公共资源交易监督管理局负责解释。</w:t>
      </w:r>
    </w:p>
    <w:p>
      <w:pPr>
        <w:spacing w:line="480" w:lineRule="exact"/>
        <w:ind w:firstLine="442" w:firstLineChars="200"/>
        <w:rPr>
          <w:rFonts w:hint="eastAsia" w:ascii="宋体" w:hAnsi="宋体" w:cs="宋体"/>
          <w:b/>
          <w:sz w:val="22"/>
          <w:szCs w:val="22"/>
        </w:rPr>
      </w:pPr>
      <w:r>
        <w:rPr>
          <w:rFonts w:hint="eastAsia" w:ascii="宋体" w:hAnsi="宋体" w:cs="宋体"/>
          <w:b/>
          <w:sz w:val="22"/>
          <w:szCs w:val="22"/>
        </w:rPr>
        <w:t>【施行时间】</w:t>
      </w:r>
      <w:r>
        <w:rPr>
          <w:rFonts w:hint="eastAsia" w:ascii="宋体" w:hAnsi="宋体" w:cs="宋体"/>
          <w:sz w:val="22"/>
          <w:szCs w:val="22"/>
        </w:rPr>
        <w:t>第二十六条 本规程自发布之日起施行，有效期两年。</w:t>
      </w:r>
    </w:p>
    <w:bookmarkEnd w:id="266"/>
    <w:p>
      <w:pPr>
        <w:pStyle w:val="2"/>
        <w:jc w:val="center"/>
        <w:rPr>
          <w:rFonts w:hint="eastAsia" w:eastAsia="黑体"/>
          <w:b w:val="0"/>
        </w:rPr>
      </w:pPr>
      <w:r>
        <w:rPr>
          <w:color w:val="000000"/>
          <w:sz w:val="24"/>
        </w:rPr>
        <w:br w:type="page"/>
      </w:r>
      <w:bookmarkStart w:id="267" w:name="_Toc26781064"/>
      <w:r>
        <w:rPr>
          <w:rFonts w:hint="eastAsia" w:eastAsia="黑体"/>
          <w:b w:val="0"/>
        </w:rPr>
        <w:t>第三章  评标办法</w:t>
      </w:r>
    </w:p>
    <w:p>
      <w:pPr>
        <w:pStyle w:val="2"/>
        <w:jc w:val="center"/>
        <w:rPr>
          <w:rFonts w:hint="eastAsia"/>
        </w:rPr>
      </w:pPr>
      <w:r>
        <w:rPr>
          <w:rFonts w:hint="eastAsia"/>
          <w:sz w:val="28"/>
          <w:szCs w:val="36"/>
        </w:rPr>
        <w:t>综合评估法（一次平均）</w:t>
      </w:r>
      <w:bookmarkEnd w:id="267"/>
    </w:p>
    <w:p>
      <w:pPr>
        <w:keepNext/>
        <w:keepLines/>
        <w:spacing w:before="120" w:after="120" w:line="400" w:lineRule="exact"/>
        <w:jc w:val="center"/>
        <w:outlineLvl w:val="1"/>
        <w:rPr>
          <w:rFonts w:hint="eastAsia" w:eastAsia="黑体" w:cs="宋体"/>
          <w:sz w:val="28"/>
          <w:szCs w:val="20"/>
        </w:rPr>
      </w:pPr>
      <w:bookmarkStart w:id="268" w:name="_Toc26781065"/>
      <w:r>
        <w:rPr>
          <w:rFonts w:hint="eastAsia" w:eastAsia="黑体" w:cs="宋体"/>
          <w:sz w:val="28"/>
          <w:szCs w:val="20"/>
        </w:rPr>
        <w:t>评标办法前附表</w:t>
      </w:r>
      <w:bookmarkEnd w:id="268"/>
    </w:p>
    <w:tbl>
      <w:tblPr>
        <w:tblStyle w:val="55"/>
        <w:tblW w:w="51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967"/>
        <w:gridCol w:w="1661"/>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67" w:type="pct"/>
            <w:gridSpan w:val="2"/>
            <w:vAlign w:val="center"/>
          </w:tcPr>
          <w:p>
            <w:pPr>
              <w:widowControl/>
              <w:spacing w:line="480" w:lineRule="exact"/>
              <w:jc w:val="center"/>
              <w:rPr>
                <w:kern w:val="0"/>
                <w:sz w:val="22"/>
                <w:szCs w:val="22"/>
              </w:rPr>
            </w:pPr>
            <w:r>
              <w:rPr>
                <w:b/>
                <w:bCs/>
                <w:kern w:val="0"/>
                <w:sz w:val="22"/>
                <w:szCs w:val="22"/>
              </w:rPr>
              <w:t>条款号</w:t>
            </w:r>
          </w:p>
        </w:tc>
        <w:tc>
          <w:tcPr>
            <w:tcW w:w="828" w:type="pct"/>
            <w:vAlign w:val="center"/>
          </w:tcPr>
          <w:p>
            <w:pPr>
              <w:widowControl/>
              <w:spacing w:line="480" w:lineRule="exact"/>
              <w:ind w:firstLine="110" w:firstLineChars="50"/>
              <w:jc w:val="left"/>
              <w:rPr>
                <w:kern w:val="0"/>
                <w:sz w:val="22"/>
                <w:szCs w:val="22"/>
              </w:rPr>
            </w:pPr>
            <w:r>
              <w:rPr>
                <w:b/>
                <w:bCs/>
                <w:kern w:val="0"/>
                <w:sz w:val="22"/>
                <w:szCs w:val="22"/>
              </w:rPr>
              <w:t>评审因素</w:t>
            </w:r>
          </w:p>
        </w:tc>
        <w:tc>
          <w:tcPr>
            <w:tcW w:w="3304" w:type="pct"/>
            <w:vAlign w:val="center"/>
          </w:tcPr>
          <w:p>
            <w:pPr>
              <w:widowControl/>
              <w:spacing w:line="480" w:lineRule="exact"/>
              <w:ind w:firstLine="110" w:firstLineChars="50"/>
              <w:jc w:val="center"/>
              <w:rPr>
                <w:kern w:val="0"/>
                <w:sz w:val="22"/>
                <w:szCs w:val="22"/>
              </w:rPr>
            </w:pPr>
            <w:r>
              <w:rPr>
                <w:b/>
                <w:bCs/>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5" w:type="pct"/>
            <w:vAlign w:val="center"/>
          </w:tcPr>
          <w:p>
            <w:pPr>
              <w:widowControl/>
              <w:spacing w:line="480" w:lineRule="exact"/>
              <w:jc w:val="center"/>
              <w:rPr>
                <w:bCs/>
                <w:kern w:val="0"/>
                <w:sz w:val="22"/>
                <w:szCs w:val="22"/>
              </w:rPr>
            </w:pPr>
            <w:r>
              <w:rPr>
                <w:rFonts w:hint="eastAsia"/>
                <w:bCs/>
                <w:kern w:val="0"/>
                <w:sz w:val="22"/>
                <w:szCs w:val="22"/>
              </w:rPr>
              <w:t>2.1</w:t>
            </w:r>
          </w:p>
        </w:tc>
        <w:tc>
          <w:tcPr>
            <w:tcW w:w="482" w:type="pct"/>
            <w:vAlign w:val="center"/>
          </w:tcPr>
          <w:p>
            <w:pPr>
              <w:widowControl/>
              <w:spacing w:line="480" w:lineRule="exact"/>
              <w:jc w:val="center"/>
              <w:rPr>
                <w:rFonts w:hint="eastAsia"/>
                <w:bCs/>
                <w:kern w:val="0"/>
                <w:sz w:val="22"/>
                <w:szCs w:val="22"/>
              </w:rPr>
            </w:pPr>
            <w:r>
              <w:rPr>
                <w:rFonts w:hint="eastAsia"/>
                <w:bCs/>
                <w:kern w:val="0"/>
                <w:sz w:val="22"/>
                <w:szCs w:val="22"/>
              </w:rPr>
              <w:t>评标办法</w:t>
            </w:r>
          </w:p>
        </w:tc>
        <w:tc>
          <w:tcPr>
            <w:tcW w:w="828" w:type="pct"/>
            <w:tcMar>
              <w:left w:w="75" w:type="dxa"/>
            </w:tcMar>
            <w:vAlign w:val="center"/>
          </w:tcPr>
          <w:p>
            <w:pPr>
              <w:widowControl/>
              <w:adjustRightInd w:val="0"/>
              <w:snapToGrid w:val="0"/>
              <w:spacing w:line="480" w:lineRule="exact"/>
              <w:jc w:val="center"/>
              <w:rPr>
                <w:rFonts w:hint="eastAsia"/>
                <w:kern w:val="0"/>
                <w:sz w:val="22"/>
                <w:szCs w:val="22"/>
              </w:rPr>
            </w:pPr>
            <w:r>
              <w:rPr>
                <w:rFonts w:hint="eastAsia"/>
                <w:kern w:val="0"/>
                <w:sz w:val="22"/>
                <w:szCs w:val="22"/>
              </w:rPr>
              <w:t>中标候选人排序方法</w:t>
            </w:r>
          </w:p>
        </w:tc>
        <w:tc>
          <w:tcPr>
            <w:tcW w:w="3304" w:type="pct"/>
            <w:tcMar>
              <w:left w:w="75" w:type="dxa"/>
            </w:tcMar>
            <w:vAlign w:val="center"/>
          </w:tcPr>
          <w:p>
            <w:pPr>
              <w:widowControl/>
              <w:spacing w:line="480" w:lineRule="exact"/>
              <w:jc w:val="left"/>
              <w:rPr>
                <w:rFonts w:hint="eastAsia" w:hAnsi="宋体" w:cs="宋体"/>
                <w:sz w:val="22"/>
                <w:szCs w:val="22"/>
              </w:rPr>
            </w:pPr>
            <w:r>
              <w:rPr>
                <w:rFonts w:hint="eastAsia" w:hAnsi="宋体" w:cs="宋体"/>
                <w:sz w:val="22"/>
                <w:szCs w:val="22"/>
              </w:rPr>
              <w:t>按综合得分由高到低的顺序推荐 1-3名中标候选人，综合评分得分相等时，评标委员会依次按照以下优先顺序推荐中标候选人：</w:t>
            </w:r>
          </w:p>
          <w:p>
            <w:pPr>
              <w:widowControl/>
              <w:spacing w:line="480" w:lineRule="exact"/>
              <w:jc w:val="left"/>
              <w:rPr>
                <w:rFonts w:hint="eastAsia" w:hAnsi="宋体" w:cs="宋体"/>
                <w:sz w:val="22"/>
                <w:szCs w:val="22"/>
              </w:rPr>
            </w:pPr>
            <w:r>
              <w:rPr>
                <w:rFonts w:hint="eastAsia" w:hAnsi="宋体" w:cs="宋体"/>
                <w:sz w:val="22"/>
                <w:szCs w:val="22"/>
              </w:rPr>
              <w:t>（1）综合评分相等时，以投标报价低的优先；</w:t>
            </w:r>
          </w:p>
          <w:p>
            <w:pPr>
              <w:widowControl/>
              <w:spacing w:line="480" w:lineRule="exact"/>
              <w:jc w:val="left"/>
              <w:rPr>
                <w:rFonts w:hint="eastAsia" w:hAnsi="宋体" w:cs="宋体"/>
                <w:sz w:val="22"/>
                <w:szCs w:val="22"/>
              </w:rPr>
            </w:pPr>
            <w:r>
              <w:rPr>
                <w:rFonts w:hint="eastAsia" w:hAnsi="宋体" w:cs="宋体"/>
                <w:sz w:val="22"/>
                <w:szCs w:val="22"/>
              </w:rPr>
              <w:t>（2）投标报价也相等的，以技术得分高的优先；</w:t>
            </w:r>
          </w:p>
          <w:p>
            <w:pPr>
              <w:widowControl/>
              <w:spacing w:line="480" w:lineRule="exact"/>
              <w:jc w:val="left"/>
              <w:rPr>
                <w:kern w:val="0"/>
                <w:sz w:val="22"/>
                <w:szCs w:val="22"/>
              </w:rPr>
            </w:pPr>
            <w:r>
              <w:rPr>
                <w:rFonts w:hint="eastAsia" w:hAnsi="宋体" w:cs="宋体"/>
                <w:sz w:val="22"/>
                <w:szCs w:val="22"/>
              </w:rPr>
              <w:t>（3）技术得分也相等的，在监督人员监督下，由评标委员会现场确定。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1" w:type="dxa"/>
            <w:vAlign w:val="center"/>
          </w:tcPr>
          <w:p>
            <w:pPr>
              <w:snapToGrid w:val="0"/>
              <w:spacing w:line="480" w:lineRule="exact"/>
              <w:jc w:val="center"/>
              <w:rPr>
                <w:rFonts w:hint="eastAsia"/>
                <w:bCs/>
                <w:kern w:val="0"/>
                <w:sz w:val="22"/>
                <w:szCs w:val="22"/>
              </w:rPr>
            </w:pPr>
            <w:r>
              <w:rPr>
                <w:rFonts w:hint="eastAsia" w:ascii="宋体" w:hAnsi="宋体"/>
                <w:bCs/>
                <w:sz w:val="22"/>
                <w:szCs w:val="22"/>
              </w:rPr>
              <w:t>2.2.1</w:t>
            </w:r>
          </w:p>
        </w:tc>
        <w:tc>
          <w:tcPr>
            <w:tcW w:w="967" w:type="dxa"/>
            <w:vAlign w:val="center"/>
          </w:tcPr>
          <w:p>
            <w:pPr>
              <w:snapToGrid w:val="0"/>
              <w:spacing w:line="480" w:lineRule="exact"/>
              <w:jc w:val="center"/>
              <w:rPr>
                <w:rFonts w:hint="eastAsia"/>
                <w:bCs/>
                <w:kern w:val="0"/>
                <w:sz w:val="22"/>
                <w:szCs w:val="22"/>
              </w:rPr>
            </w:pPr>
            <w:r>
              <w:rPr>
                <w:rFonts w:hint="eastAsia" w:ascii="宋体" w:hAnsi="宋体"/>
                <w:sz w:val="22"/>
                <w:szCs w:val="22"/>
              </w:rPr>
              <w:t>分值构成</w:t>
            </w:r>
          </w:p>
        </w:tc>
        <w:tc>
          <w:tcPr>
            <w:tcW w:w="1658" w:type="dxa"/>
            <w:tcMar>
              <w:left w:w="75" w:type="dxa"/>
            </w:tcMar>
            <w:vAlign w:val="center"/>
          </w:tcPr>
          <w:p>
            <w:pPr>
              <w:spacing w:line="480" w:lineRule="exact"/>
              <w:jc w:val="center"/>
              <w:rPr>
                <w:rFonts w:ascii="宋体" w:hAnsi="宋体"/>
                <w:sz w:val="22"/>
                <w:szCs w:val="22"/>
              </w:rPr>
            </w:pPr>
            <w:r>
              <w:rPr>
                <w:rFonts w:hint="eastAsia" w:ascii="宋体" w:hAnsi="宋体"/>
                <w:sz w:val="22"/>
                <w:szCs w:val="22"/>
              </w:rPr>
              <w:t>分值构成</w:t>
            </w:r>
          </w:p>
          <w:p>
            <w:pPr>
              <w:spacing w:line="480" w:lineRule="exact"/>
              <w:jc w:val="center"/>
              <w:rPr>
                <w:rFonts w:hint="eastAsia"/>
                <w:kern w:val="0"/>
                <w:sz w:val="22"/>
                <w:szCs w:val="22"/>
              </w:rPr>
            </w:pPr>
            <w:r>
              <w:rPr>
                <w:rFonts w:hint="eastAsia" w:ascii="宋体" w:hAnsi="宋体"/>
                <w:sz w:val="22"/>
                <w:szCs w:val="22"/>
              </w:rPr>
              <w:t>（总分</w:t>
            </w:r>
            <w:r>
              <w:rPr>
                <w:rFonts w:hint="eastAsia" w:ascii="宋体" w:hAnsi="宋体"/>
                <w:sz w:val="22"/>
                <w:szCs w:val="22"/>
                <w:u w:val="single"/>
              </w:rPr>
              <w:t>100</w:t>
            </w:r>
            <w:r>
              <w:rPr>
                <w:rFonts w:hint="eastAsia" w:ascii="宋体" w:hAnsi="宋体"/>
                <w:sz w:val="22"/>
                <w:szCs w:val="22"/>
              </w:rPr>
              <w:t>分）</w:t>
            </w:r>
          </w:p>
        </w:tc>
        <w:tc>
          <w:tcPr>
            <w:tcW w:w="6616" w:type="dxa"/>
            <w:tcMar>
              <w:left w:w="75" w:type="dxa"/>
            </w:tcMar>
            <w:vAlign w:val="center"/>
          </w:tcPr>
          <w:p>
            <w:pPr>
              <w:numPr>
                <w:ilvl w:val="0"/>
                <w:numId w:val="5"/>
              </w:numPr>
              <w:spacing w:line="480" w:lineRule="exact"/>
              <w:rPr>
                <w:rFonts w:hint="eastAsia" w:ascii="宋体" w:hAnsi="宋体"/>
                <w:sz w:val="22"/>
                <w:szCs w:val="22"/>
              </w:rPr>
            </w:pPr>
            <w:r>
              <w:rPr>
                <w:rFonts w:hint="eastAsia" w:ascii="宋体" w:hAnsi="宋体"/>
                <w:sz w:val="22"/>
                <w:szCs w:val="22"/>
              </w:rPr>
              <w:t>商务部分：17分</w:t>
            </w:r>
          </w:p>
          <w:p>
            <w:pPr>
              <w:numPr>
                <w:ilvl w:val="0"/>
                <w:numId w:val="5"/>
              </w:numPr>
              <w:spacing w:line="480" w:lineRule="exact"/>
              <w:rPr>
                <w:rFonts w:ascii="宋体" w:hAnsi="宋体"/>
                <w:sz w:val="22"/>
                <w:szCs w:val="22"/>
              </w:rPr>
            </w:pPr>
            <w:r>
              <w:rPr>
                <w:rFonts w:hint="eastAsia" w:ascii="宋体" w:hAnsi="宋体"/>
                <w:sz w:val="22"/>
                <w:szCs w:val="22"/>
              </w:rPr>
              <w:t>技术部分：33分</w:t>
            </w:r>
          </w:p>
          <w:p>
            <w:pPr>
              <w:spacing w:line="480" w:lineRule="exact"/>
              <w:rPr>
                <w:rFonts w:hint="eastAsia" w:hAnsi="宋体" w:cs="宋体"/>
                <w:sz w:val="22"/>
                <w:szCs w:val="22"/>
              </w:rPr>
            </w:pPr>
            <w:r>
              <w:rPr>
                <w:rFonts w:hint="eastAsia" w:ascii="宋体" w:hAnsi="宋体"/>
                <w:sz w:val="22"/>
                <w:szCs w:val="22"/>
              </w:rPr>
              <w:t>（3）投标报价：50分。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0" w:hRule="atLeast"/>
        </w:trPr>
        <w:tc>
          <w:tcPr>
            <w:tcW w:w="771" w:type="dxa"/>
            <w:vAlign w:val="center"/>
          </w:tcPr>
          <w:p>
            <w:pPr>
              <w:snapToGrid w:val="0"/>
              <w:spacing w:line="480" w:lineRule="exact"/>
              <w:jc w:val="center"/>
              <w:rPr>
                <w:sz w:val="22"/>
                <w:szCs w:val="22"/>
              </w:rPr>
            </w:pPr>
            <w:r>
              <w:rPr>
                <w:rFonts w:hint="eastAsia"/>
                <w:sz w:val="22"/>
                <w:szCs w:val="22"/>
              </w:rPr>
              <w:t>2.2.2</w:t>
            </w:r>
          </w:p>
        </w:tc>
        <w:tc>
          <w:tcPr>
            <w:tcW w:w="967" w:type="dxa"/>
            <w:vAlign w:val="center"/>
          </w:tcPr>
          <w:p>
            <w:pPr>
              <w:spacing w:line="480" w:lineRule="exact"/>
              <w:jc w:val="center"/>
              <w:rPr>
                <w:rFonts w:hint="eastAsia" w:ascii="宋体" w:hAnsi="宋体"/>
                <w:sz w:val="22"/>
                <w:szCs w:val="22"/>
              </w:rPr>
            </w:pPr>
            <w:r>
              <w:rPr>
                <w:rFonts w:hint="eastAsia" w:ascii="宋体" w:hAnsi="宋体"/>
                <w:sz w:val="22"/>
                <w:szCs w:val="22"/>
              </w:rPr>
              <w:t>评标基准价计算</w:t>
            </w:r>
          </w:p>
        </w:tc>
        <w:tc>
          <w:tcPr>
            <w:tcW w:w="1658" w:type="dxa"/>
            <w:tcMar>
              <w:left w:w="75" w:type="dxa"/>
            </w:tcMar>
            <w:vAlign w:val="center"/>
          </w:tcPr>
          <w:p>
            <w:pPr>
              <w:spacing w:line="480" w:lineRule="exact"/>
              <w:jc w:val="center"/>
              <w:rPr>
                <w:rFonts w:ascii="宋体" w:hAnsi="宋体"/>
                <w:sz w:val="22"/>
                <w:szCs w:val="22"/>
              </w:rPr>
            </w:pPr>
            <w:r>
              <w:rPr>
                <w:rFonts w:hint="eastAsia" w:ascii="宋体" w:hAnsi="宋体"/>
                <w:sz w:val="22"/>
                <w:szCs w:val="22"/>
              </w:rPr>
              <w:t>评标基准价</w:t>
            </w:r>
          </w:p>
          <w:p>
            <w:pPr>
              <w:spacing w:line="480" w:lineRule="exact"/>
              <w:jc w:val="center"/>
              <w:rPr>
                <w:rFonts w:ascii="宋体" w:hAnsi="宋体"/>
                <w:sz w:val="22"/>
                <w:szCs w:val="22"/>
              </w:rPr>
            </w:pPr>
          </w:p>
          <w:p>
            <w:pPr>
              <w:spacing w:line="480" w:lineRule="exact"/>
              <w:jc w:val="center"/>
              <w:rPr>
                <w:rFonts w:hint="eastAsia" w:ascii="宋体" w:hAnsi="宋体"/>
                <w:sz w:val="22"/>
                <w:szCs w:val="22"/>
              </w:rPr>
            </w:pPr>
            <w:r>
              <w:rPr>
                <w:rFonts w:hint="eastAsia" w:ascii="宋体" w:hAnsi="宋体"/>
                <w:sz w:val="22"/>
                <w:szCs w:val="22"/>
              </w:rPr>
              <w:t>计算方法</w:t>
            </w:r>
          </w:p>
        </w:tc>
        <w:tc>
          <w:tcPr>
            <w:tcW w:w="6616" w:type="dxa"/>
            <w:tcMar>
              <w:left w:w="75" w:type="dxa"/>
            </w:tcMar>
            <w:vAlign w:val="center"/>
          </w:tcPr>
          <w:p>
            <w:pPr>
              <w:spacing w:line="480" w:lineRule="exact"/>
              <w:rPr>
                <w:rFonts w:ascii="宋体" w:hAnsi="宋体"/>
                <w:sz w:val="22"/>
                <w:szCs w:val="22"/>
              </w:rPr>
            </w:pPr>
            <w:r>
              <w:rPr>
                <w:rFonts w:hint="eastAsia" w:ascii="宋体" w:hAnsi="宋体"/>
                <w:sz w:val="22"/>
                <w:szCs w:val="22"/>
              </w:rPr>
              <w:t>（1）确定评标价</w:t>
            </w:r>
          </w:p>
          <w:p>
            <w:pPr>
              <w:spacing w:line="480" w:lineRule="exact"/>
              <w:rPr>
                <w:rFonts w:ascii="宋体" w:hAnsi="宋体"/>
                <w:sz w:val="22"/>
                <w:szCs w:val="22"/>
              </w:rPr>
            </w:pPr>
            <w:r>
              <w:rPr>
                <w:rFonts w:hint="eastAsia" w:ascii="宋体" w:hAnsi="宋体"/>
                <w:sz w:val="22"/>
                <w:szCs w:val="22"/>
              </w:rPr>
              <w:t>评标价=投标函文字报价</w:t>
            </w:r>
          </w:p>
          <w:p>
            <w:pPr>
              <w:spacing w:line="480" w:lineRule="exact"/>
              <w:rPr>
                <w:rFonts w:ascii="宋体" w:hAnsi="宋体"/>
                <w:sz w:val="22"/>
                <w:szCs w:val="22"/>
              </w:rPr>
            </w:pPr>
            <w:r>
              <w:rPr>
                <w:rFonts w:hint="eastAsia" w:ascii="宋体" w:hAnsi="宋体"/>
                <w:sz w:val="22"/>
                <w:szCs w:val="22"/>
              </w:rPr>
              <w:t>（2）确定评标价平均值</w:t>
            </w:r>
          </w:p>
          <w:p>
            <w:pPr>
              <w:spacing w:line="480" w:lineRule="exact"/>
              <w:rPr>
                <w:rFonts w:ascii="宋体" w:hAnsi="宋体"/>
                <w:sz w:val="22"/>
                <w:szCs w:val="22"/>
              </w:rPr>
            </w:pPr>
            <w:r>
              <w:rPr>
                <w:rFonts w:hint="eastAsia" w:ascii="宋体" w:hAnsi="宋体"/>
                <w:sz w:val="22"/>
                <w:szCs w:val="22"/>
              </w:rPr>
              <w:t>对</w:t>
            </w:r>
            <w:r>
              <w:rPr>
                <w:rFonts w:hint="eastAsia" w:ascii="宋体" w:hAnsi="宋体"/>
                <w:color w:val="FF0000"/>
                <w:sz w:val="22"/>
                <w:szCs w:val="22"/>
              </w:rPr>
              <w:t>所有通过报价文件初步评审</w:t>
            </w:r>
            <w:r>
              <w:rPr>
                <w:rFonts w:hint="eastAsia" w:ascii="宋体" w:hAnsi="宋体"/>
                <w:sz w:val="22"/>
                <w:szCs w:val="22"/>
              </w:rPr>
              <w:t>的投标人投标函文字报价按照由低到高进行排序，</w:t>
            </w:r>
            <w:r>
              <w:rPr>
                <w:rFonts w:hint="eastAsia" w:ascii="宋体" w:hAnsi="宋体"/>
                <w:color w:val="FF0000"/>
                <w:sz w:val="22"/>
                <w:szCs w:val="22"/>
              </w:rPr>
              <w:t>去除n个较高投标函文字报价和n个较低投标函文字报价后，取其他投标函文字报价进行算术平均得出平均值。</w:t>
            </w:r>
            <w:r>
              <w:rPr>
                <w:rFonts w:hint="eastAsia" w:ascii="宋体" w:hAnsi="宋体"/>
                <w:sz w:val="22"/>
                <w:szCs w:val="22"/>
              </w:rPr>
              <w:t>设通过报价文件初步评审的投标人数量为X，n按照以下规定取值：</w:t>
            </w:r>
          </w:p>
          <w:p>
            <w:pPr>
              <w:spacing w:line="480" w:lineRule="exact"/>
              <w:rPr>
                <w:rFonts w:ascii="宋体" w:hAnsi="宋体"/>
                <w:sz w:val="22"/>
                <w:szCs w:val="22"/>
              </w:rPr>
            </w:pPr>
            <w:r>
              <w:rPr>
                <w:rFonts w:hint="eastAsia" w:ascii="宋体" w:hAnsi="宋体"/>
                <w:sz w:val="22"/>
                <w:szCs w:val="22"/>
              </w:rPr>
              <w:t>①当X≤5，n=0；</w:t>
            </w:r>
          </w:p>
          <w:p>
            <w:pPr>
              <w:spacing w:line="480" w:lineRule="exact"/>
              <w:rPr>
                <w:rFonts w:ascii="宋体" w:hAnsi="宋体"/>
                <w:sz w:val="22"/>
                <w:szCs w:val="22"/>
              </w:rPr>
            </w:pPr>
            <w:r>
              <w:rPr>
                <w:rFonts w:hint="eastAsia" w:ascii="宋体" w:hAnsi="宋体"/>
                <w:sz w:val="22"/>
                <w:szCs w:val="22"/>
              </w:rPr>
              <w:t>②当5＜X≤10，n=1；</w:t>
            </w:r>
          </w:p>
          <w:p>
            <w:pPr>
              <w:spacing w:line="480" w:lineRule="exact"/>
              <w:rPr>
                <w:rFonts w:ascii="宋体" w:hAnsi="宋体"/>
                <w:sz w:val="22"/>
                <w:szCs w:val="22"/>
              </w:rPr>
            </w:pPr>
            <w:r>
              <w:rPr>
                <w:rFonts w:hint="eastAsia" w:ascii="宋体" w:hAnsi="宋体"/>
                <w:sz w:val="22"/>
                <w:szCs w:val="22"/>
              </w:rPr>
              <w:t>③当10＜X≤20，n=2；</w:t>
            </w:r>
          </w:p>
          <w:p>
            <w:pPr>
              <w:spacing w:line="480" w:lineRule="exact"/>
              <w:rPr>
                <w:rFonts w:ascii="宋体" w:hAnsi="宋体"/>
                <w:sz w:val="22"/>
                <w:szCs w:val="22"/>
              </w:rPr>
            </w:pPr>
            <w:r>
              <w:rPr>
                <w:rFonts w:hint="eastAsia" w:ascii="宋体" w:hAnsi="宋体"/>
                <w:sz w:val="22"/>
                <w:szCs w:val="22"/>
              </w:rPr>
              <w:t>④当20＜X≤30，n=3；以此类推。</w:t>
            </w:r>
          </w:p>
          <w:p>
            <w:pPr>
              <w:spacing w:line="480" w:lineRule="exact"/>
              <w:rPr>
                <w:rFonts w:hint="eastAsia" w:ascii="宋体" w:hAnsi="宋体"/>
                <w:sz w:val="22"/>
                <w:szCs w:val="22"/>
              </w:rPr>
            </w:pPr>
            <w:r>
              <w:rPr>
                <w:rFonts w:hint="eastAsia" w:ascii="宋体" w:hAnsi="宋体"/>
                <w:sz w:val="22"/>
                <w:szCs w:val="22"/>
              </w:rPr>
              <w:t>（3）确定评标基准价</w:t>
            </w:r>
          </w:p>
          <w:p>
            <w:pPr>
              <w:spacing w:line="480" w:lineRule="exact"/>
              <w:rPr>
                <w:rFonts w:hint="eastAsia" w:ascii="宋体" w:hAnsi="宋体"/>
                <w:color w:val="FF0000"/>
                <w:sz w:val="22"/>
                <w:szCs w:val="22"/>
              </w:rPr>
            </w:pPr>
            <w:r>
              <w:rPr>
                <w:rFonts w:hint="eastAsia" w:ascii="宋体" w:hAnsi="宋体"/>
                <w:color w:val="FF0000"/>
                <w:sz w:val="22"/>
                <w:szCs w:val="22"/>
              </w:rPr>
              <w:t>评标基准价=评标价平均值*C值</w:t>
            </w:r>
          </w:p>
          <w:p>
            <w:pPr>
              <w:spacing w:line="480" w:lineRule="exact"/>
              <w:rPr>
                <w:rFonts w:hint="eastAsia" w:ascii="宋体" w:hAnsi="宋体"/>
                <w:sz w:val="22"/>
                <w:szCs w:val="22"/>
              </w:rPr>
            </w:pPr>
            <w:r>
              <w:rPr>
                <w:rFonts w:hint="eastAsia" w:ascii="宋体" w:hAnsi="宋体"/>
                <w:sz w:val="22"/>
                <w:szCs w:val="22"/>
              </w:rPr>
              <w:t>C值确定如下：</w:t>
            </w:r>
          </w:p>
          <w:p>
            <w:pPr>
              <w:spacing w:line="480" w:lineRule="exact"/>
              <w:rPr>
                <w:rFonts w:hint="eastAsia" w:ascii="宋体" w:hAnsi="宋体"/>
                <w:sz w:val="22"/>
                <w:szCs w:val="22"/>
              </w:rPr>
            </w:pPr>
            <w:r>
              <w:rPr>
                <w:rFonts w:hint="eastAsia" w:ascii="宋体" w:hAnsi="宋体"/>
                <w:sz w:val="22"/>
                <w:szCs w:val="22"/>
              </w:rPr>
              <w:t>将在</w:t>
            </w:r>
            <w:r>
              <w:rPr>
                <w:rFonts w:hint="eastAsia" w:ascii="宋体" w:hAnsi="宋体"/>
                <w:color w:val="FF0000"/>
                <w:sz w:val="22"/>
                <w:szCs w:val="22"/>
              </w:rPr>
              <w:t>投标截止时间后系统成功接收投标文件的投标人总数（无论是否成功解密）除以5，</w:t>
            </w:r>
            <w:r>
              <w:rPr>
                <w:rFonts w:hint="eastAsia" w:ascii="宋体" w:hAnsi="宋体"/>
                <w:sz w:val="22"/>
                <w:szCs w:val="22"/>
              </w:rPr>
              <w:t>根据余数对应取C值，见下表（多标段按各自标段在投标截止时间后系统成功接收投标文件的投标人总数（无论是否成功解密）计算选取）</w:t>
            </w:r>
          </w:p>
          <w:p>
            <w:pPr>
              <w:spacing w:line="480" w:lineRule="exact"/>
              <w:rPr>
                <w:rFonts w:hint="eastAsia" w:ascii="宋体" w:hAnsi="宋体"/>
                <w:sz w:val="22"/>
                <w:szCs w:val="22"/>
              </w:rPr>
            </w:pPr>
          </w:p>
          <w:tbl>
            <w:tblPr>
              <w:tblStyle w:val="55"/>
              <w:tblW w:w="437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4"/>
              <w:gridCol w:w="3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093" w:type="pct"/>
                  <w:tcBorders>
                    <w:top w:val="single" w:color="000000" w:sz="4" w:space="0"/>
                    <w:left w:val="single" w:color="000000" w:sz="4" w:space="0"/>
                    <w:bottom w:val="single" w:color="000000" w:sz="4" w:space="0"/>
                    <w:right w:val="single" w:color="000000" w:sz="4" w:space="0"/>
                    <w:tl2br w:val="single" w:color="auto" w:sz="4" w:space="0"/>
                  </w:tcBorders>
                  <w:vAlign w:val="center"/>
                </w:tcPr>
                <w:p>
                  <w:pPr>
                    <w:spacing w:line="480" w:lineRule="exact"/>
                    <w:ind w:firstLine="1100" w:firstLineChars="500"/>
                    <w:rPr>
                      <w:rFonts w:hint="eastAsia" w:ascii="宋体" w:hAnsi="宋体"/>
                      <w:sz w:val="22"/>
                      <w:szCs w:val="22"/>
                    </w:rPr>
                  </w:pPr>
                  <w:r>
                    <w:rPr>
                      <w:rFonts w:hint="eastAsia" w:ascii="宋体" w:hAnsi="宋体"/>
                      <w:sz w:val="22"/>
                      <w:szCs w:val="22"/>
                    </w:rPr>
                    <w:t>对应的C值</w:t>
                  </w:r>
                </w:p>
                <w:p>
                  <w:pPr>
                    <w:spacing w:line="480" w:lineRule="exact"/>
                    <w:rPr>
                      <w:rFonts w:hint="eastAsia" w:ascii="宋体" w:hAnsi="宋体"/>
                      <w:sz w:val="22"/>
                      <w:szCs w:val="22"/>
                    </w:rPr>
                  </w:pPr>
                  <w:r>
                    <w:rPr>
                      <w:rFonts w:hint="eastAsia" w:ascii="宋体" w:hAnsi="宋体"/>
                      <w:sz w:val="22"/>
                      <w:szCs w:val="22"/>
                    </w:rPr>
                    <w:t>余数</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C值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093" w:type="pct"/>
                  <w:tcBorders>
                    <w:top w:val="single" w:color="000000" w:sz="4" w:space="0"/>
                    <w:left w:val="single" w:color="000000"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1</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2</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3</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pct"/>
                  <w:tcBorders>
                    <w:top w:val="single" w:color="000000" w:sz="4" w:space="0"/>
                    <w:left w:val="single" w:color="000000"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4</w:t>
                  </w:r>
                </w:p>
              </w:tc>
              <w:tc>
                <w:tcPr>
                  <w:tcW w:w="2907" w:type="pct"/>
                  <w:tcBorders>
                    <w:top w:val="single" w:color="000000" w:sz="4" w:space="0"/>
                    <w:left w:val="single" w:color="auto" w:sz="4" w:space="0"/>
                    <w:bottom w:val="single" w:color="000000" w:sz="4" w:space="0"/>
                    <w:right w:val="single" w:color="000000" w:sz="4" w:space="0"/>
                  </w:tcBorders>
                  <w:vAlign w:val="center"/>
                </w:tcPr>
                <w:p>
                  <w:pPr>
                    <w:spacing w:line="480" w:lineRule="exact"/>
                    <w:rPr>
                      <w:rFonts w:hint="eastAsia" w:ascii="宋体" w:hAnsi="宋体"/>
                      <w:sz w:val="22"/>
                      <w:szCs w:val="22"/>
                    </w:rPr>
                  </w:pPr>
                  <w:r>
                    <w:rPr>
                      <w:rFonts w:hint="eastAsia" w:ascii="宋体" w:hAnsi="宋体"/>
                      <w:sz w:val="22"/>
                      <w:szCs w:val="22"/>
                    </w:rPr>
                    <w:t>0.99</w:t>
                  </w:r>
                </w:p>
              </w:tc>
            </w:tr>
          </w:tbl>
          <w:p>
            <w:pPr>
              <w:spacing w:line="480" w:lineRule="exact"/>
              <w:rPr>
                <w:rFonts w:hint="eastAsia" w:ascii="宋体" w:hAnsi="宋体"/>
                <w:sz w:val="22"/>
                <w:szCs w:val="22"/>
              </w:rPr>
            </w:pPr>
            <w:r>
              <w:rPr>
                <w:rFonts w:hint="eastAsia" w:ascii="宋体" w:hAnsi="宋体"/>
                <w:sz w:val="22"/>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before="120" w:after="120" w:line="360" w:lineRule="auto"/>
        <w:jc w:val="center"/>
        <w:outlineLvl w:val="2"/>
        <w:rPr>
          <w:rFonts w:hint="eastAsia" w:eastAsia="黑体"/>
          <w:bCs/>
          <w:sz w:val="24"/>
        </w:rPr>
        <w:sectPr>
          <w:footnotePr>
            <w:numFmt w:val="decimalEnclosedCircleChinese"/>
            <w:numRestart w:val="eachPage"/>
          </w:footnotePr>
          <w:pgSz w:w="11907" w:h="16840"/>
          <w:pgMar w:top="1440" w:right="1080" w:bottom="1440" w:left="1080" w:header="799" w:footer="907" w:gutter="0"/>
          <w:cols w:space="720" w:num="1"/>
          <w:titlePg/>
          <w:docGrid w:linePitch="286" w:charSpace="0"/>
        </w:sectPr>
      </w:pPr>
    </w:p>
    <w:p>
      <w:pPr>
        <w:keepNext/>
        <w:keepLines/>
        <w:spacing w:before="120" w:after="120" w:line="360" w:lineRule="auto"/>
        <w:jc w:val="center"/>
        <w:outlineLvl w:val="2"/>
        <w:rPr>
          <w:rFonts w:hint="eastAsia" w:eastAsia="黑体"/>
          <w:bCs/>
          <w:sz w:val="24"/>
        </w:rPr>
      </w:pPr>
      <w:r>
        <w:rPr>
          <w:rFonts w:hint="eastAsia" w:eastAsia="黑体"/>
          <w:bCs/>
          <w:sz w:val="24"/>
        </w:rPr>
        <w:t>商务及技术文件评审标准</w:t>
      </w:r>
    </w:p>
    <w:tbl>
      <w:tblPr>
        <w:tblStyle w:val="55"/>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769"/>
        <w:gridCol w:w="1864"/>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66" w:type="pct"/>
            <w:gridSpan w:val="2"/>
            <w:vAlign w:val="center"/>
          </w:tcPr>
          <w:p>
            <w:pPr>
              <w:widowControl/>
              <w:spacing w:line="480" w:lineRule="exact"/>
              <w:jc w:val="center"/>
              <w:rPr>
                <w:kern w:val="0"/>
                <w:szCs w:val="21"/>
                <w:lang w:val="en-US" w:eastAsia="zh-CN" w:bidi="ar-SA"/>
              </w:rPr>
            </w:pPr>
            <w:r>
              <w:rPr>
                <w:b/>
                <w:bCs/>
                <w:kern w:val="0"/>
                <w:szCs w:val="21"/>
                <w:lang w:val="en-US" w:eastAsia="zh-CN" w:bidi="ar-SA"/>
              </w:rPr>
              <w:t>条款号</w:t>
            </w:r>
          </w:p>
        </w:tc>
        <w:tc>
          <w:tcPr>
            <w:tcW w:w="928" w:type="pct"/>
            <w:vAlign w:val="center"/>
          </w:tcPr>
          <w:p>
            <w:pPr>
              <w:widowControl/>
              <w:spacing w:line="480" w:lineRule="exact"/>
              <w:ind w:firstLine="105" w:firstLineChars="50"/>
              <w:jc w:val="center"/>
              <w:rPr>
                <w:kern w:val="0"/>
                <w:szCs w:val="21"/>
                <w:lang w:val="en-US" w:eastAsia="zh-CN" w:bidi="ar-SA"/>
              </w:rPr>
            </w:pPr>
            <w:r>
              <w:rPr>
                <w:b/>
                <w:bCs/>
                <w:kern w:val="0"/>
                <w:szCs w:val="21"/>
                <w:lang w:val="en-US" w:eastAsia="zh-CN" w:bidi="ar-SA"/>
              </w:rPr>
              <w:t>评审因素</w:t>
            </w:r>
          </w:p>
        </w:tc>
        <w:tc>
          <w:tcPr>
            <w:tcW w:w="3304" w:type="pct"/>
            <w:vAlign w:val="center"/>
          </w:tcPr>
          <w:p>
            <w:pPr>
              <w:widowControl/>
              <w:spacing w:line="480" w:lineRule="exact"/>
              <w:ind w:firstLine="105" w:firstLineChars="50"/>
              <w:jc w:val="center"/>
              <w:rPr>
                <w:kern w:val="0"/>
                <w:szCs w:val="21"/>
                <w:lang w:val="en-US" w:eastAsia="zh-CN" w:bidi="ar-SA"/>
              </w:rPr>
            </w:pPr>
            <w:r>
              <w:rPr>
                <w:b/>
                <w:bCs/>
                <w:kern w:val="0"/>
                <w:szCs w:val="21"/>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restart"/>
            <w:vAlign w:val="center"/>
          </w:tcPr>
          <w:p>
            <w:pPr>
              <w:widowControl/>
              <w:spacing w:line="480" w:lineRule="exact"/>
              <w:jc w:val="center"/>
              <w:rPr>
                <w:rFonts w:hint="eastAsia"/>
                <w:bCs/>
                <w:kern w:val="0"/>
                <w:szCs w:val="21"/>
                <w:lang w:val="en-US" w:eastAsia="zh-CN" w:bidi="ar-SA"/>
              </w:rPr>
            </w:pPr>
            <w:r>
              <w:rPr>
                <w:bCs/>
                <w:kern w:val="0"/>
                <w:szCs w:val="21"/>
                <w:lang w:val="en-US" w:eastAsia="zh-CN" w:bidi="ar-SA"/>
              </w:rPr>
              <w:t>2.1</w:t>
            </w:r>
            <w:r>
              <w:rPr>
                <w:rFonts w:hint="eastAsia"/>
                <w:bCs/>
                <w:kern w:val="0"/>
                <w:szCs w:val="21"/>
                <w:lang w:val="en-US" w:eastAsia="zh-CN" w:bidi="ar-SA"/>
              </w:rPr>
              <w:t>.1</w:t>
            </w:r>
          </w:p>
        </w:tc>
        <w:tc>
          <w:tcPr>
            <w:tcW w:w="382" w:type="pct"/>
            <w:vMerge w:val="restart"/>
            <w:vAlign w:val="center"/>
          </w:tcPr>
          <w:p>
            <w:pPr>
              <w:widowControl/>
              <w:spacing w:line="480" w:lineRule="exact"/>
              <w:jc w:val="center"/>
              <w:rPr>
                <w:rFonts w:hint="eastAsia"/>
                <w:bCs/>
                <w:kern w:val="0"/>
                <w:szCs w:val="21"/>
                <w:lang w:val="en-US" w:eastAsia="zh-CN" w:bidi="ar-SA"/>
              </w:rPr>
            </w:pPr>
            <w:r>
              <w:rPr>
                <w:bCs/>
                <w:kern w:val="0"/>
                <w:szCs w:val="21"/>
                <w:lang w:val="en-US" w:eastAsia="zh-CN" w:bidi="ar-SA"/>
              </w:rPr>
              <w:t>形式评审标准</w:t>
            </w:r>
          </w:p>
        </w:tc>
        <w:tc>
          <w:tcPr>
            <w:tcW w:w="928" w:type="pct"/>
            <w:tcMar>
              <w:left w:w="75" w:type="dxa"/>
            </w:tcMar>
            <w:vAlign w:val="center"/>
          </w:tcPr>
          <w:p>
            <w:pPr>
              <w:spacing w:line="480" w:lineRule="exact"/>
              <w:jc w:val="center"/>
              <w:rPr>
                <w:color w:val="000000"/>
              </w:rPr>
            </w:pPr>
            <w:r>
              <w:rPr>
                <w:color w:val="000000"/>
              </w:rPr>
              <w:t>投标人名称</w:t>
            </w:r>
          </w:p>
        </w:tc>
        <w:tc>
          <w:tcPr>
            <w:tcW w:w="3304" w:type="pct"/>
            <w:tcMar>
              <w:left w:w="75" w:type="dxa"/>
            </w:tcMar>
            <w:vAlign w:val="center"/>
          </w:tcPr>
          <w:p>
            <w:pPr>
              <w:spacing w:line="480" w:lineRule="exact"/>
              <w:rPr>
                <w:rFonts w:hint="eastAsia"/>
                <w:color w:val="000000"/>
              </w:rPr>
            </w:pPr>
            <w:r>
              <w:rPr>
                <w:color w:val="000000"/>
              </w:rPr>
              <w:t>与营业执照</w:t>
            </w:r>
            <w:r>
              <w:rPr>
                <w:rFonts w:hint="eastAsia"/>
                <w:color w:val="000000"/>
              </w:rPr>
              <w:t>（</w:t>
            </w:r>
            <w:r>
              <w:rPr>
                <w:color w:val="000000"/>
              </w:rPr>
              <w:t>事业单位法人证书</w:t>
            </w:r>
            <w:r>
              <w:rPr>
                <w:rFonts w:hint="eastAsia"/>
                <w:color w:val="000000"/>
              </w:rPr>
              <w:t>）</w:t>
            </w:r>
            <w:r>
              <w:rPr>
                <w:color w:val="000000"/>
              </w:rPr>
              <w:t>、资质证书一致</w:t>
            </w:r>
            <w:r>
              <w:rPr>
                <w:rFonts w:hint="eastAsia"/>
                <w:color w:val="000000"/>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center"/>
              <w:rPr>
                <w:rFonts w:hint="eastAsia"/>
                <w:bCs/>
                <w:kern w:val="0"/>
                <w:szCs w:val="21"/>
                <w:lang w:val="en-US" w:eastAsia="zh-CN" w:bidi="ar-SA"/>
              </w:rPr>
            </w:pPr>
          </w:p>
        </w:tc>
        <w:tc>
          <w:tcPr>
            <w:tcW w:w="382" w:type="pct"/>
            <w:vMerge w:val="continue"/>
            <w:vAlign w:val="center"/>
          </w:tcPr>
          <w:p>
            <w:pPr>
              <w:widowControl/>
              <w:spacing w:line="480" w:lineRule="exact"/>
              <w:jc w:val="center"/>
              <w:rPr>
                <w:rFonts w:hint="eastAsia"/>
                <w:bCs/>
                <w:kern w:val="0"/>
                <w:szCs w:val="21"/>
                <w:lang w:val="en-US" w:eastAsia="zh-CN" w:bidi="ar-SA"/>
              </w:rPr>
            </w:pPr>
          </w:p>
        </w:tc>
        <w:tc>
          <w:tcPr>
            <w:tcW w:w="928" w:type="pct"/>
            <w:tcMar>
              <w:left w:w="75" w:type="dxa"/>
            </w:tcMar>
            <w:vAlign w:val="center"/>
          </w:tcPr>
          <w:p>
            <w:pPr>
              <w:spacing w:line="480" w:lineRule="exact"/>
              <w:jc w:val="center"/>
              <w:rPr>
                <w:color w:val="000000"/>
              </w:rPr>
            </w:pPr>
            <w:r>
              <w:rPr>
                <w:rFonts w:hint="eastAsia"/>
                <w:kern w:val="0"/>
                <w:szCs w:val="21"/>
                <w:lang w:val="en-US" w:eastAsia="zh-CN" w:bidi="ar-SA"/>
              </w:rPr>
              <w:t>签字盖章</w:t>
            </w:r>
          </w:p>
        </w:tc>
        <w:tc>
          <w:tcPr>
            <w:tcW w:w="3304" w:type="pct"/>
            <w:tcMar>
              <w:left w:w="75" w:type="dxa"/>
            </w:tcMar>
            <w:vAlign w:val="center"/>
          </w:tcPr>
          <w:p>
            <w:pPr>
              <w:spacing w:line="480" w:lineRule="exact"/>
              <w:rPr>
                <w:rFonts w:hint="eastAsia"/>
                <w:color w:val="000000"/>
              </w:rPr>
            </w:pPr>
            <w:r>
              <w:rPr>
                <w:rFonts w:hint="eastAsia"/>
                <w:kern w:val="0"/>
                <w:szCs w:val="21"/>
                <w:lang w:val="en-US" w:eastAsia="zh-CN" w:bidi="ar-SA"/>
              </w:rPr>
              <w:t>符合第二章“投标人须知”第3.7.3项规定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center"/>
              <w:rPr>
                <w:rFonts w:hint="eastAsia"/>
                <w:bCs/>
                <w:kern w:val="0"/>
                <w:szCs w:val="21"/>
                <w:lang w:val="en-US" w:eastAsia="zh-CN" w:bidi="ar-SA"/>
              </w:rPr>
            </w:pPr>
          </w:p>
        </w:tc>
        <w:tc>
          <w:tcPr>
            <w:tcW w:w="382" w:type="pct"/>
            <w:vMerge w:val="continue"/>
            <w:vAlign w:val="center"/>
          </w:tcPr>
          <w:p>
            <w:pPr>
              <w:widowControl/>
              <w:spacing w:line="480" w:lineRule="exact"/>
              <w:jc w:val="center"/>
              <w:rPr>
                <w:rFonts w:hint="eastAsia"/>
                <w:bCs/>
                <w:kern w:val="0"/>
                <w:szCs w:val="21"/>
                <w:lang w:val="en-US" w:eastAsia="zh-CN" w:bidi="ar-SA"/>
              </w:rPr>
            </w:pPr>
          </w:p>
        </w:tc>
        <w:tc>
          <w:tcPr>
            <w:tcW w:w="928" w:type="pct"/>
            <w:tcMar>
              <w:left w:w="75" w:type="dxa"/>
            </w:tcMar>
            <w:vAlign w:val="center"/>
          </w:tcPr>
          <w:p>
            <w:pPr>
              <w:spacing w:line="480" w:lineRule="exact"/>
              <w:jc w:val="center"/>
              <w:rPr>
                <w:color w:val="000000"/>
              </w:rPr>
            </w:pPr>
            <w:r>
              <w:rPr>
                <w:color w:val="000000"/>
              </w:rPr>
              <w:t>投标文件格式</w:t>
            </w:r>
          </w:p>
        </w:tc>
        <w:tc>
          <w:tcPr>
            <w:tcW w:w="3304" w:type="pct"/>
            <w:tcMar>
              <w:left w:w="75" w:type="dxa"/>
            </w:tcMar>
            <w:vAlign w:val="center"/>
          </w:tcPr>
          <w:p>
            <w:pPr>
              <w:spacing w:line="480" w:lineRule="exact"/>
              <w:rPr>
                <w:rFonts w:hint="eastAsia"/>
                <w:color w:val="000000"/>
              </w:rPr>
            </w:pPr>
            <w:r>
              <w:rPr>
                <w:color w:val="000000"/>
              </w:rPr>
              <w:t>符合第六章</w:t>
            </w:r>
            <w:r>
              <w:rPr>
                <w:rFonts w:hint="eastAsia"/>
                <w:color w:val="000000"/>
              </w:rPr>
              <w:t>“</w:t>
            </w:r>
            <w:r>
              <w:rPr>
                <w:color w:val="000000"/>
              </w:rPr>
              <w:t>投标文件格式</w:t>
            </w:r>
            <w:r>
              <w:rPr>
                <w:rFonts w:hint="eastAsia"/>
                <w:color w:val="000000"/>
              </w:rPr>
              <w:t>”</w:t>
            </w:r>
            <w:r>
              <w:rPr>
                <w:color w:val="000000"/>
              </w:rPr>
              <w:t>的规定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center"/>
              <w:rPr>
                <w:rFonts w:hint="eastAsia"/>
                <w:bCs/>
                <w:kern w:val="0"/>
                <w:szCs w:val="21"/>
                <w:lang w:val="en-US" w:eastAsia="zh-CN" w:bidi="ar-SA"/>
              </w:rPr>
            </w:pPr>
          </w:p>
        </w:tc>
        <w:tc>
          <w:tcPr>
            <w:tcW w:w="382" w:type="pct"/>
            <w:vMerge w:val="continue"/>
            <w:vAlign w:val="center"/>
          </w:tcPr>
          <w:p>
            <w:pPr>
              <w:widowControl/>
              <w:spacing w:line="480" w:lineRule="exact"/>
              <w:jc w:val="center"/>
              <w:rPr>
                <w:rFonts w:hint="eastAsia"/>
                <w:bCs/>
                <w:kern w:val="0"/>
                <w:szCs w:val="21"/>
                <w:lang w:val="en-US" w:eastAsia="zh-CN" w:bidi="ar-SA"/>
              </w:rPr>
            </w:pPr>
          </w:p>
        </w:tc>
        <w:tc>
          <w:tcPr>
            <w:tcW w:w="928" w:type="pct"/>
            <w:tcMar>
              <w:left w:w="75" w:type="dxa"/>
            </w:tcMar>
            <w:vAlign w:val="center"/>
          </w:tcPr>
          <w:p>
            <w:pPr>
              <w:spacing w:line="480" w:lineRule="exact"/>
              <w:jc w:val="center"/>
              <w:rPr>
                <w:color w:val="000000"/>
              </w:rPr>
            </w:pPr>
            <w:r>
              <w:rPr>
                <w:color w:val="000000"/>
              </w:rPr>
              <w:t>联合体投标人</w:t>
            </w:r>
          </w:p>
        </w:tc>
        <w:tc>
          <w:tcPr>
            <w:tcW w:w="3304" w:type="pct"/>
            <w:tcMar>
              <w:left w:w="75" w:type="dxa"/>
            </w:tcMar>
            <w:vAlign w:val="center"/>
          </w:tcPr>
          <w:p>
            <w:pPr>
              <w:spacing w:line="480" w:lineRule="exact"/>
              <w:rPr>
                <w:rFonts w:hint="eastAsia"/>
                <w:color w:val="000000"/>
              </w:rPr>
            </w:pPr>
            <w:r>
              <w:rPr>
                <w:color w:val="000000"/>
              </w:rPr>
              <w:t>提交符合招标文件要求的联合体协议书，明确各方承担连带责任，并明确联合体牵头人</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center"/>
              <w:rPr>
                <w:rFonts w:hint="eastAsia"/>
                <w:bCs/>
                <w:kern w:val="0"/>
                <w:szCs w:val="21"/>
                <w:lang w:val="en-US" w:eastAsia="zh-CN" w:bidi="ar-SA"/>
              </w:rPr>
            </w:pPr>
          </w:p>
        </w:tc>
        <w:tc>
          <w:tcPr>
            <w:tcW w:w="382" w:type="pct"/>
            <w:vMerge w:val="continue"/>
            <w:vAlign w:val="center"/>
          </w:tcPr>
          <w:p>
            <w:pPr>
              <w:widowControl/>
              <w:spacing w:line="480" w:lineRule="exact"/>
              <w:jc w:val="center"/>
              <w:rPr>
                <w:rFonts w:hint="eastAsia"/>
                <w:bCs/>
                <w:kern w:val="0"/>
                <w:szCs w:val="21"/>
                <w:lang w:val="en-US" w:eastAsia="zh-CN" w:bidi="ar-SA"/>
              </w:rPr>
            </w:pPr>
          </w:p>
        </w:tc>
        <w:tc>
          <w:tcPr>
            <w:tcW w:w="928" w:type="pct"/>
            <w:tcMar>
              <w:left w:w="75" w:type="dxa"/>
            </w:tcMar>
            <w:vAlign w:val="center"/>
          </w:tcPr>
          <w:p>
            <w:pPr>
              <w:spacing w:line="480" w:lineRule="exact"/>
              <w:jc w:val="center"/>
              <w:rPr>
                <w:color w:val="000000"/>
              </w:rPr>
            </w:pPr>
            <w:r>
              <w:rPr>
                <w:rFonts w:hint="eastAsia"/>
                <w:kern w:val="0"/>
                <w:szCs w:val="21"/>
                <w:lang w:val="en-US" w:eastAsia="zh-CN" w:bidi="ar-SA"/>
              </w:rPr>
              <w:t>备选投标方案</w:t>
            </w:r>
          </w:p>
        </w:tc>
        <w:tc>
          <w:tcPr>
            <w:tcW w:w="3304" w:type="pct"/>
            <w:tcMar>
              <w:left w:w="75" w:type="dxa"/>
            </w:tcMar>
            <w:vAlign w:val="center"/>
          </w:tcPr>
          <w:p>
            <w:pPr>
              <w:spacing w:line="480" w:lineRule="exact"/>
              <w:rPr>
                <w:rFonts w:hint="eastAsia"/>
                <w:color w:val="000000"/>
              </w:rPr>
            </w:pPr>
            <w:r>
              <w:rPr>
                <w:rFonts w:hint="eastAsia"/>
                <w:color w:val="000000"/>
                <w:lang w:val="en-US" w:eastAsia="zh-CN"/>
              </w:rPr>
              <w:t>除招标文件明确允许备选投标方案外，投标人不得提交备选投标方案</w:t>
            </w:r>
            <w:r>
              <w:rPr>
                <w:rFonts w:hint="eastAsia"/>
                <w:color w:val="0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center"/>
              <w:rPr>
                <w:rFonts w:hint="eastAsia"/>
                <w:bCs/>
                <w:kern w:val="0"/>
                <w:szCs w:val="21"/>
                <w:lang w:val="en-US" w:eastAsia="zh-CN" w:bidi="ar-SA"/>
              </w:rPr>
            </w:pPr>
          </w:p>
        </w:tc>
        <w:tc>
          <w:tcPr>
            <w:tcW w:w="382" w:type="pct"/>
            <w:vMerge w:val="continue"/>
            <w:vAlign w:val="center"/>
          </w:tcPr>
          <w:p>
            <w:pPr>
              <w:widowControl/>
              <w:spacing w:line="480" w:lineRule="exact"/>
              <w:jc w:val="center"/>
              <w:rPr>
                <w:rFonts w:hint="eastAsia"/>
                <w:bCs/>
                <w:kern w:val="0"/>
                <w:szCs w:val="21"/>
                <w:lang w:val="en-US" w:eastAsia="zh-CN" w:bidi="ar-SA"/>
              </w:rPr>
            </w:pPr>
          </w:p>
        </w:tc>
        <w:tc>
          <w:tcPr>
            <w:tcW w:w="928" w:type="pct"/>
            <w:tcMar>
              <w:left w:w="75" w:type="dxa"/>
            </w:tcMar>
            <w:vAlign w:val="center"/>
          </w:tcPr>
          <w:p>
            <w:pPr>
              <w:widowControl/>
              <w:spacing w:line="480" w:lineRule="exact"/>
              <w:jc w:val="center"/>
              <w:rPr>
                <w:rFonts w:hint="eastAsia"/>
                <w:kern w:val="0"/>
                <w:szCs w:val="21"/>
                <w:lang w:val="en-US" w:eastAsia="zh-CN" w:bidi="ar-SA"/>
              </w:rPr>
            </w:pPr>
            <w:r>
              <w:rPr>
                <w:rFonts w:hint="eastAsia"/>
                <w:kern w:val="0"/>
                <w:szCs w:val="21"/>
                <w:lang w:val="en-US" w:eastAsia="zh-CN" w:bidi="ar-SA"/>
              </w:rPr>
              <w:t>未出现异常情形</w:t>
            </w:r>
          </w:p>
        </w:tc>
        <w:tc>
          <w:tcPr>
            <w:tcW w:w="3304" w:type="pct"/>
            <w:tcMar>
              <w:left w:w="75" w:type="dxa"/>
            </w:tcMar>
            <w:vAlign w:val="center"/>
          </w:tcPr>
          <w:p>
            <w:pPr>
              <w:spacing w:line="480" w:lineRule="exact"/>
              <w:rPr>
                <w:rFonts w:hint="eastAsia"/>
                <w:color w:val="000000"/>
                <w:lang w:val="en-US"/>
              </w:rPr>
            </w:pPr>
            <w:r>
              <w:rPr>
                <w:rFonts w:hint="eastAsia"/>
                <w:color w:val="000000"/>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restart"/>
            <w:vAlign w:val="center"/>
          </w:tcPr>
          <w:p>
            <w:pPr>
              <w:widowControl/>
              <w:spacing w:line="480" w:lineRule="exact"/>
              <w:jc w:val="center"/>
              <w:rPr>
                <w:rFonts w:hint="eastAsia"/>
                <w:bCs/>
                <w:kern w:val="0"/>
                <w:szCs w:val="21"/>
                <w:lang w:val="en-US" w:eastAsia="zh-CN" w:bidi="ar-SA"/>
              </w:rPr>
            </w:pPr>
            <w:r>
              <w:rPr>
                <w:rFonts w:hint="eastAsia"/>
                <w:bCs/>
                <w:kern w:val="0"/>
                <w:szCs w:val="21"/>
                <w:lang w:val="en-US" w:eastAsia="zh-CN" w:bidi="ar-SA"/>
              </w:rPr>
              <w:t>2.1.2</w:t>
            </w:r>
          </w:p>
        </w:tc>
        <w:tc>
          <w:tcPr>
            <w:tcW w:w="382" w:type="pct"/>
            <w:vMerge w:val="restart"/>
            <w:vAlign w:val="center"/>
          </w:tcPr>
          <w:p>
            <w:pPr>
              <w:widowControl/>
              <w:spacing w:line="480" w:lineRule="exact"/>
              <w:jc w:val="center"/>
              <w:rPr>
                <w:kern w:val="0"/>
                <w:szCs w:val="21"/>
                <w:lang w:val="en-US" w:eastAsia="zh-CN" w:bidi="ar-SA"/>
              </w:rPr>
            </w:pPr>
            <w:r>
              <w:rPr>
                <w:rFonts w:hint="eastAsia"/>
                <w:bCs/>
                <w:kern w:val="0"/>
                <w:szCs w:val="21"/>
                <w:lang w:val="en-US" w:eastAsia="zh-CN" w:bidi="ar-SA"/>
              </w:rPr>
              <w:t>资格</w:t>
            </w:r>
            <w:r>
              <w:rPr>
                <w:bCs/>
                <w:kern w:val="0"/>
                <w:szCs w:val="21"/>
                <w:lang w:val="en-US" w:eastAsia="zh-CN" w:bidi="ar-SA"/>
              </w:rPr>
              <w:t>评审标准</w:t>
            </w:r>
          </w:p>
        </w:tc>
        <w:tc>
          <w:tcPr>
            <w:tcW w:w="928" w:type="pct"/>
            <w:tcMar>
              <w:left w:w="75" w:type="dxa"/>
            </w:tcMar>
            <w:vAlign w:val="center"/>
          </w:tcPr>
          <w:p>
            <w:pPr>
              <w:spacing w:line="480" w:lineRule="exact"/>
              <w:jc w:val="center"/>
              <w:rPr>
                <w:rFonts w:hint="eastAsia"/>
                <w:kern w:val="0"/>
                <w:szCs w:val="21"/>
              </w:rPr>
            </w:pPr>
            <w:r>
              <w:rPr>
                <w:rFonts w:hint="eastAsia"/>
                <w:kern w:val="0"/>
                <w:szCs w:val="21"/>
              </w:rPr>
              <w:t>营业执照（事业单位法人证书）</w:t>
            </w:r>
          </w:p>
        </w:tc>
        <w:tc>
          <w:tcPr>
            <w:tcW w:w="3304" w:type="pct"/>
            <w:tcMar>
              <w:left w:w="75" w:type="dxa"/>
            </w:tcMar>
            <w:vAlign w:val="center"/>
          </w:tcPr>
          <w:p>
            <w:pPr>
              <w:spacing w:line="480" w:lineRule="exact"/>
              <w:rPr>
                <w:rFonts w:hint="eastAsia"/>
                <w:color w:val="000000"/>
                <w:lang w:val="en-US"/>
              </w:rPr>
            </w:pPr>
            <w:r>
              <w:rPr>
                <w:color w:val="000000"/>
              </w:rPr>
              <w:t>符合第二章</w:t>
            </w:r>
            <w:r>
              <w:rPr>
                <w:rFonts w:hint="eastAsia"/>
                <w:color w:val="000000"/>
                <w:lang w:val="en-US" w:eastAsia="zh-CN"/>
              </w:rPr>
              <w:t>“投标人须知”</w:t>
            </w:r>
            <w:r>
              <w:rPr>
                <w:color w:val="000000"/>
              </w:rPr>
              <w:t>第3.5.1项规定，具备有效的营业执照</w:t>
            </w:r>
            <w:r>
              <w:rPr>
                <w:rFonts w:hint="eastAsia"/>
                <w:color w:val="000000"/>
              </w:rPr>
              <w:t>（</w:t>
            </w:r>
            <w:r>
              <w:rPr>
                <w:color w:val="000000"/>
              </w:rPr>
              <w:t>事业单位法人证书</w:t>
            </w:r>
            <w:r>
              <w:rPr>
                <w:rFonts w:hint="eastAsia"/>
                <w:color w:val="000000"/>
              </w:rPr>
              <w:t>）</w:t>
            </w:r>
            <w:r>
              <w:rPr>
                <w:color w:val="000000"/>
                <w:lang w:val="en-US" w:eastAsia="zh-CN"/>
              </w:rPr>
              <w:t>，如</w:t>
            </w:r>
            <w:r>
              <w:rPr>
                <w:rFonts w:hint="eastAsia"/>
                <w:color w:val="000000"/>
                <w:lang w:val="en-US" w:eastAsia="zh-CN"/>
              </w:rPr>
              <w:t>为</w:t>
            </w:r>
            <w:r>
              <w:rPr>
                <w:color w:val="000000"/>
                <w:lang w:val="en-US" w:eastAsia="zh-CN"/>
              </w:rPr>
              <w:t>联合体投标，联合体各方均须提供</w:t>
            </w:r>
            <w:r>
              <w:rPr>
                <w:rFonts w:hint="eastAsia"/>
                <w:color w:val="0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rPr>
            </w:pPr>
            <w:r>
              <w:rPr>
                <w:rFonts w:hint="eastAsia"/>
                <w:kern w:val="0"/>
                <w:szCs w:val="21"/>
              </w:rPr>
              <w:t>资质要求</w:t>
            </w:r>
          </w:p>
        </w:tc>
        <w:tc>
          <w:tcPr>
            <w:tcW w:w="3304" w:type="pct"/>
            <w:tcMar>
              <w:left w:w="75" w:type="dxa"/>
            </w:tcMar>
            <w:vAlign w:val="center"/>
          </w:tcPr>
          <w:p>
            <w:pPr>
              <w:spacing w:line="480" w:lineRule="exact"/>
              <w:rPr>
                <w:rFonts w:hint="eastAsia"/>
                <w:color w:val="000000"/>
              </w:rPr>
            </w:pPr>
            <w:r>
              <w:rPr>
                <w:color w:val="000000"/>
              </w:rPr>
              <w:t>符合第二章</w:t>
            </w:r>
            <w:r>
              <w:rPr>
                <w:rFonts w:hint="eastAsia"/>
                <w:kern w:val="0"/>
                <w:szCs w:val="21"/>
                <w:lang w:val="en-US" w:eastAsia="zh-CN" w:bidi="ar-SA"/>
              </w:rPr>
              <w:t>“投标人须知”</w:t>
            </w:r>
            <w:r>
              <w:rPr>
                <w:color w:val="000000"/>
              </w:rPr>
              <w:t>第1.4.1项规定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rPr>
            </w:pPr>
            <w:r>
              <w:rPr>
                <w:rFonts w:hint="eastAsia"/>
                <w:kern w:val="0"/>
                <w:szCs w:val="21"/>
              </w:rPr>
              <w:t>投标货物制造商的资质要求（如有）</w:t>
            </w:r>
          </w:p>
        </w:tc>
        <w:tc>
          <w:tcPr>
            <w:tcW w:w="3304" w:type="pct"/>
            <w:tcMar>
              <w:left w:w="75" w:type="dxa"/>
            </w:tcMar>
            <w:vAlign w:val="center"/>
          </w:tcPr>
          <w:p>
            <w:pPr>
              <w:spacing w:line="480" w:lineRule="exact"/>
              <w:rPr>
                <w:rFonts w:hint="eastAsia"/>
                <w:color w:val="000000"/>
              </w:rPr>
            </w:pPr>
            <w:r>
              <w:rPr>
                <w:color w:val="000000"/>
              </w:rPr>
              <w:t>符合第二章</w:t>
            </w:r>
            <w:r>
              <w:rPr>
                <w:rFonts w:hint="eastAsia"/>
                <w:kern w:val="0"/>
                <w:szCs w:val="21"/>
                <w:lang w:val="en-US" w:eastAsia="zh-CN" w:bidi="ar-SA"/>
              </w:rPr>
              <w:t>“投标人须知”</w:t>
            </w:r>
            <w:r>
              <w:rPr>
                <w:color w:val="000000"/>
              </w:rPr>
              <w:t>第1.4.1项规定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lang w:val="en-US" w:eastAsia="zh-CN"/>
              </w:rPr>
            </w:pPr>
            <w:r>
              <w:rPr>
                <w:rFonts w:hint="eastAsia"/>
                <w:kern w:val="0"/>
                <w:szCs w:val="21"/>
                <w:lang w:val="en-US" w:eastAsia="zh-CN"/>
              </w:rPr>
              <w:t>生产/制造许可证（如有）</w:t>
            </w:r>
          </w:p>
        </w:tc>
        <w:tc>
          <w:tcPr>
            <w:tcW w:w="3304" w:type="pct"/>
            <w:tcMar>
              <w:left w:w="75" w:type="dxa"/>
            </w:tcMar>
            <w:vAlign w:val="center"/>
          </w:tcPr>
          <w:p>
            <w:pPr>
              <w:spacing w:line="480" w:lineRule="exact"/>
              <w:jc w:val="left"/>
              <w:rPr>
                <w:rFonts w:hint="eastAsia"/>
                <w:color w:val="000000"/>
                <w:kern w:val="0"/>
                <w:szCs w:val="21"/>
                <w:lang w:val="en-US" w:bidi="ar-SA"/>
              </w:rPr>
            </w:pPr>
            <w:r>
              <w:rPr>
                <w:color w:val="000000"/>
                <w:szCs w:val="21"/>
              </w:rPr>
              <w:t>具备有效的生产/制造许可证</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lang w:val="en-US" w:eastAsia="zh-CN"/>
              </w:rPr>
            </w:pPr>
            <w:r>
              <w:rPr>
                <w:rFonts w:hint="eastAsia"/>
                <w:kern w:val="0"/>
                <w:szCs w:val="21"/>
                <w:lang w:val="en-US" w:eastAsia="zh-CN"/>
              </w:rPr>
              <w:t>财务要求</w:t>
            </w:r>
          </w:p>
        </w:tc>
        <w:tc>
          <w:tcPr>
            <w:tcW w:w="3304" w:type="pct"/>
            <w:tcMar>
              <w:left w:w="75" w:type="dxa"/>
            </w:tcMar>
            <w:vAlign w:val="center"/>
          </w:tcPr>
          <w:p>
            <w:pPr>
              <w:spacing w:line="480" w:lineRule="exact"/>
              <w:jc w:val="left"/>
              <w:rPr>
                <w:rFonts w:hint="eastAsia"/>
                <w:kern w:val="0"/>
                <w:szCs w:val="21"/>
                <w:lang w:val="en-US" w:bidi="ar-SA"/>
              </w:rPr>
            </w:pPr>
            <w:r>
              <w:rPr>
                <w:rFonts w:hint="eastAsia"/>
                <w:kern w:val="0"/>
                <w:szCs w:val="21"/>
                <w:lang w:val="en-US" w:eastAsia="zh-CN" w:bidi="ar-SA"/>
              </w:rPr>
              <w:t>符合第二章“投标人须知”第1.4.1项规定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lang w:val="en-US" w:eastAsia="zh-CN"/>
              </w:rPr>
            </w:pPr>
            <w:r>
              <w:rPr>
                <w:rFonts w:hint="eastAsia"/>
                <w:kern w:val="0"/>
                <w:szCs w:val="21"/>
                <w:lang w:val="en-US" w:eastAsia="zh-CN"/>
              </w:rPr>
              <w:t>投标人业绩要求</w:t>
            </w:r>
          </w:p>
        </w:tc>
        <w:tc>
          <w:tcPr>
            <w:tcW w:w="3304" w:type="pct"/>
            <w:tcMar>
              <w:left w:w="75" w:type="dxa"/>
            </w:tcMar>
            <w:vAlign w:val="center"/>
          </w:tcPr>
          <w:p>
            <w:pPr>
              <w:spacing w:line="480" w:lineRule="exact"/>
              <w:jc w:val="left"/>
              <w:rPr>
                <w:rFonts w:hint="eastAsia"/>
                <w:kern w:val="0"/>
                <w:szCs w:val="21"/>
                <w:lang w:val="en-US" w:bidi="ar-SA"/>
              </w:rPr>
            </w:pPr>
            <w:r>
              <w:rPr>
                <w:rFonts w:hint="eastAsia"/>
                <w:kern w:val="0"/>
                <w:szCs w:val="21"/>
                <w:lang w:val="en-US" w:eastAsia="zh-CN" w:bidi="ar-SA"/>
              </w:rPr>
              <w:t>符合第二章“投标人须知”第1.4.1项规定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rPr>
            </w:pPr>
            <w:r>
              <w:rPr>
                <w:rFonts w:hint="eastAsia"/>
                <w:kern w:val="0"/>
                <w:szCs w:val="21"/>
              </w:rPr>
              <w:t>投标货物的业绩要求（如有）</w:t>
            </w:r>
          </w:p>
        </w:tc>
        <w:tc>
          <w:tcPr>
            <w:tcW w:w="3304" w:type="pct"/>
            <w:tcMar>
              <w:left w:w="75" w:type="dxa"/>
            </w:tcMar>
            <w:vAlign w:val="center"/>
          </w:tcPr>
          <w:p>
            <w:pPr>
              <w:spacing w:line="480" w:lineRule="exact"/>
              <w:rPr>
                <w:rFonts w:hint="eastAsia"/>
                <w:color w:val="000000"/>
              </w:rPr>
            </w:pPr>
            <w:r>
              <w:rPr>
                <w:color w:val="000000"/>
              </w:rPr>
              <w:t>符合第二章“投标人须知”第1.4.1项规定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spacing w:line="480" w:lineRule="exact"/>
              <w:jc w:val="center"/>
              <w:rPr>
                <w:rFonts w:hint="eastAsia"/>
                <w:kern w:val="0"/>
                <w:szCs w:val="21"/>
                <w:lang w:val="en-US" w:eastAsia="zh-CN"/>
              </w:rPr>
            </w:pPr>
            <w:r>
              <w:rPr>
                <w:rFonts w:hint="eastAsia"/>
                <w:kern w:val="0"/>
                <w:szCs w:val="21"/>
                <w:lang w:val="en-US" w:eastAsia="zh-CN"/>
              </w:rPr>
              <w:t>信誉要求</w:t>
            </w:r>
          </w:p>
        </w:tc>
        <w:tc>
          <w:tcPr>
            <w:tcW w:w="3304" w:type="pct"/>
            <w:tcMar>
              <w:left w:w="75" w:type="dxa"/>
            </w:tcMar>
            <w:vAlign w:val="center"/>
          </w:tcPr>
          <w:p>
            <w:pPr>
              <w:spacing w:line="480" w:lineRule="exact"/>
              <w:jc w:val="left"/>
              <w:rPr>
                <w:rFonts w:hint="eastAsia"/>
                <w:kern w:val="0"/>
                <w:szCs w:val="21"/>
                <w:lang w:val="en-US" w:bidi="ar-SA"/>
              </w:rPr>
            </w:pPr>
            <w:r>
              <w:rPr>
                <w:rFonts w:hint="eastAsia"/>
                <w:kern w:val="0"/>
                <w:szCs w:val="21"/>
                <w:lang w:val="en-US" w:eastAsia="zh-CN" w:bidi="ar-SA"/>
              </w:rPr>
              <w:t>符合第二章“投标人须知”第1.4.1项规定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lang w:bidi="ar-SA"/>
              </w:rPr>
            </w:pPr>
            <w:r>
              <w:rPr>
                <w:rFonts w:hint="eastAsia"/>
                <w:lang w:bidi="ar-SA"/>
              </w:rPr>
              <w:t>其他要求</w:t>
            </w:r>
          </w:p>
        </w:tc>
        <w:tc>
          <w:tcPr>
            <w:tcW w:w="3304" w:type="pct"/>
            <w:tcMar>
              <w:left w:w="75" w:type="dxa"/>
            </w:tcMar>
            <w:vAlign w:val="center"/>
          </w:tcPr>
          <w:p>
            <w:pPr>
              <w:widowControl/>
              <w:spacing w:line="480" w:lineRule="exact"/>
              <w:jc w:val="left"/>
              <w:rPr>
                <w:rFonts w:hint="eastAsia"/>
                <w:kern w:val="0"/>
                <w:szCs w:val="21"/>
                <w:lang w:val="en-US" w:bidi="ar-SA"/>
              </w:rPr>
            </w:pPr>
            <w:r>
              <w:rPr>
                <w:rFonts w:hint="eastAsia"/>
                <w:kern w:val="0"/>
                <w:szCs w:val="21"/>
                <w:lang w:val="en-US" w:eastAsia="zh-CN" w:bidi="ar-SA"/>
              </w:rPr>
              <w:t>符合第二章“投标人须知”第1.4.1项规定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lang w:bidi="ar-SA"/>
              </w:rPr>
            </w:pPr>
            <w:r>
              <w:rPr>
                <w:rFonts w:hint="eastAsia"/>
                <w:lang w:bidi="ar-SA"/>
              </w:rPr>
              <w:t>联合体投标人</w:t>
            </w:r>
          </w:p>
        </w:tc>
        <w:tc>
          <w:tcPr>
            <w:tcW w:w="3304" w:type="pct"/>
            <w:tcMar>
              <w:left w:w="75" w:type="dxa"/>
            </w:tcMar>
            <w:vAlign w:val="center"/>
          </w:tcPr>
          <w:p>
            <w:pPr>
              <w:widowControl/>
              <w:spacing w:line="480" w:lineRule="exact"/>
              <w:jc w:val="left"/>
              <w:rPr>
                <w:rFonts w:hint="eastAsia"/>
                <w:kern w:val="0"/>
                <w:szCs w:val="21"/>
                <w:lang w:val="en-US" w:bidi="ar-SA"/>
              </w:rPr>
            </w:pPr>
            <w:r>
              <w:rPr>
                <w:rFonts w:hint="eastAsia"/>
                <w:kern w:val="0"/>
                <w:szCs w:val="21"/>
                <w:lang w:val="en-US" w:eastAsia="zh-CN" w:bidi="ar-SA"/>
              </w:rPr>
              <w:t>符合第二章“投标人须知”第1.4.2项规定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kern w:val="0"/>
                <w:szCs w:val="21"/>
                <w:lang w:val="en-US" w:eastAsia="zh-CN" w:bidi="ar-SA"/>
              </w:rPr>
            </w:pPr>
            <w:r>
              <w:rPr>
                <w:color w:val="000000"/>
              </w:rPr>
              <w:t>不存在禁止投标的情形</w:t>
            </w:r>
          </w:p>
        </w:tc>
        <w:tc>
          <w:tcPr>
            <w:tcW w:w="3304" w:type="pct"/>
            <w:tcMar>
              <w:left w:w="75" w:type="dxa"/>
            </w:tcMar>
            <w:vAlign w:val="center"/>
          </w:tcPr>
          <w:p>
            <w:pPr>
              <w:spacing w:line="480" w:lineRule="exact"/>
              <w:jc w:val="left"/>
              <w:rPr>
                <w:rFonts w:hint="eastAsia"/>
                <w:kern w:val="0"/>
                <w:szCs w:val="21"/>
                <w:lang w:val="en-US" w:bidi="ar-SA"/>
              </w:rPr>
            </w:pPr>
            <w:r>
              <w:rPr>
                <w:color w:val="000000"/>
              </w:rPr>
              <w:t>不存在第二章</w:t>
            </w:r>
            <w:r>
              <w:rPr>
                <w:rFonts w:hint="eastAsia"/>
                <w:kern w:val="0"/>
                <w:szCs w:val="21"/>
                <w:lang w:val="en-US" w:eastAsia="zh-CN" w:bidi="ar-SA"/>
              </w:rPr>
              <w:t>“投标人须知”</w:t>
            </w:r>
            <w:r>
              <w:rPr>
                <w:color w:val="000000"/>
              </w:rPr>
              <w:t>第1.4.3项</w:t>
            </w:r>
            <w:r>
              <w:rPr>
                <w:rFonts w:hint="eastAsia"/>
                <w:color w:val="000000"/>
              </w:rPr>
              <w:t>或</w:t>
            </w:r>
            <w:r>
              <w:rPr>
                <w:color w:val="000000"/>
              </w:rPr>
              <w:t>第1.4.</w:t>
            </w:r>
            <w:r>
              <w:rPr>
                <w:rFonts w:hint="eastAsia"/>
                <w:color w:val="000000"/>
              </w:rPr>
              <w:t>4</w:t>
            </w:r>
            <w:r>
              <w:rPr>
                <w:color w:val="000000"/>
              </w:rPr>
              <w:t>项规定的任何一种情形</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restart"/>
            <w:vAlign w:val="center"/>
          </w:tcPr>
          <w:p>
            <w:pPr>
              <w:widowControl/>
              <w:spacing w:line="480" w:lineRule="exact"/>
              <w:jc w:val="center"/>
              <w:rPr>
                <w:kern w:val="0"/>
                <w:szCs w:val="21"/>
                <w:lang w:val="en-US" w:eastAsia="zh-CN" w:bidi="ar-SA"/>
              </w:rPr>
            </w:pPr>
            <w:r>
              <w:rPr>
                <w:rFonts w:hint="eastAsia"/>
              </w:rPr>
              <w:t>2.1.3</w:t>
            </w:r>
          </w:p>
        </w:tc>
        <w:tc>
          <w:tcPr>
            <w:tcW w:w="382" w:type="pct"/>
            <w:vMerge w:val="restart"/>
            <w:vAlign w:val="center"/>
          </w:tcPr>
          <w:p>
            <w:pPr>
              <w:widowControl/>
              <w:spacing w:line="480" w:lineRule="exact"/>
              <w:jc w:val="left"/>
              <w:rPr>
                <w:kern w:val="0"/>
                <w:szCs w:val="21"/>
                <w:lang w:val="en-US" w:eastAsia="zh-CN" w:bidi="ar-SA"/>
              </w:rPr>
            </w:pPr>
            <w:r>
              <w:rPr>
                <w:rFonts w:hint="eastAsia"/>
                <w:bCs/>
                <w:kern w:val="0"/>
                <w:szCs w:val="21"/>
                <w:lang w:val="en-US" w:eastAsia="zh-CN" w:bidi="ar-SA"/>
              </w:rPr>
              <w:t>响应性评审标准</w:t>
            </w:r>
          </w:p>
        </w:tc>
        <w:tc>
          <w:tcPr>
            <w:tcW w:w="928" w:type="pct"/>
            <w:tcMar>
              <w:left w:w="75" w:type="dxa"/>
            </w:tcMar>
            <w:vAlign w:val="center"/>
          </w:tcPr>
          <w:p>
            <w:pPr>
              <w:widowControl/>
              <w:adjustRightInd w:val="0"/>
              <w:snapToGrid w:val="0"/>
              <w:spacing w:line="480" w:lineRule="exact"/>
              <w:jc w:val="center"/>
              <w:rPr>
                <w:color w:val="000000"/>
              </w:rPr>
            </w:pPr>
            <w:r>
              <w:rPr>
                <w:color w:val="000000"/>
              </w:rPr>
              <w:t>投标内容</w:t>
            </w:r>
          </w:p>
        </w:tc>
        <w:tc>
          <w:tcPr>
            <w:tcW w:w="3304" w:type="pct"/>
            <w:tcMar>
              <w:left w:w="75" w:type="dxa"/>
            </w:tcMar>
            <w:vAlign w:val="center"/>
          </w:tcPr>
          <w:p>
            <w:pPr>
              <w:spacing w:line="480" w:lineRule="exact"/>
              <w:jc w:val="left"/>
              <w:rPr>
                <w:rFonts w:hint="eastAsia"/>
                <w:color w:val="000000"/>
              </w:rPr>
            </w:pPr>
            <w:r>
              <w:rPr>
                <w:color w:val="000000"/>
              </w:rPr>
              <w:t>符合第二章</w:t>
            </w:r>
            <w:r>
              <w:rPr>
                <w:rFonts w:hint="eastAsia"/>
                <w:kern w:val="0"/>
                <w:szCs w:val="21"/>
                <w:lang w:val="en-US" w:eastAsia="zh-CN" w:bidi="ar-SA"/>
              </w:rPr>
              <w:t>“投标人须知”</w:t>
            </w:r>
            <w:r>
              <w:rPr>
                <w:color w:val="000000"/>
              </w:rPr>
              <w:t>第1.3.1项规定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rFonts w:hint="eastAsia"/>
              </w:rPr>
            </w:pPr>
          </w:p>
        </w:tc>
        <w:tc>
          <w:tcPr>
            <w:tcW w:w="382" w:type="pct"/>
            <w:vMerge w:val="continue"/>
            <w:vAlign w:val="center"/>
          </w:tcPr>
          <w:p>
            <w:pPr>
              <w:widowControl/>
              <w:spacing w:line="480" w:lineRule="exact"/>
              <w:jc w:val="left"/>
              <w:rPr>
                <w:rFonts w:hint="eastAsia"/>
                <w:bCs/>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color w:val="000000"/>
              </w:rPr>
            </w:pPr>
            <w:r>
              <w:rPr>
                <w:color w:val="000000"/>
              </w:rPr>
              <w:t>交货期</w:t>
            </w:r>
          </w:p>
        </w:tc>
        <w:tc>
          <w:tcPr>
            <w:tcW w:w="3304" w:type="pct"/>
            <w:tcMar>
              <w:left w:w="75" w:type="dxa"/>
            </w:tcMar>
            <w:vAlign w:val="center"/>
          </w:tcPr>
          <w:p>
            <w:pPr>
              <w:spacing w:line="480" w:lineRule="exact"/>
              <w:jc w:val="left"/>
              <w:rPr>
                <w:rFonts w:hint="eastAsia"/>
                <w:color w:val="000000"/>
              </w:rPr>
            </w:pPr>
            <w:r>
              <w:rPr>
                <w:color w:val="000000"/>
              </w:rPr>
              <w:t>符合第二章</w:t>
            </w:r>
            <w:r>
              <w:rPr>
                <w:rFonts w:hint="eastAsia"/>
                <w:kern w:val="0"/>
                <w:szCs w:val="21"/>
                <w:lang w:val="en-US" w:eastAsia="zh-CN" w:bidi="ar-SA"/>
              </w:rPr>
              <w:t>“投标人须知”</w:t>
            </w:r>
            <w:r>
              <w:rPr>
                <w:color w:val="000000"/>
              </w:rPr>
              <w:t>第1.3.2项规定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rFonts w:hint="eastAsia"/>
              </w:rPr>
            </w:pPr>
          </w:p>
        </w:tc>
        <w:tc>
          <w:tcPr>
            <w:tcW w:w="382" w:type="pct"/>
            <w:vMerge w:val="continue"/>
            <w:vAlign w:val="center"/>
          </w:tcPr>
          <w:p>
            <w:pPr>
              <w:widowControl/>
              <w:spacing w:line="480" w:lineRule="exact"/>
              <w:jc w:val="left"/>
              <w:rPr>
                <w:rFonts w:hint="eastAsia"/>
                <w:bCs/>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color w:val="000000"/>
              </w:rPr>
            </w:pPr>
            <w:r>
              <w:rPr>
                <w:rFonts w:hint="eastAsia"/>
                <w:color w:val="000000"/>
              </w:rPr>
              <w:t>交货地点</w:t>
            </w:r>
          </w:p>
        </w:tc>
        <w:tc>
          <w:tcPr>
            <w:tcW w:w="3304" w:type="pct"/>
            <w:tcMar>
              <w:left w:w="75" w:type="dxa"/>
            </w:tcMar>
            <w:vAlign w:val="center"/>
          </w:tcPr>
          <w:p>
            <w:pPr>
              <w:spacing w:line="480" w:lineRule="exact"/>
              <w:jc w:val="left"/>
              <w:rPr>
                <w:rFonts w:hint="eastAsia"/>
                <w:color w:val="000000"/>
              </w:rPr>
            </w:pPr>
            <w:r>
              <w:rPr>
                <w:color w:val="000000"/>
              </w:rPr>
              <w:t>符合第二章</w:t>
            </w:r>
            <w:r>
              <w:rPr>
                <w:rFonts w:hint="eastAsia"/>
                <w:kern w:val="0"/>
                <w:szCs w:val="21"/>
                <w:lang w:val="en-US" w:eastAsia="zh-CN" w:bidi="ar-SA"/>
              </w:rPr>
              <w:t>“投标人须知”</w:t>
            </w:r>
            <w:r>
              <w:rPr>
                <w:color w:val="000000"/>
              </w:rPr>
              <w:t>第1.3.</w:t>
            </w:r>
            <w:r>
              <w:rPr>
                <w:rFonts w:hint="eastAsia"/>
                <w:color w:val="000000"/>
              </w:rPr>
              <w:t>3</w:t>
            </w:r>
            <w:r>
              <w:rPr>
                <w:color w:val="000000"/>
              </w:rPr>
              <w:t>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rFonts w:hint="eastAsia"/>
              </w:rPr>
            </w:pPr>
          </w:p>
        </w:tc>
        <w:tc>
          <w:tcPr>
            <w:tcW w:w="382" w:type="pct"/>
            <w:vMerge w:val="continue"/>
            <w:vAlign w:val="center"/>
          </w:tcPr>
          <w:p>
            <w:pPr>
              <w:widowControl/>
              <w:spacing w:line="480" w:lineRule="exact"/>
              <w:jc w:val="left"/>
              <w:rPr>
                <w:rFonts w:hint="eastAsia"/>
                <w:bCs/>
                <w:kern w:val="0"/>
                <w:szCs w:val="21"/>
                <w:lang w:val="en-US" w:eastAsia="zh-CN" w:bidi="ar-SA"/>
              </w:rPr>
            </w:pPr>
          </w:p>
        </w:tc>
        <w:tc>
          <w:tcPr>
            <w:tcW w:w="928" w:type="pct"/>
            <w:tcMar>
              <w:left w:w="75" w:type="dxa"/>
            </w:tcMar>
            <w:vAlign w:val="center"/>
          </w:tcPr>
          <w:p>
            <w:pPr>
              <w:spacing w:line="480" w:lineRule="exact"/>
              <w:jc w:val="center"/>
              <w:rPr>
                <w:rFonts w:hint="eastAsia"/>
                <w:color w:val="000000"/>
              </w:rPr>
            </w:pPr>
            <w:r>
              <w:rPr>
                <w:rFonts w:hint="eastAsia"/>
                <w:color w:val="000000"/>
              </w:rPr>
              <w:t>技术性能指标</w:t>
            </w:r>
          </w:p>
        </w:tc>
        <w:tc>
          <w:tcPr>
            <w:tcW w:w="3304" w:type="pct"/>
            <w:tcMar>
              <w:left w:w="75" w:type="dxa"/>
            </w:tcMar>
            <w:vAlign w:val="center"/>
          </w:tcPr>
          <w:p>
            <w:pPr>
              <w:spacing w:line="480" w:lineRule="exact"/>
              <w:jc w:val="left"/>
              <w:rPr>
                <w:rFonts w:hint="eastAsia"/>
                <w:color w:val="000000"/>
              </w:rPr>
            </w:pPr>
            <w:r>
              <w:rPr>
                <w:color w:val="000000"/>
              </w:rPr>
              <w:t>符合第二章</w:t>
            </w:r>
            <w:r>
              <w:rPr>
                <w:rFonts w:hint="eastAsia"/>
                <w:kern w:val="0"/>
                <w:szCs w:val="21"/>
                <w:lang w:val="en-US" w:eastAsia="zh-CN" w:bidi="ar-SA"/>
              </w:rPr>
              <w:t>“投标人须知”</w:t>
            </w:r>
            <w:r>
              <w:rPr>
                <w:color w:val="000000"/>
              </w:rPr>
              <w:t>第1.3.</w:t>
            </w:r>
            <w:r>
              <w:rPr>
                <w:rFonts w:hint="eastAsia"/>
                <w:color w:val="000000"/>
              </w:rPr>
              <w:t>4</w:t>
            </w:r>
            <w:r>
              <w:rPr>
                <w:color w:val="000000"/>
              </w:rPr>
              <w:t>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rFonts w:hint="eastAsia"/>
              </w:rPr>
            </w:pPr>
          </w:p>
        </w:tc>
        <w:tc>
          <w:tcPr>
            <w:tcW w:w="382" w:type="pct"/>
            <w:vMerge w:val="continue"/>
            <w:vAlign w:val="center"/>
          </w:tcPr>
          <w:p>
            <w:pPr>
              <w:widowControl/>
              <w:spacing w:line="480" w:lineRule="exact"/>
              <w:jc w:val="left"/>
              <w:rPr>
                <w:rFonts w:hint="eastAsia"/>
                <w:bCs/>
                <w:kern w:val="0"/>
                <w:szCs w:val="21"/>
                <w:lang w:val="en-US" w:eastAsia="zh-CN" w:bidi="ar-SA"/>
              </w:rPr>
            </w:pPr>
          </w:p>
        </w:tc>
        <w:tc>
          <w:tcPr>
            <w:tcW w:w="928" w:type="pct"/>
            <w:tcMar>
              <w:left w:w="75" w:type="dxa"/>
            </w:tcMar>
            <w:vAlign w:val="center"/>
          </w:tcPr>
          <w:p>
            <w:pPr>
              <w:widowControl/>
              <w:spacing w:line="480" w:lineRule="exact"/>
              <w:jc w:val="center"/>
              <w:rPr>
                <w:rFonts w:hint="eastAsia"/>
                <w:kern w:val="0"/>
                <w:szCs w:val="21"/>
                <w:lang w:val="en-US" w:eastAsia="zh-CN" w:bidi="ar-SA"/>
              </w:rPr>
            </w:pPr>
            <w:r>
              <w:rPr>
                <w:rFonts w:hint="eastAsia"/>
                <w:kern w:val="0"/>
                <w:szCs w:val="21"/>
                <w:lang w:val="en-US" w:eastAsia="zh-CN" w:bidi="ar-SA"/>
              </w:rPr>
              <w:t>投标有效期</w:t>
            </w:r>
          </w:p>
        </w:tc>
        <w:tc>
          <w:tcPr>
            <w:tcW w:w="3304" w:type="pct"/>
            <w:tcMar>
              <w:left w:w="75" w:type="dxa"/>
            </w:tcMar>
            <w:vAlign w:val="center"/>
          </w:tcPr>
          <w:p>
            <w:pPr>
              <w:spacing w:line="480" w:lineRule="exact"/>
              <w:rPr>
                <w:rFonts w:hint="eastAsia"/>
                <w:kern w:val="0"/>
                <w:szCs w:val="21"/>
                <w:lang w:val="en-US" w:bidi="ar-SA"/>
              </w:rPr>
            </w:pPr>
            <w:r>
              <w:rPr>
                <w:kern w:val="0"/>
                <w:szCs w:val="21"/>
                <w:lang w:val="en-US" w:eastAsia="zh-CN" w:bidi="ar-SA"/>
              </w:rPr>
              <w:t>符合第二章</w:t>
            </w:r>
            <w:r>
              <w:rPr>
                <w:rFonts w:hint="eastAsia"/>
                <w:kern w:val="0"/>
                <w:szCs w:val="21"/>
                <w:lang w:val="en-US" w:eastAsia="zh-CN" w:bidi="ar-SA"/>
              </w:rPr>
              <w:t>“投标人须知”</w:t>
            </w:r>
            <w:r>
              <w:rPr>
                <w:kern w:val="0"/>
                <w:szCs w:val="21"/>
                <w:lang w:val="en-US" w:eastAsia="zh-CN" w:bidi="ar-SA"/>
              </w:rPr>
              <w:t>第3.3.1项规定</w:t>
            </w:r>
            <w:r>
              <w:rPr>
                <w:rFonts w:hint="eastAsia"/>
                <w:kern w:val="0"/>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spacing w:line="480" w:lineRule="exact"/>
              <w:jc w:val="center"/>
              <w:rPr>
                <w:rFonts w:hint="eastAsia"/>
                <w:kern w:val="0"/>
                <w:szCs w:val="21"/>
                <w:lang w:val="en-US" w:eastAsia="zh-CN" w:bidi="ar-SA"/>
              </w:rPr>
            </w:pPr>
            <w:r>
              <w:rPr>
                <w:rFonts w:hint="eastAsia"/>
                <w:kern w:val="0"/>
                <w:szCs w:val="21"/>
                <w:lang w:val="en-US" w:eastAsia="zh-CN" w:bidi="ar-SA"/>
              </w:rPr>
              <w:t>投标保证金</w:t>
            </w:r>
          </w:p>
        </w:tc>
        <w:tc>
          <w:tcPr>
            <w:tcW w:w="3304" w:type="pct"/>
            <w:tcMar>
              <w:left w:w="75" w:type="dxa"/>
            </w:tcMar>
            <w:vAlign w:val="center"/>
          </w:tcPr>
          <w:p>
            <w:pPr>
              <w:spacing w:line="480" w:lineRule="exact"/>
              <w:jc w:val="left"/>
              <w:rPr>
                <w:rFonts w:hint="eastAsia"/>
                <w:color w:val="000000"/>
                <w:lang w:val="en-US"/>
              </w:rPr>
            </w:pPr>
            <w:r>
              <w:rPr>
                <w:rFonts w:hint="eastAsia"/>
                <w:color w:val="000000"/>
                <w:lang w:val="en-US" w:eastAsia="zh-CN"/>
              </w:rPr>
              <w:t>符合第二章“投标人须知”第3.4.1项规定</w:t>
            </w:r>
            <w:r>
              <w:rPr>
                <w:rFonts w:hint="eastAsia"/>
                <w:color w:val="0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spacing w:line="480" w:lineRule="exact"/>
              <w:jc w:val="center"/>
              <w:rPr>
                <w:rFonts w:hint="eastAsia"/>
                <w:kern w:val="0"/>
                <w:szCs w:val="21"/>
                <w:lang w:val="en-US" w:eastAsia="zh-CN" w:bidi="ar-SA"/>
              </w:rPr>
            </w:pPr>
            <w:r>
              <w:rPr>
                <w:rFonts w:hint="eastAsia"/>
                <w:kern w:val="0"/>
                <w:szCs w:val="21"/>
                <w:lang w:val="en-US" w:eastAsia="zh-CN" w:bidi="ar-SA"/>
              </w:rPr>
              <w:t>权利义务</w:t>
            </w:r>
          </w:p>
        </w:tc>
        <w:tc>
          <w:tcPr>
            <w:tcW w:w="3304" w:type="pct"/>
            <w:tcMar>
              <w:left w:w="75" w:type="dxa"/>
            </w:tcMar>
            <w:vAlign w:val="center"/>
          </w:tcPr>
          <w:p>
            <w:pPr>
              <w:spacing w:line="480" w:lineRule="exact"/>
              <w:jc w:val="left"/>
              <w:rPr>
                <w:rFonts w:hint="eastAsia"/>
                <w:color w:val="000000"/>
                <w:lang w:val="en-US"/>
              </w:rPr>
            </w:pPr>
            <w:r>
              <w:rPr>
                <w:rFonts w:hint="eastAsia"/>
                <w:color w:val="000000"/>
              </w:rPr>
              <w:t>符合第二章</w:t>
            </w:r>
            <w:r>
              <w:rPr>
                <w:color w:val="000000"/>
              </w:rPr>
              <w:t>“</w:t>
            </w:r>
            <w:r>
              <w:rPr>
                <w:rFonts w:hint="eastAsia"/>
                <w:color w:val="000000"/>
              </w:rPr>
              <w:t>投标人须知</w:t>
            </w:r>
            <w:r>
              <w:rPr>
                <w:color w:val="000000"/>
              </w:rPr>
              <w:t>”</w:t>
            </w:r>
            <w:r>
              <w:rPr>
                <w:rFonts w:hint="eastAsia"/>
                <w:color w:val="000000"/>
              </w:rPr>
              <w:t>第</w:t>
            </w:r>
            <w:r>
              <w:rPr>
                <w:color w:val="000000"/>
              </w:rPr>
              <w:t>1.1</w:t>
            </w:r>
            <w:r>
              <w:rPr>
                <w:rFonts w:hint="eastAsia"/>
                <w:color w:val="000000"/>
              </w:rPr>
              <w:t>2</w:t>
            </w:r>
            <w:r>
              <w:rPr>
                <w:color w:val="000000"/>
              </w:rPr>
              <w:t>.1</w:t>
            </w:r>
            <w:r>
              <w:rPr>
                <w:rFonts w:hint="eastAsia"/>
                <w:color w:val="000000"/>
              </w:rPr>
              <w:t>项规定和第四章</w:t>
            </w:r>
            <w:r>
              <w:rPr>
                <w:color w:val="000000"/>
              </w:rPr>
              <w:t>“</w:t>
            </w:r>
            <w:r>
              <w:rPr>
                <w:rFonts w:hint="eastAsia"/>
                <w:color w:val="000000"/>
              </w:rPr>
              <w:t>合同条款及格式</w:t>
            </w:r>
            <w:r>
              <w:rPr>
                <w:color w:val="000000"/>
              </w:rPr>
              <w:t>”</w:t>
            </w:r>
            <w:r>
              <w:rPr>
                <w:rFonts w:hint="eastAsia"/>
                <w:color w:val="000000"/>
              </w:rPr>
              <w:t>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color w:val="000000"/>
                <w:highlight w:val="yellow"/>
                <w:lang w:bidi="ar-SA"/>
              </w:rPr>
            </w:pPr>
            <w:r>
              <w:rPr>
                <w:rFonts w:hint="eastAsia"/>
                <w:color w:val="000000"/>
                <w:lang w:bidi="ar-SA"/>
              </w:rPr>
              <w:t>招标文件的获取</w:t>
            </w:r>
          </w:p>
        </w:tc>
        <w:tc>
          <w:tcPr>
            <w:tcW w:w="3304" w:type="pct"/>
            <w:tcMar>
              <w:left w:w="75" w:type="dxa"/>
            </w:tcMar>
            <w:vAlign w:val="center"/>
          </w:tcPr>
          <w:p>
            <w:pPr>
              <w:spacing w:line="480" w:lineRule="exact"/>
              <w:jc w:val="left"/>
              <w:rPr>
                <w:rFonts w:hint="eastAsia"/>
                <w:color w:val="000000"/>
                <w:lang w:val="en-US"/>
              </w:rPr>
            </w:pPr>
            <w:r>
              <w:rPr>
                <w:rFonts w:hint="eastAsia"/>
                <w:color w:val="000000"/>
                <w:lang w:val="en-US" w:eastAsia="zh-CN"/>
              </w:rPr>
              <w:t>符合第一章“招标公告”要求</w:t>
            </w:r>
            <w:r>
              <w:rPr>
                <w:rFonts w:hint="eastAsia"/>
                <w:color w:val="0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color w:val="000000"/>
                <w:lang w:bidi="ar-SA"/>
              </w:rPr>
            </w:pPr>
            <w:r>
              <w:rPr>
                <w:color w:val="000000"/>
              </w:rPr>
              <w:t>投标货物及技术服务和质保期服务</w:t>
            </w:r>
          </w:p>
        </w:tc>
        <w:tc>
          <w:tcPr>
            <w:tcW w:w="3304" w:type="pct"/>
            <w:tcMar>
              <w:left w:w="75" w:type="dxa"/>
            </w:tcMar>
            <w:vAlign w:val="center"/>
          </w:tcPr>
          <w:p>
            <w:pPr>
              <w:spacing w:line="480" w:lineRule="exact"/>
              <w:jc w:val="left"/>
              <w:rPr>
                <w:rFonts w:hint="eastAsia"/>
                <w:color w:val="000000"/>
                <w:lang w:val="en-US"/>
              </w:rPr>
            </w:pPr>
            <w:r>
              <w:rPr>
                <w:color w:val="000000"/>
              </w:rPr>
              <w:t>符合第五章</w:t>
            </w:r>
            <w:r>
              <w:rPr>
                <w:rFonts w:hint="eastAsia"/>
                <w:color w:val="000000"/>
              </w:rPr>
              <w:t>“</w:t>
            </w:r>
            <w:r>
              <w:rPr>
                <w:color w:val="000000"/>
              </w:rPr>
              <w:t>供货要求</w:t>
            </w:r>
            <w:r>
              <w:rPr>
                <w:rFonts w:hint="eastAsia"/>
                <w:color w:val="000000"/>
              </w:rPr>
              <w:t>”</w:t>
            </w:r>
            <w:r>
              <w:rPr>
                <w:color w:val="000000"/>
              </w:rPr>
              <w:t>中的实质性要求和条件</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adjustRightInd w:val="0"/>
              <w:snapToGrid w:val="0"/>
              <w:spacing w:line="480" w:lineRule="exact"/>
              <w:jc w:val="center"/>
              <w:rPr>
                <w:rFonts w:hint="eastAsia"/>
                <w:color w:val="000000"/>
                <w:lang w:bidi="ar-SA"/>
              </w:rPr>
            </w:pPr>
            <w:r>
              <w:rPr>
                <w:color w:val="000000"/>
              </w:rPr>
              <w:t>技术支持资料</w:t>
            </w:r>
          </w:p>
        </w:tc>
        <w:tc>
          <w:tcPr>
            <w:tcW w:w="3304" w:type="pct"/>
            <w:tcMar>
              <w:left w:w="75" w:type="dxa"/>
            </w:tcMar>
            <w:vAlign w:val="center"/>
          </w:tcPr>
          <w:p>
            <w:pPr>
              <w:widowControl/>
              <w:spacing w:line="480" w:lineRule="exact"/>
              <w:rPr>
                <w:rFonts w:hint="eastAsia"/>
                <w:color w:val="000000"/>
                <w:kern w:val="0"/>
                <w:szCs w:val="21"/>
                <w:lang w:val="en-US" w:bidi="ar-SA"/>
              </w:rPr>
            </w:pPr>
            <w:r>
              <w:rPr>
                <w:color w:val="000000"/>
              </w:rPr>
              <w:t>符合第二章</w:t>
            </w:r>
            <w:r>
              <w:rPr>
                <w:rFonts w:hint="eastAsia"/>
                <w:kern w:val="0"/>
                <w:szCs w:val="21"/>
                <w:lang w:val="en-US" w:eastAsia="zh-CN" w:bidi="ar-SA"/>
              </w:rPr>
              <w:t>“投标人须知”</w:t>
            </w:r>
            <w:r>
              <w:rPr>
                <w:color w:val="000000"/>
              </w:rPr>
              <w:t>第1.1</w:t>
            </w:r>
            <w:r>
              <w:rPr>
                <w:rFonts w:hint="eastAsia"/>
                <w:color w:val="000000"/>
              </w:rPr>
              <w:t>2</w:t>
            </w:r>
            <w:r>
              <w:rPr>
                <w:color w:val="000000"/>
              </w:rPr>
              <w:t>.3项规定</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3" w:type="pct"/>
            <w:vMerge w:val="continue"/>
            <w:vAlign w:val="center"/>
          </w:tcPr>
          <w:p>
            <w:pPr>
              <w:widowControl/>
              <w:spacing w:line="480" w:lineRule="exact"/>
              <w:jc w:val="left"/>
              <w:rPr>
                <w:kern w:val="0"/>
                <w:szCs w:val="21"/>
                <w:lang w:val="en-US" w:eastAsia="zh-CN" w:bidi="ar-SA"/>
              </w:rPr>
            </w:pPr>
          </w:p>
        </w:tc>
        <w:tc>
          <w:tcPr>
            <w:tcW w:w="382" w:type="pct"/>
            <w:vMerge w:val="continue"/>
            <w:vAlign w:val="center"/>
          </w:tcPr>
          <w:p>
            <w:pPr>
              <w:widowControl/>
              <w:spacing w:line="480" w:lineRule="exact"/>
              <w:jc w:val="left"/>
              <w:rPr>
                <w:kern w:val="0"/>
                <w:szCs w:val="21"/>
                <w:lang w:val="en-US" w:eastAsia="zh-CN" w:bidi="ar-SA"/>
              </w:rPr>
            </w:pPr>
          </w:p>
        </w:tc>
        <w:tc>
          <w:tcPr>
            <w:tcW w:w="928" w:type="pct"/>
            <w:tcMar>
              <w:left w:w="75" w:type="dxa"/>
            </w:tcMar>
            <w:vAlign w:val="center"/>
          </w:tcPr>
          <w:p>
            <w:pPr>
              <w:widowControl/>
              <w:spacing w:line="480" w:lineRule="exact"/>
              <w:jc w:val="center"/>
              <w:rPr>
                <w:rFonts w:hint="eastAsia"/>
                <w:kern w:val="0"/>
                <w:szCs w:val="21"/>
                <w:lang w:val="en-US" w:eastAsia="zh-CN" w:bidi="ar-SA"/>
              </w:rPr>
            </w:pPr>
            <w:r>
              <w:rPr>
                <w:rFonts w:hint="eastAsia"/>
                <w:kern w:val="0"/>
                <w:szCs w:val="21"/>
                <w:lang w:val="en-US" w:eastAsia="zh-CN" w:bidi="ar-SA"/>
              </w:rPr>
              <w:t>其他实质性要求</w:t>
            </w:r>
          </w:p>
        </w:tc>
        <w:tc>
          <w:tcPr>
            <w:tcW w:w="3304" w:type="pct"/>
            <w:tcMar>
              <w:left w:w="75" w:type="dxa"/>
            </w:tcMar>
            <w:vAlign w:val="center"/>
          </w:tcPr>
          <w:p>
            <w:pPr>
              <w:widowControl/>
              <w:spacing w:line="480" w:lineRule="exact"/>
              <w:jc w:val="left"/>
              <w:rPr>
                <w:rFonts w:hint="eastAsia"/>
                <w:kern w:val="0"/>
                <w:szCs w:val="21"/>
                <w:lang w:val="en-US" w:bidi="ar-SA"/>
              </w:rPr>
            </w:pPr>
            <w:r>
              <w:rPr>
                <w:rFonts w:hint="eastAsia"/>
                <w:kern w:val="0"/>
                <w:szCs w:val="21"/>
                <w:lang w:val="en-US" w:eastAsia="zh-CN" w:bidi="ar-SA"/>
              </w:rPr>
              <w:t>投标文件对招标文件的其他实质性要求和条件作出响应</w:t>
            </w:r>
            <w:r>
              <w:rPr>
                <w:rFonts w:hint="eastAsia"/>
                <w:kern w:val="0"/>
                <w:szCs w:val="21"/>
                <w:lang w:val="en-US" w:bidi="ar-SA"/>
              </w:rPr>
              <w:t>。</w:t>
            </w:r>
          </w:p>
        </w:tc>
      </w:tr>
    </w:tbl>
    <w:p>
      <w:pPr>
        <w:rPr>
          <w:rFonts w:hint="eastAsia"/>
          <w:lang w:val="en-US" w:eastAsia="zh-CN"/>
        </w:rPr>
      </w:pPr>
    </w:p>
    <w:p>
      <w:pPr>
        <w:keepNext/>
        <w:keepLines/>
        <w:spacing w:before="120" w:after="120" w:line="360" w:lineRule="auto"/>
        <w:jc w:val="center"/>
        <w:outlineLvl w:val="2"/>
        <w:rPr>
          <w:rFonts w:hint="eastAsia" w:eastAsia="黑体"/>
          <w:bCs/>
          <w:sz w:val="24"/>
        </w:rPr>
        <w:sectPr>
          <w:footnotePr>
            <w:numFmt w:val="decimalEnclosedCircleChinese"/>
            <w:numRestart w:val="eachPage"/>
          </w:footnotePr>
          <w:pgSz w:w="11907" w:h="16840"/>
          <w:pgMar w:top="1440" w:right="1080" w:bottom="1440" w:left="1080" w:header="799" w:footer="907" w:gutter="0"/>
          <w:cols w:space="720" w:num="1"/>
          <w:titlePg/>
          <w:docGrid w:linePitch="286" w:charSpace="0"/>
        </w:sectPr>
      </w:pPr>
    </w:p>
    <w:p>
      <w:pPr>
        <w:keepNext/>
        <w:keepLines/>
        <w:spacing w:before="120" w:after="120" w:line="360" w:lineRule="auto"/>
        <w:jc w:val="center"/>
        <w:outlineLvl w:val="2"/>
        <w:rPr>
          <w:rFonts w:hint="eastAsia" w:eastAsia="黑体"/>
          <w:sz w:val="24"/>
        </w:rPr>
      </w:pPr>
      <w:r>
        <w:rPr>
          <w:rFonts w:hint="eastAsia" w:eastAsia="黑体"/>
          <w:bCs/>
          <w:sz w:val="24"/>
        </w:rPr>
        <w:t>报价文件评审标准</w:t>
      </w:r>
    </w:p>
    <w:tbl>
      <w:tblPr>
        <w:tblStyle w:val="55"/>
        <w:tblW w:w="9619"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3"/>
        <w:gridCol w:w="691"/>
        <w:gridCol w:w="1732"/>
        <w:gridCol w:w="652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blHeader/>
          <w:jc w:val="center"/>
        </w:trPr>
        <w:tc>
          <w:tcPr>
            <w:tcW w:w="1364" w:type="dxa"/>
            <w:gridSpan w:val="2"/>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r>
              <w:rPr>
                <w:b/>
                <w:bCs/>
                <w:kern w:val="0"/>
                <w:szCs w:val="21"/>
              </w:rPr>
              <w:t>条款号</w:t>
            </w:r>
          </w:p>
        </w:tc>
        <w:tc>
          <w:tcPr>
            <w:tcW w:w="1732" w:type="dxa"/>
            <w:tcBorders>
              <w:top w:val="outset" w:color="auto" w:sz="6" w:space="0"/>
              <w:left w:val="single" w:color="auto" w:sz="4" w:space="0"/>
              <w:bottom w:val="outset" w:color="auto" w:sz="6" w:space="0"/>
              <w:right w:val="single" w:color="auto" w:sz="4" w:space="0"/>
            </w:tcBorders>
            <w:vAlign w:val="center"/>
          </w:tcPr>
          <w:p>
            <w:pPr>
              <w:widowControl/>
              <w:spacing w:line="480" w:lineRule="exact"/>
              <w:ind w:firstLine="105" w:firstLineChars="50"/>
              <w:jc w:val="center"/>
              <w:rPr>
                <w:kern w:val="0"/>
                <w:szCs w:val="21"/>
              </w:rPr>
            </w:pPr>
            <w:r>
              <w:rPr>
                <w:b/>
                <w:bCs/>
                <w:kern w:val="0"/>
                <w:szCs w:val="21"/>
              </w:rPr>
              <w:t>评审因素</w:t>
            </w:r>
          </w:p>
        </w:tc>
        <w:tc>
          <w:tcPr>
            <w:tcW w:w="6523" w:type="dxa"/>
            <w:tcBorders>
              <w:top w:val="outset" w:color="auto" w:sz="6" w:space="0"/>
              <w:left w:val="single" w:color="auto" w:sz="4" w:space="0"/>
              <w:bottom w:val="outset" w:color="auto" w:sz="6" w:space="0"/>
              <w:right w:val="outset" w:color="auto" w:sz="6" w:space="0"/>
            </w:tcBorders>
            <w:vAlign w:val="center"/>
          </w:tcPr>
          <w:p>
            <w:pPr>
              <w:widowControl/>
              <w:spacing w:line="480" w:lineRule="exact"/>
              <w:ind w:firstLine="105" w:firstLineChars="50"/>
              <w:jc w:val="center"/>
              <w:rPr>
                <w:rFonts w:hint="eastAsia"/>
                <w:kern w:val="0"/>
                <w:szCs w:val="21"/>
              </w:rPr>
            </w:pPr>
            <w:r>
              <w:rPr>
                <w:rFonts w:hint="eastAsia"/>
                <w:b/>
                <w:bCs/>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restart"/>
            <w:tcBorders>
              <w:top w:val="outset" w:color="auto" w:sz="6" w:space="0"/>
              <w:left w:val="outset" w:color="auto" w:sz="6" w:space="0"/>
              <w:right w:val="outset" w:color="auto" w:sz="6" w:space="0"/>
            </w:tcBorders>
            <w:vAlign w:val="center"/>
          </w:tcPr>
          <w:p>
            <w:pPr>
              <w:widowControl/>
              <w:spacing w:line="480" w:lineRule="exact"/>
              <w:jc w:val="center"/>
              <w:rPr>
                <w:rFonts w:hint="eastAsia"/>
                <w:kern w:val="0"/>
                <w:szCs w:val="21"/>
              </w:rPr>
            </w:pPr>
            <w:r>
              <w:rPr>
                <w:bCs/>
                <w:kern w:val="0"/>
                <w:szCs w:val="21"/>
              </w:rPr>
              <w:t>2.1.</w:t>
            </w:r>
            <w:r>
              <w:rPr>
                <w:rFonts w:hint="eastAsia"/>
                <w:bCs/>
                <w:kern w:val="0"/>
                <w:szCs w:val="21"/>
              </w:rPr>
              <w:t>1</w:t>
            </w:r>
          </w:p>
        </w:tc>
        <w:tc>
          <w:tcPr>
            <w:tcW w:w="691" w:type="dxa"/>
            <w:vMerge w:val="restart"/>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r>
              <w:rPr>
                <w:bCs/>
                <w:kern w:val="0"/>
                <w:szCs w:val="21"/>
              </w:rPr>
              <w:t>形式评审标准</w:t>
            </w:r>
          </w:p>
        </w:tc>
        <w:tc>
          <w:tcPr>
            <w:tcW w:w="1732" w:type="dxa"/>
            <w:tcBorders>
              <w:top w:val="outset" w:color="auto" w:sz="6" w:space="0"/>
              <w:left w:val="single" w:color="auto" w:sz="4" w:space="0"/>
              <w:bottom w:val="outset" w:color="auto" w:sz="6" w:space="0"/>
              <w:right w:val="outset" w:color="auto" w:sz="6" w:space="0"/>
            </w:tcBorders>
            <w:tcMar>
              <w:left w:w="75" w:type="dxa"/>
            </w:tcMar>
            <w:vAlign w:val="center"/>
          </w:tcPr>
          <w:p>
            <w:pPr>
              <w:spacing w:line="480" w:lineRule="exact"/>
              <w:jc w:val="center"/>
              <w:rPr>
                <w:rFonts w:hint="eastAsia"/>
                <w:kern w:val="0"/>
                <w:szCs w:val="21"/>
              </w:rPr>
            </w:pPr>
            <w:r>
              <w:rPr>
                <w:color w:val="000000"/>
              </w:rPr>
              <w:t>投标人名称</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spacing w:line="480" w:lineRule="exact"/>
              <w:rPr>
                <w:rFonts w:hint="eastAsia"/>
                <w:kern w:val="0"/>
                <w:szCs w:val="21"/>
              </w:rPr>
            </w:pPr>
            <w:r>
              <w:rPr>
                <w:color w:val="000000"/>
              </w:rPr>
              <w:t>与营业执照</w:t>
            </w:r>
            <w:r>
              <w:rPr>
                <w:rFonts w:hint="eastAsia"/>
                <w:color w:val="000000"/>
              </w:rPr>
              <w:t>（</w:t>
            </w:r>
            <w:r>
              <w:rPr>
                <w:color w:val="000000"/>
              </w:rPr>
              <w:t>事业单位法人证书</w:t>
            </w:r>
            <w:r>
              <w:rPr>
                <w:rFonts w:hint="eastAsia"/>
                <w:color w:val="000000"/>
              </w:rPr>
              <w:t>）</w:t>
            </w:r>
            <w:r>
              <w:rPr>
                <w:color w:val="000000"/>
              </w:rPr>
              <w:t>、资质证书一致</w:t>
            </w:r>
            <w:r>
              <w:rPr>
                <w:rFonts w:hint="eastAsia"/>
                <w:color w:val="000000"/>
              </w:rPr>
              <w:t>，名称变更的，应当提供证书颁发等单位提供的变更说明。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left w:val="outset" w:color="auto" w:sz="6" w:space="0"/>
              <w:right w:val="outset" w:color="auto" w:sz="6" w:space="0"/>
            </w:tcBorders>
            <w:vAlign w:val="center"/>
          </w:tcPr>
          <w:p>
            <w:pPr>
              <w:widowControl/>
              <w:spacing w:line="480" w:lineRule="exact"/>
              <w:jc w:val="left"/>
              <w:rPr>
                <w:kern w:val="0"/>
                <w:szCs w:val="21"/>
              </w:rPr>
            </w:pPr>
          </w:p>
        </w:tc>
        <w:tc>
          <w:tcPr>
            <w:tcW w:w="691" w:type="dxa"/>
            <w:vMerge w:val="continue"/>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p>
        </w:tc>
        <w:tc>
          <w:tcPr>
            <w:tcW w:w="1732" w:type="dxa"/>
            <w:tcBorders>
              <w:top w:val="outset" w:color="auto" w:sz="6"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rFonts w:hint="eastAsia"/>
                <w:kern w:val="0"/>
                <w:szCs w:val="21"/>
              </w:rPr>
            </w:pPr>
            <w:r>
              <w:rPr>
                <w:rFonts w:hint="eastAsia"/>
              </w:rPr>
              <w:t>投标文件格式</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color w:val="000000"/>
                <w:kern w:val="0"/>
                <w:szCs w:val="21"/>
              </w:rPr>
            </w:pPr>
            <w:r>
              <w:rPr>
                <w:rFonts w:hint="eastAsia"/>
                <w:color w:val="000000"/>
                <w:kern w:val="0"/>
                <w:szCs w:val="21"/>
              </w:rPr>
              <w:t>（1）报价文件电子文件可以正常</w:t>
            </w:r>
            <w:r>
              <w:rPr>
                <w:color w:val="000000"/>
                <w:kern w:val="0"/>
                <w:szCs w:val="21"/>
              </w:rPr>
              <w:t>读取</w:t>
            </w:r>
            <w:r>
              <w:rPr>
                <w:rFonts w:hint="eastAsia"/>
                <w:color w:val="000000"/>
                <w:kern w:val="0"/>
                <w:szCs w:val="21"/>
              </w:rPr>
              <w:t>；</w:t>
            </w:r>
          </w:p>
          <w:p>
            <w:pPr>
              <w:widowControl/>
              <w:spacing w:line="480" w:lineRule="exact"/>
              <w:jc w:val="left"/>
              <w:rPr>
                <w:rFonts w:hint="eastAsia"/>
                <w:kern w:val="0"/>
                <w:szCs w:val="21"/>
              </w:rPr>
            </w:pPr>
            <w:r>
              <w:rPr>
                <w:rFonts w:hint="eastAsia"/>
                <w:color w:val="000000"/>
                <w:kern w:val="0"/>
                <w:szCs w:val="21"/>
              </w:rPr>
              <w:t>（2）符合第六章“投标文件格式”的规定，</w:t>
            </w:r>
            <w:r>
              <w:rPr>
                <w:color w:val="000000"/>
                <w:kern w:val="0"/>
                <w:szCs w:val="21"/>
              </w:rPr>
              <w:t>关键字迹</w:t>
            </w:r>
            <w:r>
              <w:rPr>
                <w:rFonts w:hint="eastAsia"/>
                <w:color w:val="000000"/>
                <w:kern w:val="0"/>
                <w:szCs w:val="21"/>
              </w:rPr>
              <w:t>清晰可辨。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left w:val="outset" w:color="auto" w:sz="6" w:space="0"/>
              <w:right w:val="outset" w:color="auto" w:sz="6" w:space="0"/>
            </w:tcBorders>
            <w:vAlign w:val="center"/>
          </w:tcPr>
          <w:p>
            <w:pPr>
              <w:widowControl/>
              <w:spacing w:line="480" w:lineRule="exact"/>
              <w:jc w:val="left"/>
              <w:rPr>
                <w:kern w:val="0"/>
                <w:szCs w:val="21"/>
              </w:rPr>
            </w:pPr>
          </w:p>
        </w:tc>
        <w:tc>
          <w:tcPr>
            <w:tcW w:w="691" w:type="dxa"/>
            <w:vMerge w:val="continue"/>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p>
        </w:tc>
        <w:tc>
          <w:tcPr>
            <w:tcW w:w="1732" w:type="dxa"/>
            <w:tcBorders>
              <w:top w:val="outset" w:color="auto" w:sz="6"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kern w:val="0"/>
                <w:szCs w:val="21"/>
              </w:rPr>
            </w:pPr>
            <w:r>
              <w:rPr>
                <w:rFonts w:hint="eastAsia"/>
                <w:kern w:val="0"/>
                <w:szCs w:val="21"/>
              </w:rPr>
              <w:t>备选投标方案</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kern w:val="0"/>
                <w:szCs w:val="21"/>
              </w:rPr>
            </w:pPr>
            <w:r>
              <w:rPr>
                <w:rFonts w:hint="eastAsia"/>
                <w:kern w:val="0"/>
                <w:szCs w:val="21"/>
              </w:rPr>
              <w:t>除招标文件明确允许备选投标方案外，投标人不得提交备选投标方案。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left w:val="outset" w:color="auto" w:sz="6" w:space="0"/>
              <w:right w:val="outset" w:color="auto" w:sz="6" w:space="0"/>
            </w:tcBorders>
            <w:vAlign w:val="center"/>
          </w:tcPr>
          <w:p>
            <w:pPr>
              <w:widowControl/>
              <w:spacing w:line="480" w:lineRule="exact"/>
              <w:jc w:val="left"/>
              <w:rPr>
                <w:kern w:val="0"/>
                <w:szCs w:val="21"/>
              </w:rPr>
            </w:pPr>
          </w:p>
        </w:tc>
        <w:tc>
          <w:tcPr>
            <w:tcW w:w="691" w:type="dxa"/>
            <w:vMerge w:val="continue"/>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p>
        </w:tc>
        <w:tc>
          <w:tcPr>
            <w:tcW w:w="1732" w:type="dxa"/>
            <w:tcBorders>
              <w:top w:val="outset" w:color="auto" w:sz="6"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rFonts w:hint="eastAsia"/>
                <w:kern w:val="0"/>
                <w:szCs w:val="21"/>
              </w:rPr>
            </w:pPr>
            <w:r>
              <w:rPr>
                <w:rFonts w:hint="eastAsia"/>
                <w:kern w:val="0"/>
                <w:szCs w:val="21"/>
              </w:rPr>
              <w:t>签字盖章</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szCs w:val="21"/>
              </w:rPr>
            </w:pPr>
            <w:r>
              <w:rPr>
                <w:rFonts w:hint="eastAsia"/>
                <w:color w:val="000000"/>
                <w:kern w:val="0"/>
                <w:szCs w:val="21"/>
              </w:rPr>
              <w:t>符合</w:t>
            </w:r>
            <w:r>
              <w:rPr>
                <w:color w:val="000000"/>
                <w:kern w:val="0"/>
                <w:szCs w:val="21"/>
              </w:rPr>
              <w:t>第六章</w:t>
            </w:r>
            <w:r>
              <w:rPr>
                <w:rFonts w:hint="eastAsia"/>
                <w:color w:val="000000"/>
                <w:kern w:val="0"/>
                <w:szCs w:val="21"/>
              </w:rPr>
              <w:t>“</w:t>
            </w:r>
            <w:r>
              <w:rPr>
                <w:color w:val="000000"/>
                <w:kern w:val="0"/>
                <w:szCs w:val="21"/>
              </w:rPr>
              <w:t>投标文件格式</w:t>
            </w:r>
            <w:r>
              <w:rPr>
                <w:rFonts w:hint="eastAsia"/>
                <w:color w:val="000000"/>
                <w:kern w:val="0"/>
                <w:szCs w:val="21"/>
              </w:rPr>
              <w:t>”的规定。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left w:val="outset" w:color="auto" w:sz="6" w:space="0"/>
              <w:bottom w:val="outset" w:color="auto" w:sz="6" w:space="0"/>
              <w:right w:val="outset" w:color="auto" w:sz="6" w:space="0"/>
            </w:tcBorders>
            <w:vAlign w:val="center"/>
          </w:tcPr>
          <w:p>
            <w:pPr>
              <w:widowControl/>
              <w:spacing w:line="480" w:lineRule="exact"/>
              <w:jc w:val="left"/>
              <w:rPr>
                <w:kern w:val="0"/>
                <w:szCs w:val="21"/>
              </w:rPr>
            </w:pPr>
          </w:p>
        </w:tc>
        <w:tc>
          <w:tcPr>
            <w:tcW w:w="691" w:type="dxa"/>
            <w:vMerge w:val="continue"/>
            <w:tcBorders>
              <w:top w:val="outset" w:color="auto" w:sz="6" w:space="0"/>
              <w:left w:val="outset" w:color="auto" w:sz="6" w:space="0"/>
              <w:bottom w:val="outset" w:color="auto" w:sz="6" w:space="0"/>
              <w:right w:val="single" w:color="auto" w:sz="4" w:space="0"/>
            </w:tcBorders>
            <w:vAlign w:val="center"/>
          </w:tcPr>
          <w:p>
            <w:pPr>
              <w:widowControl/>
              <w:spacing w:line="480" w:lineRule="exact"/>
              <w:jc w:val="center"/>
              <w:rPr>
                <w:kern w:val="0"/>
                <w:szCs w:val="21"/>
              </w:rPr>
            </w:pPr>
          </w:p>
        </w:tc>
        <w:tc>
          <w:tcPr>
            <w:tcW w:w="1732" w:type="dxa"/>
            <w:tcBorders>
              <w:top w:val="outset" w:color="auto" w:sz="6"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rFonts w:hint="eastAsia"/>
                <w:kern w:val="0"/>
                <w:szCs w:val="21"/>
              </w:rPr>
            </w:pPr>
            <w:r>
              <w:rPr>
                <w:rFonts w:hint="eastAsia"/>
                <w:kern w:val="0"/>
                <w:szCs w:val="21"/>
              </w:rPr>
              <w:t>未出现异常情形</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kern w:val="0"/>
                <w:szCs w:val="21"/>
              </w:rPr>
            </w:pPr>
            <w:r>
              <w:rPr>
                <w:rFonts w:hint="eastAsia"/>
              </w:rPr>
              <w:t>不同投标人未出现使用相同的机器识别码进行投标。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restart"/>
            <w:tcBorders>
              <w:top w:val="single" w:color="auto" w:sz="4" w:space="0"/>
              <w:left w:val="outset" w:color="auto" w:sz="6" w:space="0"/>
              <w:bottom w:val="outset" w:color="auto" w:sz="6" w:space="0"/>
              <w:right w:val="outset" w:color="auto" w:sz="6" w:space="0"/>
            </w:tcBorders>
            <w:vAlign w:val="center"/>
          </w:tcPr>
          <w:p>
            <w:pPr>
              <w:spacing w:line="480" w:lineRule="exact"/>
              <w:jc w:val="center"/>
              <w:rPr>
                <w:kern w:val="0"/>
                <w:szCs w:val="21"/>
              </w:rPr>
            </w:pPr>
            <w:r>
              <w:rPr>
                <w:rFonts w:hint="eastAsia"/>
                <w:bCs/>
                <w:kern w:val="0"/>
                <w:szCs w:val="21"/>
              </w:rPr>
              <w:t>2.1.3</w:t>
            </w:r>
          </w:p>
        </w:tc>
        <w:tc>
          <w:tcPr>
            <w:tcW w:w="691" w:type="dxa"/>
            <w:vMerge w:val="restart"/>
            <w:tcBorders>
              <w:top w:val="single" w:color="auto" w:sz="4" w:space="0"/>
              <w:left w:val="outset" w:color="auto" w:sz="6" w:space="0"/>
              <w:bottom w:val="outset" w:color="auto" w:sz="6" w:space="0"/>
              <w:right w:val="single" w:color="auto" w:sz="4" w:space="0"/>
            </w:tcBorders>
            <w:vAlign w:val="center"/>
          </w:tcPr>
          <w:p>
            <w:pPr>
              <w:spacing w:line="480" w:lineRule="exact"/>
              <w:jc w:val="center"/>
              <w:rPr>
                <w:kern w:val="0"/>
                <w:szCs w:val="21"/>
              </w:rPr>
            </w:pPr>
            <w:r>
              <w:rPr>
                <w:rFonts w:hint="eastAsia"/>
                <w:bCs/>
                <w:kern w:val="0"/>
                <w:szCs w:val="21"/>
              </w:rPr>
              <w:t>响应性评审标准</w:t>
            </w:r>
          </w:p>
        </w:tc>
        <w:tc>
          <w:tcPr>
            <w:tcW w:w="1732" w:type="dxa"/>
            <w:tcBorders>
              <w:top w:val="single" w:color="auto" w:sz="4"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rFonts w:hint="eastAsia"/>
                <w:kern w:val="0"/>
                <w:szCs w:val="21"/>
              </w:rPr>
            </w:pPr>
            <w:r>
              <w:rPr>
                <w:rFonts w:hint="eastAsia"/>
                <w:kern w:val="0"/>
                <w:szCs w:val="21"/>
              </w:rPr>
              <w:t>投标内容</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kern w:val="0"/>
                <w:szCs w:val="21"/>
              </w:rPr>
            </w:pPr>
            <w:r>
              <w:rPr>
                <w:rFonts w:hint="eastAsia"/>
                <w:kern w:val="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top w:val="single" w:color="auto" w:sz="4" w:space="0"/>
              <w:left w:val="outset" w:color="auto" w:sz="6" w:space="0"/>
              <w:bottom w:val="outset" w:color="auto" w:sz="6" w:space="0"/>
              <w:right w:val="outset" w:color="auto" w:sz="6" w:space="0"/>
            </w:tcBorders>
            <w:vAlign w:val="center"/>
          </w:tcPr>
          <w:p>
            <w:pPr>
              <w:spacing w:line="480" w:lineRule="exact"/>
              <w:jc w:val="center"/>
              <w:rPr>
                <w:rFonts w:hint="eastAsia"/>
                <w:bCs/>
                <w:kern w:val="0"/>
                <w:szCs w:val="21"/>
              </w:rPr>
            </w:pPr>
          </w:p>
        </w:tc>
        <w:tc>
          <w:tcPr>
            <w:tcW w:w="691" w:type="dxa"/>
            <w:vMerge w:val="continue"/>
            <w:tcBorders>
              <w:top w:val="single" w:color="auto" w:sz="4" w:space="0"/>
              <w:left w:val="outset" w:color="auto" w:sz="6" w:space="0"/>
              <w:bottom w:val="outset" w:color="auto" w:sz="6" w:space="0"/>
              <w:right w:val="single" w:color="auto" w:sz="4" w:space="0"/>
            </w:tcBorders>
            <w:vAlign w:val="center"/>
          </w:tcPr>
          <w:p>
            <w:pPr>
              <w:spacing w:line="480" w:lineRule="exact"/>
              <w:jc w:val="center"/>
              <w:rPr>
                <w:rFonts w:hint="eastAsia"/>
                <w:bCs/>
                <w:kern w:val="0"/>
                <w:szCs w:val="21"/>
              </w:rPr>
            </w:pPr>
          </w:p>
        </w:tc>
        <w:tc>
          <w:tcPr>
            <w:tcW w:w="1732" w:type="dxa"/>
            <w:tcBorders>
              <w:top w:val="single" w:color="auto" w:sz="4" w:space="0"/>
              <w:left w:val="single" w:color="auto" w:sz="4" w:space="0"/>
              <w:bottom w:val="outset" w:color="auto" w:sz="6" w:space="0"/>
              <w:right w:val="outset" w:color="auto" w:sz="6" w:space="0"/>
            </w:tcBorders>
            <w:tcMar>
              <w:left w:w="75" w:type="dxa"/>
            </w:tcMar>
            <w:vAlign w:val="center"/>
          </w:tcPr>
          <w:p>
            <w:pPr>
              <w:spacing w:line="480" w:lineRule="exact"/>
              <w:jc w:val="center"/>
              <w:rPr>
                <w:rFonts w:hint="eastAsia"/>
                <w:kern w:val="0"/>
                <w:szCs w:val="21"/>
              </w:rPr>
            </w:pPr>
            <w:r>
              <w:rPr>
                <w:color w:val="000000"/>
              </w:rPr>
              <w:t>投标报价</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kern w:val="0"/>
                <w:szCs w:val="21"/>
              </w:rPr>
            </w:pPr>
            <w:r>
              <w:rPr>
                <w:kern w:val="0"/>
                <w:szCs w:val="21"/>
              </w:rPr>
              <w:t>符合第二章</w:t>
            </w:r>
            <w:r>
              <w:rPr>
                <w:rFonts w:hint="eastAsia"/>
                <w:kern w:val="0"/>
                <w:szCs w:val="21"/>
              </w:rPr>
              <w:t>“投标人须知”</w:t>
            </w:r>
            <w:r>
              <w:rPr>
                <w:kern w:val="0"/>
                <w:szCs w:val="21"/>
              </w:rPr>
              <w:t>第3.2款规定</w:t>
            </w:r>
            <w:r>
              <w:rPr>
                <w:rFonts w:hint="eastAsia"/>
                <w:kern w:val="0"/>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3" w:type="dxa"/>
            <w:vMerge w:val="continue"/>
            <w:tcBorders>
              <w:top w:val="single" w:color="auto" w:sz="4" w:space="0"/>
              <w:left w:val="outset" w:color="auto" w:sz="6" w:space="0"/>
              <w:bottom w:val="outset" w:color="auto" w:sz="6" w:space="0"/>
              <w:right w:val="outset" w:color="auto" w:sz="6" w:space="0"/>
            </w:tcBorders>
            <w:vAlign w:val="center"/>
          </w:tcPr>
          <w:p>
            <w:pPr>
              <w:spacing w:line="480" w:lineRule="exact"/>
              <w:jc w:val="center"/>
              <w:rPr>
                <w:rFonts w:hint="eastAsia"/>
                <w:bCs/>
                <w:kern w:val="0"/>
                <w:szCs w:val="21"/>
              </w:rPr>
            </w:pPr>
          </w:p>
        </w:tc>
        <w:tc>
          <w:tcPr>
            <w:tcW w:w="691" w:type="dxa"/>
            <w:vMerge w:val="continue"/>
            <w:tcBorders>
              <w:top w:val="single" w:color="auto" w:sz="4" w:space="0"/>
              <w:left w:val="outset" w:color="auto" w:sz="6" w:space="0"/>
              <w:bottom w:val="outset" w:color="auto" w:sz="6" w:space="0"/>
              <w:right w:val="single" w:color="auto" w:sz="4" w:space="0"/>
            </w:tcBorders>
            <w:vAlign w:val="center"/>
          </w:tcPr>
          <w:p>
            <w:pPr>
              <w:spacing w:line="480" w:lineRule="exact"/>
              <w:jc w:val="center"/>
              <w:rPr>
                <w:rFonts w:hint="eastAsia"/>
                <w:bCs/>
                <w:kern w:val="0"/>
                <w:szCs w:val="21"/>
              </w:rPr>
            </w:pPr>
          </w:p>
        </w:tc>
        <w:tc>
          <w:tcPr>
            <w:tcW w:w="1732" w:type="dxa"/>
            <w:tcBorders>
              <w:top w:val="single" w:color="auto" w:sz="4" w:space="0"/>
              <w:left w:val="single" w:color="auto" w:sz="4" w:space="0"/>
              <w:bottom w:val="outset" w:color="auto" w:sz="6" w:space="0"/>
              <w:right w:val="outset" w:color="auto" w:sz="6" w:space="0"/>
            </w:tcBorders>
            <w:tcMar>
              <w:left w:w="75" w:type="dxa"/>
            </w:tcMar>
            <w:vAlign w:val="center"/>
          </w:tcPr>
          <w:p>
            <w:pPr>
              <w:widowControl/>
              <w:spacing w:line="480" w:lineRule="exact"/>
              <w:jc w:val="center"/>
              <w:rPr>
                <w:rFonts w:hint="eastAsia"/>
                <w:kern w:val="0"/>
                <w:szCs w:val="21"/>
              </w:rPr>
            </w:pPr>
            <w:r>
              <w:rPr>
                <w:color w:val="000000"/>
                <w:kern w:val="0"/>
                <w:szCs w:val="21"/>
              </w:rPr>
              <w:t>其它情形</w:t>
            </w:r>
          </w:p>
        </w:tc>
        <w:tc>
          <w:tcPr>
            <w:tcW w:w="6523" w:type="dxa"/>
            <w:tcBorders>
              <w:top w:val="outset" w:color="auto" w:sz="6" w:space="0"/>
              <w:left w:val="outset" w:color="auto" w:sz="6" w:space="0"/>
              <w:bottom w:val="outset" w:color="auto" w:sz="6" w:space="0"/>
              <w:right w:val="outset" w:color="auto" w:sz="6" w:space="0"/>
            </w:tcBorders>
            <w:tcMar>
              <w:left w:w="75" w:type="dxa"/>
            </w:tcMar>
            <w:vAlign w:val="center"/>
          </w:tcPr>
          <w:p>
            <w:pPr>
              <w:widowControl/>
              <w:spacing w:line="480" w:lineRule="exact"/>
              <w:jc w:val="left"/>
              <w:rPr>
                <w:rFonts w:hint="eastAsia"/>
                <w:kern w:val="0"/>
                <w:szCs w:val="21"/>
              </w:rPr>
            </w:pPr>
            <w:r>
              <w:rPr>
                <w:kern w:val="0"/>
                <w:szCs w:val="21"/>
              </w:rPr>
              <w:t>投标文件中</w:t>
            </w:r>
            <w:r>
              <w:rPr>
                <w:rFonts w:hint="eastAsia"/>
                <w:kern w:val="0"/>
                <w:szCs w:val="21"/>
              </w:rPr>
              <w:t>不得</w:t>
            </w:r>
            <w:r>
              <w:rPr>
                <w:kern w:val="0"/>
                <w:szCs w:val="21"/>
              </w:rPr>
              <w:t>存在招标人不能接受</w:t>
            </w:r>
            <w:r>
              <w:rPr>
                <w:rFonts w:hint="eastAsia"/>
                <w:kern w:val="0"/>
                <w:szCs w:val="21"/>
                <w:lang w:eastAsia="zh-CN"/>
              </w:rPr>
              <w:t>的其他</w:t>
            </w:r>
            <w:r>
              <w:rPr>
                <w:kern w:val="0"/>
                <w:szCs w:val="21"/>
              </w:rPr>
              <w:t>实质性条件</w:t>
            </w:r>
            <w:r>
              <w:rPr>
                <w:rFonts w:hint="eastAsia"/>
                <w:kern w:val="0"/>
                <w:szCs w:val="21"/>
              </w:rPr>
              <w:t>。</w:t>
            </w:r>
          </w:p>
        </w:tc>
      </w:tr>
    </w:tbl>
    <w:p>
      <w:pPr>
        <w:rPr>
          <w:rFonts w:hint="eastAsia"/>
        </w:rPr>
      </w:pPr>
    </w:p>
    <w:p>
      <w:pPr>
        <w:spacing w:afterLines="50" w:line="400" w:lineRule="exact"/>
        <w:jc w:val="center"/>
        <w:outlineLvl w:val="2"/>
        <w:rPr>
          <w:rFonts w:hint="eastAsia" w:eastAsia="黑体"/>
          <w:bCs/>
          <w:sz w:val="24"/>
        </w:rPr>
      </w:pPr>
      <w:bookmarkStart w:id="269" w:name="_Toc460660173"/>
      <w:r>
        <w:rPr>
          <w:rFonts w:eastAsia="黑体"/>
          <w:szCs w:val="21"/>
        </w:rPr>
        <w:br w:type="page"/>
      </w:r>
      <w:r>
        <w:rPr>
          <w:rFonts w:hint="eastAsia" w:eastAsia="黑体"/>
          <w:bCs/>
          <w:sz w:val="24"/>
        </w:rPr>
        <w:t>商务及技术文件、报价文件详细评审标准</w:t>
      </w:r>
    </w:p>
    <w:tbl>
      <w:tblPr>
        <w:tblStyle w:val="55"/>
        <w:tblW w:w="50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24"/>
        <w:gridCol w:w="929"/>
        <w:gridCol w:w="1230"/>
        <w:gridCol w:w="6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pct"/>
            <w:gridSpan w:val="2"/>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条款号</w:t>
            </w:r>
          </w:p>
        </w:tc>
        <w:tc>
          <w:tcPr>
            <w:tcW w:w="460" w:type="pc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评分因素</w:t>
            </w:r>
          </w:p>
        </w:tc>
        <w:tc>
          <w:tcPr>
            <w:tcW w:w="610" w:type="pc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评分因素权重分值</w:t>
            </w:r>
          </w:p>
        </w:tc>
        <w:tc>
          <w:tcPr>
            <w:tcW w:w="3269" w:type="pc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restar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2.2.3（1）</w:t>
            </w:r>
          </w:p>
        </w:tc>
        <w:tc>
          <w:tcPr>
            <w:tcW w:w="359" w:type="pct"/>
            <w:vMerge w:val="restart"/>
            <w:vAlign w:val="center"/>
          </w:tcPr>
          <w:p>
            <w:pPr>
              <w:spacing w:line="400" w:lineRule="exact"/>
              <w:jc w:val="center"/>
              <w:rPr>
                <w:rFonts w:ascii="宋体" w:hAnsi="宋体" w:cs="宋体"/>
                <w:b/>
                <w:bCs/>
                <w:sz w:val="22"/>
                <w:szCs w:val="22"/>
              </w:rPr>
            </w:pPr>
            <w:r>
              <w:rPr>
                <w:rFonts w:hint="eastAsia" w:ascii="宋体" w:hAnsi="宋体" w:cs="宋体"/>
                <w:b/>
                <w:bCs/>
                <w:sz w:val="22"/>
                <w:szCs w:val="22"/>
              </w:rPr>
              <w:t>商务评分标准（17分）</w:t>
            </w:r>
          </w:p>
        </w:tc>
        <w:tc>
          <w:tcPr>
            <w:tcW w:w="460" w:type="pct"/>
            <w:vAlign w:val="center"/>
          </w:tcPr>
          <w:p>
            <w:pPr>
              <w:spacing w:line="400" w:lineRule="exact"/>
              <w:jc w:val="center"/>
              <w:rPr>
                <w:rFonts w:hint="eastAsia" w:ascii="宋体" w:hAnsi="宋体" w:cs="宋体"/>
                <w:b/>
                <w:bCs/>
                <w:sz w:val="22"/>
                <w:szCs w:val="22"/>
              </w:rPr>
            </w:pPr>
            <w:r>
              <w:rPr>
                <w:rFonts w:hint="eastAsia" w:ascii="宋体" w:hAnsi="宋体" w:cs="宋体"/>
                <w:sz w:val="22"/>
                <w:szCs w:val="22"/>
              </w:rPr>
              <w:t>认证证书</w:t>
            </w:r>
          </w:p>
        </w:tc>
        <w:tc>
          <w:tcPr>
            <w:tcW w:w="610" w:type="pct"/>
            <w:vAlign w:val="center"/>
          </w:tcPr>
          <w:p>
            <w:pPr>
              <w:widowControl/>
              <w:spacing w:line="400" w:lineRule="exact"/>
              <w:jc w:val="center"/>
              <w:rPr>
                <w:rFonts w:hint="eastAsia" w:ascii="宋体" w:hAnsi="宋体" w:cs="宋体"/>
                <w:b/>
                <w:bCs/>
                <w:sz w:val="22"/>
                <w:szCs w:val="22"/>
              </w:rPr>
            </w:pPr>
            <w:r>
              <w:rPr>
                <w:rFonts w:hint="eastAsia" w:ascii="宋体" w:hAnsi="宋体" w:cs="宋体"/>
                <w:bCs/>
                <w:kern w:val="0"/>
                <w:sz w:val="22"/>
                <w:szCs w:val="22"/>
              </w:rPr>
              <w:t>4分</w:t>
            </w:r>
          </w:p>
        </w:tc>
        <w:tc>
          <w:tcPr>
            <w:tcW w:w="3269" w:type="pct"/>
            <w:vAlign w:val="center"/>
          </w:tcPr>
          <w:p>
            <w:pPr>
              <w:spacing w:line="400" w:lineRule="exact"/>
              <w:rPr>
                <w:rFonts w:hint="eastAsia" w:ascii="宋体" w:hAnsi="宋体" w:cs="宋体"/>
                <w:sz w:val="22"/>
                <w:szCs w:val="22"/>
              </w:rPr>
            </w:pPr>
            <w:r>
              <w:rPr>
                <w:rFonts w:hint="eastAsia" w:ascii="宋体" w:hAnsi="宋体" w:cs="宋体"/>
                <w:sz w:val="22"/>
                <w:szCs w:val="22"/>
              </w:rPr>
              <w:t>投标人所投配电箱/配电柜</w:t>
            </w:r>
            <w:r>
              <w:rPr>
                <w:rFonts w:hint="eastAsia" w:ascii="宋体" w:hAnsi="宋体" w:cs="宋体"/>
                <w:sz w:val="22"/>
                <w:szCs w:val="22"/>
                <w:lang w:eastAsia="zh-CN"/>
              </w:rPr>
              <w:t>（</w:t>
            </w:r>
            <w:r>
              <w:rPr>
                <w:rFonts w:hint="eastAsia" w:ascii="宋体" w:hAnsi="宋体" w:cs="宋体"/>
                <w:sz w:val="22"/>
                <w:szCs w:val="22"/>
              </w:rPr>
              <w:t>须含本次招标配电箱（或配电柜）种类</w:t>
            </w:r>
            <w:r>
              <w:rPr>
                <w:rFonts w:hint="eastAsia" w:ascii="宋体" w:hAnsi="宋体" w:cs="宋体"/>
                <w:sz w:val="22"/>
                <w:szCs w:val="22"/>
                <w:lang w:eastAsia="zh-CN"/>
              </w:rPr>
              <w:t>）</w:t>
            </w:r>
            <w:r>
              <w:rPr>
                <w:rFonts w:hint="eastAsia" w:ascii="宋体" w:hAnsi="宋体" w:cs="宋体"/>
                <w:sz w:val="22"/>
                <w:szCs w:val="22"/>
              </w:rPr>
              <w:t>具有 CQC 产品认证证书的，每个得 1分，最多 4分。</w:t>
            </w:r>
          </w:p>
          <w:p>
            <w:pPr>
              <w:spacing w:line="400" w:lineRule="exact"/>
              <w:rPr>
                <w:rFonts w:hint="eastAsia" w:ascii="宋体" w:hAnsi="宋体" w:cs="宋体"/>
                <w:b/>
                <w:bCs/>
                <w:sz w:val="22"/>
                <w:szCs w:val="22"/>
              </w:rPr>
            </w:pPr>
            <w:r>
              <w:rPr>
                <w:rFonts w:hint="eastAsia" w:ascii="宋体" w:hAnsi="宋体" w:cs="宋体"/>
                <w:color w:val="0000FF"/>
                <w:sz w:val="22"/>
                <w:szCs w:val="22"/>
              </w:rPr>
              <w:t>注：投标文件中须提供报告书扫描件或影印件。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b/>
                <w:bCs/>
                <w:sz w:val="22"/>
                <w:szCs w:val="22"/>
              </w:rPr>
            </w:pPr>
            <w:r>
              <w:rPr>
                <w:rFonts w:hint="eastAsia" w:ascii="宋体" w:hAnsi="宋体" w:cs="宋体"/>
                <w:kern w:val="0"/>
                <w:sz w:val="22"/>
                <w:szCs w:val="22"/>
              </w:rPr>
              <w:t>业绩</w:t>
            </w:r>
          </w:p>
        </w:tc>
        <w:tc>
          <w:tcPr>
            <w:tcW w:w="610" w:type="pct"/>
            <w:vAlign w:val="center"/>
          </w:tcPr>
          <w:p>
            <w:pPr>
              <w:spacing w:line="400" w:lineRule="exact"/>
              <w:jc w:val="center"/>
              <w:rPr>
                <w:rFonts w:hint="eastAsia" w:ascii="宋体" w:hAnsi="宋体" w:cs="宋体"/>
                <w:b/>
                <w:bCs/>
                <w:sz w:val="22"/>
                <w:szCs w:val="22"/>
              </w:rPr>
            </w:pPr>
            <w:r>
              <w:rPr>
                <w:rFonts w:hint="eastAsia" w:ascii="宋体" w:hAnsi="宋体" w:cs="宋体"/>
                <w:sz w:val="22"/>
                <w:szCs w:val="22"/>
              </w:rPr>
              <w:t>0-9分</w:t>
            </w:r>
          </w:p>
        </w:tc>
        <w:tc>
          <w:tcPr>
            <w:tcW w:w="3269" w:type="pct"/>
            <w:vAlign w:val="center"/>
          </w:tcPr>
          <w:p>
            <w:pPr>
              <w:spacing w:line="400" w:lineRule="exact"/>
              <w:rPr>
                <w:rFonts w:hint="eastAsia" w:ascii="宋体" w:hAnsi="宋体" w:cs="宋体"/>
                <w:sz w:val="22"/>
                <w:szCs w:val="22"/>
              </w:rPr>
            </w:pPr>
            <w:r>
              <w:rPr>
                <w:rFonts w:hint="eastAsia" w:ascii="宋体" w:hAnsi="宋体" w:cs="宋体"/>
                <w:sz w:val="22"/>
                <w:szCs w:val="22"/>
              </w:rPr>
              <w:t xml:space="preserve">2017 年 1 月 1 日（以合同签订时间为准）以来，投标人具有单项合同金额不少于600万元的配电箱或配电柜或（配电箱和配电柜）供货业绩，在资格审查1个业绩的基础上每增加一个业绩的得 3 分，最多 9 分。 </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注：</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 xml:space="preserve">1.资格审查业绩不得分。 </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 xml:space="preserve">2.投标人应按下列规定提供业绩证明资料： </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 xml:space="preserve">（1）合同； </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 xml:space="preserve">（2）供货完毕并验收合格的相关证明文件（如验收证书或买方开具的证明等）； </w:t>
            </w:r>
          </w:p>
          <w:p>
            <w:pPr>
              <w:spacing w:line="400" w:lineRule="exact"/>
              <w:rPr>
                <w:rFonts w:hint="eastAsia" w:ascii="宋体" w:hAnsi="宋体" w:cs="宋体"/>
                <w:color w:val="0A13C3"/>
                <w:sz w:val="22"/>
                <w:szCs w:val="22"/>
              </w:rPr>
            </w:pPr>
            <w:r>
              <w:rPr>
                <w:rFonts w:hint="eastAsia" w:ascii="宋体" w:hAnsi="宋体" w:cs="宋体"/>
                <w:color w:val="0A13C3"/>
                <w:sz w:val="22"/>
                <w:szCs w:val="22"/>
              </w:rPr>
              <w:t xml:space="preserve">（3）业绩合同可提供包含甲乙方、项目名称、单个合同中配电箱或配电柜或（配电箱和配电柜）供货金额、合同签订时间、合同供货范围、合同签字盖章页等关键内容的关键页的扫描件； </w:t>
            </w:r>
          </w:p>
          <w:p>
            <w:pPr>
              <w:spacing w:line="400" w:lineRule="exact"/>
              <w:rPr>
                <w:rFonts w:hint="eastAsia" w:ascii="宋体" w:hAnsi="宋体" w:cs="宋体"/>
                <w:b/>
                <w:bCs/>
                <w:sz w:val="22"/>
                <w:szCs w:val="22"/>
              </w:rPr>
            </w:pPr>
            <w:r>
              <w:rPr>
                <w:rFonts w:hint="eastAsia" w:ascii="宋体" w:hAnsi="宋体" w:cs="宋体"/>
                <w:color w:val="0A13C3"/>
                <w:sz w:val="22"/>
                <w:szCs w:val="22"/>
              </w:rPr>
              <w:t>（4）以上</w:t>
            </w:r>
            <w:r>
              <w:rPr>
                <w:rFonts w:hint="eastAsia" w:ascii="宋体" w:hAnsi="宋体" w:cs="宋体"/>
                <w:color w:val="0A13C3"/>
                <w:sz w:val="22"/>
                <w:szCs w:val="22"/>
                <w:lang w:eastAsia="zh-CN"/>
              </w:rPr>
              <w:t>涉及的</w:t>
            </w:r>
            <w:r>
              <w:rPr>
                <w:rFonts w:hint="eastAsia" w:ascii="宋体" w:hAnsi="宋体" w:cs="宋体"/>
                <w:color w:val="0A13C3"/>
                <w:sz w:val="22"/>
                <w:szCs w:val="22"/>
              </w:rPr>
              <w:t>材料扫描件信息应完整或能充分反映评审因素。如均未能明确反映出招标文件所要求的内容的（如单个合同中配电箱或配电柜（或配电箱和配电柜</w:t>
            </w:r>
            <w:r>
              <w:rPr>
                <w:rFonts w:hint="eastAsia" w:ascii="宋体" w:hAnsi="宋体" w:cs="宋体"/>
                <w:color w:val="0A13C3"/>
                <w:sz w:val="22"/>
                <w:szCs w:val="22"/>
                <w:lang w:eastAsia="zh-CN"/>
              </w:rPr>
              <w:t>）的</w:t>
            </w:r>
            <w:r>
              <w:rPr>
                <w:rFonts w:hint="eastAsia" w:ascii="宋体" w:hAnsi="宋体" w:cs="宋体"/>
                <w:color w:val="0A13C3"/>
                <w:sz w:val="22"/>
                <w:szCs w:val="22"/>
              </w:rPr>
              <w:t xml:space="preserve">供货金额、合同供货范围等），应另附买方（或合同甲方）出具的证明资料予以明确说明。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企业管理体系 </w:t>
            </w:r>
          </w:p>
          <w:p>
            <w:pPr>
              <w:spacing w:line="400" w:lineRule="exact"/>
              <w:jc w:val="center"/>
              <w:rPr>
                <w:rFonts w:hint="eastAsia" w:ascii="宋体" w:hAnsi="宋体" w:cs="宋体"/>
                <w:b/>
                <w:bCs/>
                <w:sz w:val="22"/>
                <w:szCs w:val="22"/>
              </w:rPr>
            </w:pPr>
          </w:p>
        </w:tc>
        <w:tc>
          <w:tcPr>
            <w:tcW w:w="610" w:type="pct"/>
            <w:vAlign w:val="center"/>
          </w:tcPr>
          <w:p>
            <w:pPr>
              <w:widowControl/>
              <w:spacing w:line="400" w:lineRule="exact"/>
              <w:jc w:val="center"/>
              <w:rPr>
                <w:rFonts w:hint="eastAsia" w:ascii="宋体" w:hAnsi="宋体" w:cs="宋体"/>
                <w:b/>
                <w:bCs/>
                <w:sz w:val="22"/>
                <w:szCs w:val="22"/>
              </w:rPr>
            </w:pPr>
            <w:r>
              <w:rPr>
                <w:rFonts w:hint="eastAsia" w:ascii="宋体" w:hAnsi="宋体" w:cs="宋体"/>
                <w:bCs/>
                <w:kern w:val="0"/>
                <w:sz w:val="22"/>
                <w:szCs w:val="22"/>
              </w:rPr>
              <w:t>0-4分</w:t>
            </w:r>
          </w:p>
        </w:tc>
        <w:tc>
          <w:tcPr>
            <w:tcW w:w="3269" w:type="pct"/>
            <w:vAlign w:val="center"/>
          </w:tcPr>
          <w:p>
            <w:pPr>
              <w:numPr>
                <w:ilvl w:val="0"/>
                <w:numId w:val="6"/>
              </w:numPr>
              <w:spacing w:line="400" w:lineRule="exact"/>
              <w:rPr>
                <w:rFonts w:hint="eastAsia" w:ascii="宋体" w:hAnsi="宋体" w:cs="宋体"/>
                <w:kern w:val="0"/>
                <w:sz w:val="22"/>
                <w:szCs w:val="22"/>
              </w:rPr>
            </w:pPr>
            <w:r>
              <w:rPr>
                <w:rFonts w:hint="eastAsia" w:ascii="宋体" w:hAnsi="宋体" w:cs="宋体"/>
                <w:kern w:val="0"/>
                <w:sz w:val="22"/>
                <w:szCs w:val="22"/>
              </w:rPr>
              <w:t>投标人具有国家认证认可监督管理委员会认可的认证机构颁发的质量管理体系认证证书和环境管理体系认证证书的，每具备一个</w:t>
            </w:r>
            <w:r>
              <w:rPr>
                <w:rFonts w:hint="eastAsia" w:ascii="宋体" w:hAnsi="宋体" w:cs="宋体"/>
                <w:kern w:val="0"/>
                <w:sz w:val="22"/>
                <w:szCs w:val="22"/>
                <w:lang w:eastAsia="zh-CN"/>
              </w:rPr>
              <w:t>的</w:t>
            </w:r>
            <w:r>
              <w:rPr>
                <w:rFonts w:hint="eastAsia" w:ascii="宋体" w:hAnsi="宋体" w:cs="宋体"/>
                <w:kern w:val="0"/>
                <w:sz w:val="22"/>
                <w:szCs w:val="22"/>
              </w:rPr>
              <w:t xml:space="preserve"> 1分，满分 2分。</w:t>
            </w:r>
          </w:p>
          <w:p>
            <w:pPr>
              <w:spacing w:line="400" w:lineRule="exact"/>
              <w:rPr>
                <w:rFonts w:hint="eastAsia" w:ascii="宋体" w:hAnsi="宋体" w:cs="宋体"/>
                <w:kern w:val="0"/>
                <w:sz w:val="22"/>
                <w:szCs w:val="22"/>
              </w:rPr>
            </w:pPr>
            <w:r>
              <w:rPr>
                <w:rFonts w:hint="eastAsia" w:ascii="宋体" w:hAnsi="宋体" w:cs="宋体"/>
                <w:color w:val="0A13C3"/>
                <w:kern w:val="0"/>
                <w:sz w:val="22"/>
                <w:szCs w:val="22"/>
              </w:rPr>
              <w:t>注：投标文件中须提供证书扫描件作为评审依据，证书中应能体现发证机构已获认监委认证或能体现该证书可在认监委网站查询，否则须同时在投标文件中提供在认监委网站对证书发证机构的查询截图作为评审依据。同类型体系证书仅计取一次。</w:t>
            </w:r>
          </w:p>
          <w:p>
            <w:pPr>
              <w:spacing w:line="400" w:lineRule="exact"/>
              <w:rPr>
                <w:rFonts w:hint="eastAsia" w:ascii="宋体" w:hAnsi="宋体" w:cs="宋体"/>
                <w:kern w:val="0"/>
                <w:sz w:val="22"/>
                <w:szCs w:val="22"/>
              </w:rPr>
            </w:pPr>
            <w:r>
              <w:rPr>
                <w:rFonts w:hint="eastAsia" w:ascii="宋体" w:hAnsi="宋体" w:cs="宋体"/>
                <w:kern w:val="0"/>
                <w:sz w:val="22"/>
                <w:szCs w:val="22"/>
              </w:rPr>
              <w:t>2.投标人具有两化融合管理体系评定证书的，得 2分。</w:t>
            </w:r>
          </w:p>
          <w:p>
            <w:pPr>
              <w:spacing w:line="400" w:lineRule="exact"/>
              <w:rPr>
                <w:rFonts w:hint="eastAsia" w:ascii="宋体" w:hAnsi="宋体" w:cs="宋体"/>
                <w:b/>
                <w:bCs/>
                <w:sz w:val="22"/>
                <w:szCs w:val="22"/>
              </w:rPr>
            </w:pPr>
            <w:r>
              <w:rPr>
                <w:rFonts w:hint="eastAsia" w:ascii="宋体" w:hAnsi="宋体" w:cs="宋体"/>
                <w:color w:val="0000FF"/>
                <w:kern w:val="0"/>
                <w:sz w:val="22"/>
                <w:szCs w:val="22"/>
              </w:rPr>
              <w:t>注：投标文件中提供证书扫描件作为评审依据。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restar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2.2.3（2）</w:t>
            </w:r>
          </w:p>
        </w:tc>
        <w:tc>
          <w:tcPr>
            <w:tcW w:w="359" w:type="pct"/>
            <w:vMerge w:val="restart"/>
            <w:vAlign w:val="center"/>
          </w:tcPr>
          <w:p>
            <w:pPr>
              <w:spacing w:line="400" w:lineRule="exact"/>
              <w:jc w:val="center"/>
              <w:rPr>
                <w:rFonts w:ascii="宋体" w:hAnsi="宋体" w:cs="宋体"/>
                <w:b/>
                <w:bCs/>
                <w:sz w:val="22"/>
                <w:szCs w:val="22"/>
              </w:rPr>
            </w:pPr>
            <w:r>
              <w:rPr>
                <w:rFonts w:hint="eastAsia" w:ascii="宋体" w:hAnsi="宋体" w:cs="宋体"/>
                <w:b/>
                <w:bCs/>
                <w:sz w:val="22"/>
                <w:szCs w:val="22"/>
              </w:rPr>
              <w:t>技术评分标准（33分）</w:t>
            </w:r>
          </w:p>
        </w:tc>
        <w:tc>
          <w:tcPr>
            <w:tcW w:w="460" w:type="pct"/>
            <w:vAlign w:val="center"/>
          </w:tcPr>
          <w:p>
            <w:pPr>
              <w:spacing w:line="400" w:lineRule="exact"/>
              <w:jc w:val="center"/>
              <w:rPr>
                <w:rFonts w:hint="eastAsia" w:ascii="宋体" w:hAnsi="宋体" w:cs="宋体"/>
                <w:b/>
                <w:bCs/>
                <w:sz w:val="22"/>
                <w:szCs w:val="22"/>
              </w:rPr>
            </w:pPr>
            <w:r>
              <w:rPr>
                <w:rFonts w:hint="eastAsia" w:ascii="宋体" w:hAnsi="宋体" w:cs="宋体"/>
                <w:bCs/>
                <w:sz w:val="22"/>
                <w:szCs w:val="22"/>
              </w:rPr>
              <w:t>生产厂家标准化生产、出厂、质检方案</w:t>
            </w:r>
          </w:p>
        </w:tc>
        <w:tc>
          <w:tcPr>
            <w:tcW w:w="610" w:type="pct"/>
            <w:vAlign w:val="center"/>
          </w:tcPr>
          <w:p>
            <w:pPr>
              <w:widowControl/>
              <w:spacing w:line="400" w:lineRule="exact"/>
              <w:jc w:val="center"/>
              <w:rPr>
                <w:rFonts w:hint="eastAsia" w:ascii="宋体" w:hAnsi="宋体" w:cs="宋体"/>
                <w:b/>
                <w:bCs/>
                <w:sz w:val="22"/>
                <w:szCs w:val="22"/>
              </w:rPr>
            </w:pPr>
            <w:r>
              <w:rPr>
                <w:rFonts w:hint="eastAsia" w:ascii="宋体" w:hAnsi="宋体" w:cs="宋体"/>
                <w:bCs/>
                <w:kern w:val="0"/>
                <w:sz w:val="22"/>
                <w:szCs w:val="22"/>
              </w:rPr>
              <w:t>0-7分</w:t>
            </w:r>
          </w:p>
        </w:tc>
        <w:tc>
          <w:tcPr>
            <w:tcW w:w="3269" w:type="pct"/>
            <w:vAlign w:val="center"/>
          </w:tcPr>
          <w:p>
            <w:pPr>
              <w:spacing w:line="400" w:lineRule="exact"/>
              <w:rPr>
                <w:rFonts w:hint="eastAsia" w:ascii="宋体" w:hAnsi="宋体" w:cs="宋体"/>
                <w:kern w:val="0"/>
                <w:sz w:val="22"/>
                <w:szCs w:val="22"/>
              </w:rPr>
            </w:pPr>
            <w:r>
              <w:rPr>
                <w:rFonts w:hint="eastAsia" w:ascii="宋体" w:hAnsi="宋体" w:cs="宋体"/>
                <w:kern w:val="0"/>
                <w:sz w:val="22"/>
                <w:szCs w:val="22"/>
              </w:rPr>
              <w:t>评委根据投标人提供的产品生产方案的完整性、标准化工艺、技术措施、质量保证措施、成品保护以及与其他单位的配合等方面进行综合打分。</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优秀的，得 5＜F≤7分； </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良好的，得 2＜F≤5 分； </w:t>
            </w:r>
          </w:p>
          <w:p>
            <w:pPr>
              <w:spacing w:line="400" w:lineRule="exact"/>
              <w:rPr>
                <w:rFonts w:hint="eastAsia" w:ascii="宋体" w:hAnsi="宋体" w:cs="宋体"/>
                <w:kern w:val="0"/>
                <w:sz w:val="22"/>
                <w:szCs w:val="22"/>
              </w:rPr>
            </w:pPr>
            <w:r>
              <w:rPr>
                <w:rFonts w:hint="eastAsia" w:ascii="宋体" w:hAnsi="宋体" w:cs="宋体"/>
                <w:kern w:val="0"/>
                <w:sz w:val="22"/>
                <w:szCs w:val="22"/>
              </w:rPr>
              <w:t>一般</w:t>
            </w:r>
            <w:r>
              <w:rPr>
                <w:rFonts w:hint="eastAsia" w:ascii="宋体" w:hAnsi="宋体" w:cs="宋体"/>
                <w:kern w:val="0"/>
                <w:sz w:val="22"/>
                <w:szCs w:val="22"/>
                <w:lang w:eastAsia="zh-CN"/>
              </w:rPr>
              <w:t>地</w:t>
            </w:r>
            <w:r>
              <w:rPr>
                <w:rFonts w:hint="eastAsia" w:ascii="宋体" w:hAnsi="宋体" w:cs="宋体"/>
                <w:kern w:val="0"/>
                <w:sz w:val="22"/>
                <w:szCs w:val="22"/>
              </w:rPr>
              <w:t xml:space="preserve">，得 0＜F≤2 分， </w:t>
            </w:r>
          </w:p>
          <w:p>
            <w:pPr>
              <w:spacing w:line="400" w:lineRule="exact"/>
              <w:rPr>
                <w:rFonts w:hint="eastAsia" w:ascii="宋体" w:hAnsi="宋体" w:cs="宋体"/>
                <w:b/>
                <w:bCs/>
                <w:sz w:val="22"/>
                <w:szCs w:val="22"/>
              </w:rPr>
            </w:pPr>
            <w:r>
              <w:rPr>
                <w:rFonts w:hint="eastAsia" w:ascii="宋体" w:hAnsi="宋体" w:cs="宋体"/>
                <w:color w:val="0000FF"/>
                <w:kern w:val="0"/>
                <w:sz w:val="22"/>
                <w:szCs w:val="22"/>
              </w:rPr>
              <w:t>未提供方案的不得分。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b/>
                <w:bCs/>
                <w:sz w:val="22"/>
                <w:szCs w:val="22"/>
              </w:rPr>
            </w:pPr>
            <w:r>
              <w:rPr>
                <w:rFonts w:hint="eastAsia" w:ascii="宋体" w:hAnsi="宋体" w:cs="宋体"/>
                <w:kern w:val="0"/>
                <w:sz w:val="22"/>
                <w:szCs w:val="22"/>
              </w:rPr>
              <w:t>售后服务方案</w:t>
            </w:r>
          </w:p>
        </w:tc>
        <w:tc>
          <w:tcPr>
            <w:tcW w:w="610" w:type="pct"/>
            <w:vAlign w:val="center"/>
          </w:tcPr>
          <w:p>
            <w:pPr>
              <w:spacing w:line="400" w:lineRule="exact"/>
              <w:jc w:val="center"/>
              <w:rPr>
                <w:rFonts w:hint="eastAsia" w:ascii="宋体" w:hAnsi="宋体" w:cs="宋体"/>
                <w:b/>
                <w:bCs/>
                <w:sz w:val="22"/>
                <w:szCs w:val="22"/>
              </w:rPr>
            </w:pPr>
            <w:r>
              <w:rPr>
                <w:rFonts w:hint="eastAsia" w:ascii="宋体" w:hAnsi="宋体" w:cs="宋体"/>
                <w:sz w:val="22"/>
                <w:szCs w:val="22"/>
              </w:rPr>
              <w:t>0-7分</w:t>
            </w:r>
          </w:p>
        </w:tc>
        <w:tc>
          <w:tcPr>
            <w:tcW w:w="3269" w:type="pct"/>
            <w:vAlign w:val="center"/>
          </w:tcPr>
          <w:p>
            <w:pPr>
              <w:widowControl/>
              <w:spacing w:line="400" w:lineRule="exact"/>
              <w:rPr>
                <w:rFonts w:hint="eastAsia" w:ascii="宋体" w:hAnsi="宋体" w:cs="宋体"/>
                <w:kern w:val="0"/>
                <w:sz w:val="22"/>
                <w:szCs w:val="22"/>
              </w:rPr>
            </w:pPr>
            <w:r>
              <w:rPr>
                <w:rFonts w:hint="eastAsia" w:ascii="宋体" w:hAnsi="宋体" w:cs="宋体"/>
                <w:kern w:val="0"/>
                <w:sz w:val="22"/>
                <w:szCs w:val="22"/>
              </w:rPr>
              <w:t>评委根据投标人提</w:t>
            </w:r>
            <w:r>
              <w:rPr>
                <w:rFonts w:hint="eastAsia" w:ascii="宋体" w:hAnsi="宋体" w:cs="宋体"/>
                <w:kern w:val="0"/>
                <w:sz w:val="22"/>
                <w:szCs w:val="22"/>
                <w:lang w:eastAsia="zh-CN"/>
              </w:rPr>
              <w:t>供的</w:t>
            </w:r>
            <w:bookmarkStart w:id="527" w:name="_GoBack"/>
            <w:bookmarkEnd w:id="527"/>
            <w:r>
              <w:rPr>
                <w:rFonts w:hint="eastAsia" w:ascii="宋体" w:hAnsi="宋体" w:cs="宋体"/>
                <w:kern w:val="0"/>
                <w:sz w:val="22"/>
                <w:szCs w:val="22"/>
              </w:rPr>
              <w:t>质保期及售后服务保障方案，科学合理，切实可行，售后服务完备合理性进行综合打分。质保期内提供 24 小时现场服务；服务保障体系是否完整、可靠，服务措施是否详尽、合理、完备，服务快捷周到，收费明确、条件优惠。评委根据方案内容的完整性、可行性酌情给分：</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优秀的，得 5＜F≤7分； </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良好的，得 2＜F≤5 分； </w:t>
            </w:r>
          </w:p>
          <w:p>
            <w:pPr>
              <w:spacing w:line="400" w:lineRule="exact"/>
              <w:rPr>
                <w:rFonts w:hint="eastAsia" w:ascii="宋体" w:hAnsi="宋体" w:cs="宋体"/>
                <w:kern w:val="0"/>
                <w:sz w:val="22"/>
                <w:szCs w:val="22"/>
              </w:rPr>
            </w:pPr>
            <w:r>
              <w:rPr>
                <w:rFonts w:hint="eastAsia" w:ascii="宋体" w:hAnsi="宋体" w:cs="宋体"/>
                <w:kern w:val="0"/>
                <w:sz w:val="22"/>
                <w:szCs w:val="22"/>
              </w:rPr>
              <w:t>一般</w:t>
            </w:r>
            <w:r>
              <w:rPr>
                <w:rFonts w:hint="eastAsia" w:ascii="宋体" w:hAnsi="宋体" w:cs="宋体"/>
                <w:kern w:val="0"/>
                <w:sz w:val="22"/>
                <w:szCs w:val="22"/>
                <w:lang w:eastAsia="zh-CN"/>
              </w:rPr>
              <w:t>地</w:t>
            </w:r>
            <w:r>
              <w:rPr>
                <w:rFonts w:hint="eastAsia" w:ascii="宋体" w:hAnsi="宋体" w:cs="宋体"/>
                <w:kern w:val="0"/>
                <w:sz w:val="22"/>
                <w:szCs w:val="22"/>
              </w:rPr>
              <w:t xml:space="preserve">，得 0＜F≤2 分， </w:t>
            </w:r>
          </w:p>
          <w:p>
            <w:pPr>
              <w:widowControl/>
              <w:spacing w:line="400" w:lineRule="exact"/>
              <w:rPr>
                <w:rFonts w:hint="eastAsia" w:ascii="宋体" w:hAnsi="宋体" w:cs="宋体"/>
                <w:b/>
                <w:bCs/>
                <w:sz w:val="22"/>
                <w:szCs w:val="22"/>
              </w:rPr>
            </w:pPr>
            <w:r>
              <w:rPr>
                <w:rFonts w:hint="eastAsia" w:ascii="宋体" w:hAnsi="宋体" w:cs="宋体"/>
                <w:color w:val="0000FF"/>
                <w:kern w:val="0"/>
                <w:sz w:val="22"/>
                <w:szCs w:val="22"/>
              </w:rPr>
              <w:t>未提供方案的不得分。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投标人综合实力</w:t>
            </w:r>
          </w:p>
        </w:tc>
        <w:tc>
          <w:tcPr>
            <w:tcW w:w="610" w:type="pct"/>
            <w:vAlign w:val="center"/>
          </w:tcPr>
          <w:p>
            <w:pPr>
              <w:spacing w:line="400" w:lineRule="exact"/>
              <w:jc w:val="center"/>
              <w:rPr>
                <w:rFonts w:hint="eastAsia" w:ascii="宋体" w:hAnsi="宋体" w:cs="宋体"/>
                <w:sz w:val="22"/>
                <w:szCs w:val="22"/>
              </w:rPr>
            </w:pPr>
            <w:r>
              <w:rPr>
                <w:rFonts w:hint="eastAsia" w:ascii="宋体" w:hAnsi="宋体" w:cs="宋体"/>
                <w:sz w:val="22"/>
                <w:szCs w:val="22"/>
              </w:rPr>
              <w:t>0-7分</w:t>
            </w:r>
          </w:p>
        </w:tc>
        <w:tc>
          <w:tcPr>
            <w:tcW w:w="3269" w:type="pct"/>
            <w:vAlign w:val="center"/>
          </w:tcPr>
          <w:p>
            <w:pPr>
              <w:widowControl/>
              <w:spacing w:line="400" w:lineRule="exact"/>
              <w:rPr>
                <w:rFonts w:hint="eastAsia" w:ascii="宋体" w:hAnsi="宋体" w:cs="宋体"/>
                <w:kern w:val="0"/>
                <w:sz w:val="22"/>
                <w:szCs w:val="22"/>
              </w:rPr>
            </w:pPr>
            <w:r>
              <w:rPr>
                <w:rFonts w:hint="eastAsia" w:ascii="宋体" w:hAnsi="宋体" w:cs="宋体"/>
                <w:kern w:val="0"/>
                <w:sz w:val="22"/>
                <w:szCs w:val="22"/>
              </w:rPr>
              <w:t>评委根据投标人信誉、履约能力、员工人数、生产设备、业务范围等方面进行综合比较评分。</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优秀的，得 5＜F≤7分； </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良好的，得 2＜F≤5 分； </w:t>
            </w:r>
          </w:p>
          <w:p>
            <w:pPr>
              <w:spacing w:line="400" w:lineRule="exact"/>
              <w:rPr>
                <w:rFonts w:hint="eastAsia" w:ascii="宋体" w:hAnsi="宋体" w:cs="宋体"/>
                <w:kern w:val="0"/>
                <w:sz w:val="22"/>
                <w:szCs w:val="22"/>
              </w:rPr>
            </w:pPr>
            <w:r>
              <w:rPr>
                <w:rFonts w:hint="eastAsia" w:ascii="宋体" w:hAnsi="宋体" w:cs="宋体"/>
                <w:kern w:val="0"/>
                <w:sz w:val="22"/>
                <w:szCs w:val="22"/>
              </w:rPr>
              <w:t>一般</w:t>
            </w:r>
            <w:r>
              <w:rPr>
                <w:rFonts w:hint="eastAsia" w:ascii="宋体" w:hAnsi="宋体" w:cs="宋体"/>
                <w:kern w:val="0"/>
                <w:sz w:val="22"/>
                <w:szCs w:val="22"/>
                <w:lang w:eastAsia="zh-CN"/>
              </w:rPr>
              <w:t>地</w:t>
            </w:r>
            <w:r>
              <w:rPr>
                <w:rFonts w:hint="eastAsia" w:ascii="宋体" w:hAnsi="宋体" w:cs="宋体"/>
                <w:kern w:val="0"/>
                <w:sz w:val="22"/>
                <w:szCs w:val="22"/>
              </w:rPr>
              <w:t xml:space="preserve">，得 0＜F≤2 分， </w:t>
            </w:r>
          </w:p>
          <w:p>
            <w:pPr>
              <w:widowControl/>
              <w:spacing w:line="400" w:lineRule="exact"/>
              <w:rPr>
                <w:rFonts w:hint="eastAsia" w:ascii="宋体" w:hAnsi="宋体" w:cs="宋体"/>
                <w:kern w:val="0"/>
                <w:sz w:val="22"/>
                <w:szCs w:val="22"/>
              </w:rPr>
            </w:pPr>
            <w:r>
              <w:rPr>
                <w:rFonts w:hint="eastAsia" w:ascii="宋体" w:hAnsi="宋体" w:cs="宋体"/>
                <w:color w:val="0000FF"/>
                <w:kern w:val="0"/>
                <w:sz w:val="22"/>
                <w:szCs w:val="22"/>
              </w:rPr>
              <w:t>未提供方案的不得分。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本地化服务方案</w:t>
            </w:r>
          </w:p>
        </w:tc>
        <w:tc>
          <w:tcPr>
            <w:tcW w:w="610" w:type="pct"/>
            <w:vAlign w:val="center"/>
          </w:tcPr>
          <w:p>
            <w:pPr>
              <w:spacing w:line="400" w:lineRule="exact"/>
              <w:jc w:val="center"/>
              <w:rPr>
                <w:rFonts w:hint="eastAsia" w:ascii="宋体" w:hAnsi="宋体" w:cs="宋体"/>
                <w:sz w:val="22"/>
                <w:szCs w:val="22"/>
              </w:rPr>
            </w:pPr>
            <w:r>
              <w:rPr>
                <w:rFonts w:hint="eastAsia" w:ascii="宋体" w:hAnsi="宋体" w:cs="宋体"/>
                <w:sz w:val="22"/>
                <w:szCs w:val="22"/>
              </w:rPr>
              <w:t>0-6分</w:t>
            </w:r>
          </w:p>
        </w:tc>
        <w:tc>
          <w:tcPr>
            <w:tcW w:w="3269" w:type="pct"/>
            <w:vAlign w:val="center"/>
          </w:tcPr>
          <w:p>
            <w:pPr>
              <w:widowControl/>
              <w:spacing w:line="400" w:lineRule="exact"/>
              <w:rPr>
                <w:rFonts w:hint="eastAsia" w:ascii="宋体" w:hAnsi="宋体" w:cs="宋体"/>
                <w:kern w:val="0"/>
                <w:sz w:val="22"/>
                <w:szCs w:val="22"/>
              </w:rPr>
            </w:pPr>
            <w:r>
              <w:rPr>
                <w:rFonts w:hint="eastAsia" w:ascii="宋体" w:hAnsi="宋体" w:cs="宋体"/>
                <w:kern w:val="0"/>
                <w:sz w:val="22"/>
                <w:szCs w:val="22"/>
              </w:rPr>
              <w:t>对本地化服务方案的完善性、可操</w:t>
            </w:r>
            <w:r>
              <w:rPr>
                <w:rFonts w:hint="eastAsia" w:ascii="宋体" w:hAnsi="宋体" w:cs="宋体"/>
                <w:kern w:val="0"/>
                <w:sz w:val="22"/>
                <w:szCs w:val="22"/>
                <w:lang w:eastAsia="zh-CN"/>
              </w:rPr>
              <w:t>性</w:t>
            </w:r>
            <w:r>
              <w:rPr>
                <w:rFonts w:hint="eastAsia" w:ascii="宋体" w:hAnsi="宋体" w:cs="宋体"/>
                <w:kern w:val="0"/>
                <w:sz w:val="22"/>
                <w:szCs w:val="22"/>
              </w:rPr>
              <w:t>、响应及时性以及本地化服务人员的技术能力等方面进行综</w:t>
            </w:r>
            <w:r>
              <w:rPr>
                <w:rFonts w:hint="eastAsia" w:ascii="宋体" w:hAnsi="宋体" w:cs="宋体"/>
                <w:kern w:val="0"/>
                <w:sz w:val="22"/>
                <w:szCs w:val="22"/>
                <w:lang w:eastAsia="zh-CN"/>
              </w:rPr>
              <w:t>合评审</w:t>
            </w:r>
            <w:r>
              <w:rPr>
                <w:rFonts w:hint="eastAsia" w:ascii="宋体" w:hAnsi="宋体" w:cs="宋体"/>
                <w:kern w:val="0"/>
                <w:sz w:val="22"/>
                <w:szCs w:val="22"/>
              </w:rPr>
              <w:t>。</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优秀的，得 4＜F≤6分； </w:t>
            </w:r>
          </w:p>
          <w:p>
            <w:pPr>
              <w:spacing w:line="400" w:lineRule="exact"/>
              <w:rPr>
                <w:rFonts w:hint="eastAsia" w:ascii="宋体" w:hAnsi="宋体" w:cs="宋体"/>
                <w:kern w:val="0"/>
                <w:sz w:val="22"/>
                <w:szCs w:val="22"/>
              </w:rPr>
            </w:pPr>
            <w:r>
              <w:rPr>
                <w:rFonts w:hint="eastAsia" w:ascii="宋体" w:hAnsi="宋体" w:cs="宋体"/>
                <w:kern w:val="0"/>
                <w:sz w:val="22"/>
                <w:szCs w:val="22"/>
              </w:rPr>
              <w:t xml:space="preserve">良好的，得 2＜F≤4 分； </w:t>
            </w:r>
          </w:p>
          <w:p>
            <w:pPr>
              <w:spacing w:line="400" w:lineRule="exact"/>
              <w:rPr>
                <w:rFonts w:hint="eastAsia" w:ascii="宋体" w:hAnsi="宋体" w:cs="宋体"/>
                <w:kern w:val="0"/>
                <w:sz w:val="22"/>
                <w:szCs w:val="22"/>
              </w:rPr>
            </w:pPr>
            <w:r>
              <w:rPr>
                <w:rFonts w:hint="eastAsia" w:ascii="宋体" w:hAnsi="宋体" w:cs="宋体"/>
                <w:kern w:val="0"/>
                <w:sz w:val="22"/>
                <w:szCs w:val="22"/>
              </w:rPr>
              <w:t>一般</w:t>
            </w:r>
            <w:r>
              <w:rPr>
                <w:rFonts w:hint="eastAsia" w:ascii="宋体" w:hAnsi="宋体" w:cs="宋体"/>
                <w:kern w:val="0"/>
                <w:sz w:val="22"/>
                <w:szCs w:val="22"/>
                <w:lang w:eastAsia="zh-CN"/>
              </w:rPr>
              <w:t>地</w:t>
            </w:r>
            <w:r>
              <w:rPr>
                <w:rFonts w:hint="eastAsia" w:ascii="宋体" w:hAnsi="宋体" w:cs="宋体"/>
                <w:kern w:val="0"/>
                <w:sz w:val="22"/>
                <w:szCs w:val="22"/>
              </w:rPr>
              <w:t xml:space="preserve">，得 0＜F≤2 分，  </w:t>
            </w:r>
          </w:p>
          <w:p>
            <w:pPr>
              <w:widowControl/>
              <w:spacing w:line="400" w:lineRule="exact"/>
              <w:rPr>
                <w:rFonts w:hint="eastAsia" w:ascii="宋体" w:hAnsi="宋体" w:cs="宋体"/>
                <w:kern w:val="0"/>
                <w:sz w:val="22"/>
                <w:szCs w:val="22"/>
              </w:rPr>
            </w:pPr>
            <w:r>
              <w:rPr>
                <w:rFonts w:hint="eastAsia" w:ascii="宋体" w:hAnsi="宋体" w:cs="宋体"/>
                <w:color w:val="0000FF"/>
                <w:kern w:val="0"/>
                <w:sz w:val="22"/>
                <w:szCs w:val="22"/>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Merge w:val="continue"/>
            <w:vAlign w:val="center"/>
          </w:tcPr>
          <w:p>
            <w:pPr>
              <w:spacing w:line="400" w:lineRule="exact"/>
              <w:jc w:val="center"/>
              <w:rPr>
                <w:rFonts w:hint="eastAsia" w:ascii="宋体" w:hAnsi="宋体" w:cs="宋体"/>
                <w:b/>
                <w:bCs/>
                <w:sz w:val="22"/>
                <w:szCs w:val="22"/>
              </w:rPr>
            </w:pPr>
          </w:p>
        </w:tc>
        <w:tc>
          <w:tcPr>
            <w:tcW w:w="359" w:type="pct"/>
            <w:vMerge w:val="continue"/>
            <w:vAlign w:val="center"/>
          </w:tcPr>
          <w:p>
            <w:pPr>
              <w:spacing w:line="400" w:lineRule="exact"/>
              <w:jc w:val="center"/>
              <w:rPr>
                <w:rFonts w:hint="eastAsia" w:ascii="宋体" w:hAnsi="宋体" w:cs="宋体"/>
                <w:b/>
                <w:bCs/>
                <w:sz w:val="22"/>
                <w:szCs w:val="22"/>
              </w:rPr>
            </w:pPr>
          </w:p>
        </w:tc>
        <w:tc>
          <w:tcPr>
            <w:tcW w:w="460" w:type="pct"/>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配套的售后承诺及质保期</w:t>
            </w:r>
          </w:p>
        </w:tc>
        <w:tc>
          <w:tcPr>
            <w:tcW w:w="610" w:type="pct"/>
            <w:vAlign w:val="center"/>
          </w:tcPr>
          <w:p>
            <w:pPr>
              <w:spacing w:line="400" w:lineRule="exact"/>
              <w:jc w:val="center"/>
              <w:rPr>
                <w:rFonts w:hint="eastAsia" w:ascii="宋体" w:hAnsi="宋体" w:cs="宋体"/>
                <w:sz w:val="22"/>
                <w:szCs w:val="22"/>
              </w:rPr>
            </w:pPr>
            <w:r>
              <w:rPr>
                <w:rFonts w:hint="eastAsia" w:ascii="宋体" w:hAnsi="宋体" w:cs="宋体"/>
                <w:sz w:val="22"/>
                <w:szCs w:val="22"/>
              </w:rPr>
              <w:t>0-6分</w:t>
            </w:r>
          </w:p>
        </w:tc>
        <w:tc>
          <w:tcPr>
            <w:tcW w:w="3269" w:type="pct"/>
            <w:vAlign w:val="center"/>
          </w:tcPr>
          <w:p>
            <w:pPr>
              <w:spacing w:line="400" w:lineRule="exact"/>
              <w:rPr>
                <w:rFonts w:hint="eastAsia" w:ascii="宋体" w:hAnsi="宋体" w:cs="宋体"/>
                <w:kern w:val="0"/>
                <w:sz w:val="22"/>
                <w:szCs w:val="22"/>
              </w:rPr>
            </w:pPr>
            <w:r>
              <w:rPr>
                <w:rFonts w:hint="eastAsia" w:ascii="宋体" w:hAnsi="宋体" w:cs="宋体"/>
                <w:kern w:val="0"/>
                <w:sz w:val="22"/>
                <w:szCs w:val="22"/>
              </w:rPr>
              <w:t>投标人在响应招标文件要求的免费质保期（2年）的基础上，每个增加一年（不足 1 年不得分）得 2分，最多得 6 分。</w:t>
            </w:r>
          </w:p>
          <w:p>
            <w:pPr>
              <w:spacing w:line="400" w:lineRule="exact"/>
              <w:rPr>
                <w:rFonts w:hint="eastAsia" w:ascii="宋体" w:hAnsi="宋体" w:cs="宋体"/>
                <w:kern w:val="0"/>
                <w:sz w:val="22"/>
                <w:szCs w:val="22"/>
              </w:rPr>
            </w:pPr>
            <w:r>
              <w:rPr>
                <w:rFonts w:hint="eastAsia" w:ascii="宋体" w:hAnsi="宋体" w:cs="宋体"/>
                <w:kern w:val="0"/>
                <w:sz w:val="22"/>
                <w:szCs w:val="22"/>
              </w:rPr>
              <w:t>注：投标文件中提供承诺函扫描件（格式自拟）。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2.2.3（3）</w:t>
            </w:r>
          </w:p>
        </w:tc>
        <w:tc>
          <w:tcPr>
            <w:tcW w:w="820" w:type="pct"/>
            <w:gridSpan w:val="2"/>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投标报价评分</w:t>
            </w:r>
          </w:p>
          <w:p>
            <w:pPr>
              <w:spacing w:line="400" w:lineRule="exact"/>
              <w:jc w:val="center"/>
              <w:rPr>
                <w:rFonts w:ascii="宋体" w:hAnsi="宋体" w:cs="宋体"/>
                <w:sz w:val="22"/>
                <w:szCs w:val="22"/>
              </w:rPr>
            </w:pPr>
            <w:r>
              <w:rPr>
                <w:rFonts w:hint="eastAsia" w:ascii="宋体" w:hAnsi="宋体" w:cs="宋体"/>
                <w:b/>
                <w:bCs/>
                <w:sz w:val="22"/>
                <w:szCs w:val="22"/>
              </w:rPr>
              <w:t>（50分）</w:t>
            </w:r>
          </w:p>
        </w:tc>
        <w:tc>
          <w:tcPr>
            <w:tcW w:w="610" w:type="pct"/>
            <w:vAlign w:val="center"/>
          </w:tcPr>
          <w:p>
            <w:pPr>
              <w:spacing w:line="400" w:lineRule="exact"/>
              <w:jc w:val="center"/>
              <w:rPr>
                <w:rFonts w:hint="eastAsia" w:ascii="宋体" w:hAnsi="宋体" w:cs="宋体"/>
                <w:sz w:val="22"/>
                <w:szCs w:val="22"/>
              </w:rPr>
            </w:pPr>
            <w:r>
              <w:rPr>
                <w:rFonts w:hint="eastAsia" w:ascii="宋体" w:hAnsi="宋体" w:cs="宋体"/>
                <w:sz w:val="22"/>
                <w:szCs w:val="22"/>
              </w:rPr>
              <w:t>0-50分</w:t>
            </w:r>
          </w:p>
        </w:tc>
        <w:tc>
          <w:tcPr>
            <w:tcW w:w="3269" w:type="pct"/>
            <w:vAlign w:val="center"/>
          </w:tcPr>
          <w:p>
            <w:pPr>
              <w:spacing w:line="400" w:lineRule="exact"/>
              <w:rPr>
                <w:rFonts w:hint="eastAsia" w:ascii="宋体" w:hAnsi="宋体" w:cs="宋体"/>
                <w:sz w:val="22"/>
                <w:szCs w:val="22"/>
              </w:rPr>
            </w:pPr>
            <w:r>
              <w:rPr>
                <w:rFonts w:hint="eastAsia" w:ascii="宋体" w:hAnsi="宋体" w:cs="宋体"/>
                <w:sz w:val="22"/>
                <w:szCs w:val="22"/>
              </w:rPr>
              <w:t>（1）评标价的偏差率计算</w:t>
            </w:r>
          </w:p>
          <w:p>
            <w:pPr>
              <w:spacing w:line="400" w:lineRule="exact"/>
              <w:rPr>
                <w:rFonts w:hint="eastAsia" w:ascii="宋体" w:hAnsi="宋体" w:cs="宋体"/>
                <w:sz w:val="22"/>
                <w:szCs w:val="22"/>
              </w:rPr>
            </w:pPr>
            <w:r>
              <w:rPr>
                <w:rFonts w:hint="eastAsia" w:ascii="宋体" w:hAnsi="宋体" w:cs="宋体"/>
                <w:sz w:val="22"/>
                <w:szCs w:val="22"/>
              </w:rPr>
              <w:t>偏差率=100%×（投标人评标价-评标基准价）/评标基准价</w:t>
            </w:r>
          </w:p>
          <w:p>
            <w:pPr>
              <w:spacing w:line="400" w:lineRule="exact"/>
              <w:rPr>
                <w:rFonts w:hint="eastAsia" w:ascii="宋体" w:hAnsi="宋体" w:cs="宋体"/>
                <w:sz w:val="22"/>
                <w:szCs w:val="22"/>
              </w:rPr>
            </w:pPr>
            <w:r>
              <w:rPr>
                <w:rFonts w:hint="eastAsia" w:ascii="宋体" w:hAnsi="宋体" w:cs="宋体"/>
                <w:sz w:val="22"/>
                <w:szCs w:val="22"/>
              </w:rPr>
              <w:t>偏差率保留两位小数（小数点后第三位“四舍五入”），即为</w:t>
            </w:r>
          </w:p>
          <w:p>
            <w:pPr>
              <w:spacing w:line="400" w:lineRule="exact"/>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w:t>
            </w:r>
          </w:p>
          <w:p>
            <w:pPr>
              <w:spacing w:line="400" w:lineRule="exact"/>
              <w:rPr>
                <w:rFonts w:hint="eastAsia" w:ascii="宋体" w:hAnsi="宋体" w:cs="宋体"/>
                <w:sz w:val="22"/>
                <w:szCs w:val="22"/>
              </w:rPr>
            </w:pPr>
            <w:r>
              <w:rPr>
                <w:rFonts w:hint="eastAsia" w:ascii="宋体" w:hAnsi="宋体" w:cs="宋体"/>
                <w:sz w:val="22"/>
                <w:szCs w:val="22"/>
              </w:rPr>
              <w:t>（2）评标价得分计算</w:t>
            </w:r>
          </w:p>
          <w:p>
            <w:pPr>
              <w:spacing w:line="400" w:lineRule="exact"/>
              <w:rPr>
                <w:rFonts w:hint="eastAsia" w:ascii="宋体" w:hAnsi="宋体" w:cs="宋体"/>
                <w:sz w:val="22"/>
                <w:szCs w:val="22"/>
              </w:rPr>
            </w:pPr>
            <w:r>
              <w:rPr>
                <w:rFonts w:hint="eastAsia" w:ascii="宋体" w:hAnsi="宋体" w:cs="宋体"/>
                <w:sz w:val="22"/>
                <w:szCs w:val="22"/>
              </w:rPr>
              <w:t>①当投标人评标价＞评标基准价，评标价得分=F-偏差率</w:t>
            </w:r>
          </w:p>
          <w:p>
            <w:pPr>
              <w:spacing w:line="400" w:lineRule="exact"/>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100*E1</w:t>
            </w:r>
          </w:p>
          <w:p>
            <w:pPr>
              <w:spacing w:line="400" w:lineRule="exact"/>
              <w:rPr>
                <w:rFonts w:hint="eastAsia" w:ascii="宋体" w:hAnsi="宋体" w:cs="宋体"/>
                <w:sz w:val="22"/>
                <w:szCs w:val="22"/>
              </w:rPr>
            </w:pPr>
            <w:r>
              <w:rPr>
                <w:rFonts w:hint="eastAsia" w:ascii="宋体" w:hAnsi="宋体" w:cs="宋体"/>
                <w:sz w:val="22"/>
                <w:szCs w:val="22"/>
              </w:rPr>
              <w:t>②当投标人评标价≤评标基准价，评标价得分=F+偏差率</w:t>
            </w:r>
          </w:p>
          <w:p>
            <w:pPr>
              <w:spacing w:line="400" w:lineRule="exact"/>
              <w:rPr>
                <w:rFonts w:hint="eastAsia" w:ascii="宋体" w:hAnsi="宋体" w:cs="宋体"/>
                <w:sz w:val="22"/>
                <w:szCs w:val="22"/>
              </w:rPr>
            </w:pPr>
            <w:r>
              <w:rPr>
                <w:rFonts w:hint="eastAsia" w:ascii="宋体" w:hAnsi="宋体" w:cs="宋体"/>
                <w:sz w:val="22"/>
                <w:szCs w:val="22"/>
              </w:rPr>
              <w:t>*100*E2</w:t>
            </w:r>
          </w:p>
          <w:p>
            <w:pPr>
              <w:spacing w:line="400" w:lineRule="exact"/>
              <w:rPr>
                <w:rFonts w:hint="eastAsia" w:ascii="宋体" w:hAnsi="宋体" w:cs="宋体"/>
                <w:sz w:val="22"/>
                <w:szCs w:val="22"/>
              </w:rPr>
            </w:pPr>
            <w:r>
              <w:rPr>
                <w:rFonts w:hint="eastAsia" w:ascii="宋体" w:hAnsi="宋体" w:cs="宋体"/>
                <w:sz w:val="22"/>
                <w:szCs w:val="22"/>
              </w:rPr>
              <w:t>其中：F=50分。E1=1；E2=0.5。</w:t>
            </w:r>
          </w:p>
          <w:p>
            <w:pPr>
              <w:spacing w:line="400" w:lineRule="exact"/>
              <w:rPr>
                <w:rFonts w:hint="eastAsia" w:ascii="宋体" w:hAnsi="宋体" w:cs="宋体"/>
                <w:sz w:val="22"/>
                <w:szCs w:val="22"/>
              </w:rPr>
            </w:pPr>
            <w:r>
              <w:rPr>
                <w:rFonts w:hint="eastAsia" w:ascii="宋体" w:hAnsi="宋体" w:cs="宋体"/>
                <w:sz w:val="22"/>
                <w:szCs w:val="22"/>
              </w:rPr>
              <w:t>当评标价得分为负时，均按0分计算。评分分值计算</w:t>
            </w:r>
            <w:r>
              <w:rPr>
                <w:rFonts w:hint="eastAsia" w:ascii="宋体" w:hAnsi="宋体" w:cs="宋体"/>
                <w:sz w:val="22"/>
                <w:szCs w:val="22"/>
                <w:lang w:eastAsia="zh-CN"/>
              </w:rPr>
              <w:t>表</w:t>
            </w:r>
          </w:p>
          <w:p>
            <w:pPr>
              <w:spacing w:line="400" w:lineRule="exact"/>
              <w:rPr>
                <w:rFonts w:hint="eastAsia" w:ascii="宋体" w:hAnsi="宋体" w:cs="宋体"/>
                <w:sz w:val="22"/>
                <w:szCs w:val="22"/>
              </w:rPr>
            </w:pPr>
            <w:r>
              <w:rPr>
                <w:rFonts w:hint="eastAsia" w:ascii="宋体" w:hAnsi="宋体" w:cs="宋体"/>
                <w:sz w:val="22"/>
                <w:szCs w:val="22"/>
              </w:rPr>
              <w:t>留小数点后两位，小数点后第三位“四舍五入”。</w:t>
            </w:r>
          </w:p>
        </w:tc>
      </w:tr>
    </w:tbl>
    <w:p>
      <w:pPr>
        <w:keepNext/>
        <w:keepLines/>
        <w:spacing w:before="120" w:after="120" w:line="400" w:lineRule="exact"/>
        <w:outlineLvl w:val="1"/>
        <w:rPr>
          <w:rFonts w:eastAsia="黑体"/>
          <w:b/>
          <w:bCs/>
          <w:szCs w:val="21"/>
        </w:rPr>
        <w:sectPr>
          <w:footnotePr>
            <w:numFmt w:val="decimalEnclosedCircleChinese"/>
            <w:numRestart w:val="eachPage"/>
          </w:footnotePr>
          <w:pgSz w:w="11907" w:h="16840"/>
          <w:pgMar w:top="1440" w:right="1080" w:bottom="1440" w:left="1080" w:header="799" w:footer="907" w:gutter="0"/>
          <w:cols w:space="720" w:num="1"/>
          <w:titlePg/>
          <w:docGrid w:linePitch="286" w:charSpace="0"/>
        </w:sectPr>
      </w:pPr>
    </w:p>
    <w:bookmarkEnd w:id="269"/>
    <w:p>
      <w:pPr>
        <w:keepNext/>
        <w:keepLines/>
        <w:spacing w:line="480" w:lineRule="exact"/>
        <w:outlineLvl w:val="1"/>
        <w:rPr>
          <w:rFonts w:hint="eastAsia" w:ascii="宋体" w:hAnsi="宋体" w:cs="宋体"/>
          <w:b/>
          <w:bCs/>
          <w:sz w:val="22"/>
          <w:szCs w:val="22"/>
        </w:rPr>
      </w:pPr>
      <w:bookmarkStart w:id="270" w:name="_Toc16005"/>
      <w:r>
        <w:rPr>
          <w:rFonts w:hint="eastAsia" w:ascii="宋体" w:hAnsi="宋体" w:cs="宋体"/>
          <w:b/>
          <w:bCs/>
          <w:sz w:val="22"/>
          <w:szCs w:val="22"/>
        </w:rPr>
        <w:t>1. 评标方法</w:t>
      </w:r>
      <w:bookmarkEnd w:id="270"/>
    </w:p>
    <w:p>
      <w:pPr>
        <w:keepNext/>
        <w:keepLines/>
        <w:spacing w:line="480" w:lineRule="exact"/>
        <w:ind w:firstLine="440" w:firstLineChars="200"/>
        <w:outlineLvl w:val="1"/>
        <w:rPr>
          <w:rFonts w:hint="eastAsia" w:ascii="宋体" w:hAnsi="宋体" w:cs="宋体"/>
          <w:sz w:val="22"/>
          <w:szCs w:val="22"/>
        </w:rPr>
      </w:pPr>
      <w:bookmarkStart w:id="271" w:name="_Toc24269"/>
      <w:r>
        <w:rPr>
          <w:rFonts w:hint="eastAsia" w:ascii="宋体" w:hAnsi="宋体" w:cs="宋体"/>
          <w:sz w:val="22"/>
          <w:szCs w:val="22"/>
        </w:rPr>
        <w:t>本次评标采用综合评估法（一次平均）。评标委员会对满足招标文件实质性要求的投标文件，按照本章第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bookmarkEnd w:id="271"/>
    </w:p>
    <w:p>
      <w:pPr>
        <w:keepNext/>
        <w:keepLines/>
        <w:spacing w:line="480" w:lineRule="exact"/>
        <w:outlineLvl w:val="1"/>
        <w:rPr>
          <w:rFonts w:hint="eastAsia" w:ascii="宋体" w:hAnsi="宋体" w:cs="宋体"/>
          <w:b/>
          <w:bCs/>
          <w:sz w:val="22"/>
          <w:szCs w:val="22"/>
        </w:rPr>
      </w:pPr>
      <w:bookmarkStart w:id="272" w:name="_Toc2961"/>
      <w:r>
        <w:rPr>
          <w:rFonts w:hint="eastAsia" w:ascii="宋体" w:hAnsi="宋体" w:cs="宋体"/>
          <w:b/>
          <w:bCs/>
          <w:sz w:val="22"/>
          <w:szCs w:val="22"/>
        </w:rPr>
        <w:t>2. 评审标准</w:t>
      </w:r>
      <w:bookmarkEnd w:id="272"/>
    </w:p>
    <w:p>
      <w:pPr>
        <w:keepNext/>
        <w:keepLines/>
        <w:spacing w:line="480" w:lineRule="exact"/>
        <w:ind w:firstLine="440" w:firstLineChars="200"/>
        <w:outlineLvl w:val="1"/>
        <w:rPr>
          <w:rFonts w:hint="eastAsia" w:ascii="宋体" w:hAnsi="宋体" w:cs="宋体"/>
          <w:sz w:val="22"/>
          <w:szCs w:val="22"/>
        </w:rPr>
      </w:pPr>
      <w:bookmarkStart w:id="273" w:name="_Toc26271"/>
      <w:r>
        <w:rPr>
          <w:rFonts w:hint="eastAsia" w:ascii="宋体" w:hAnsi="宋体" w:cs="宋体"/>
          <w:sz w:val="22"/>
          <w:szCs w:val="22"/>
        </w:rPr>
        <w:t>2.1 初步评审标准</w:t>
      </w:r>
      <w:bookmarkEnd w:id="273"/>
    </w:p>
    <w:p>
      <w:pPr>
        <w:keepNext/>
        <w:keepLines/>
        <w:spacing w:line="480" w:lineRule="exact"/>
        <w:ind w:firstLine="440" w:firstLineChars="200"/>
        <w:outlineLvl w:val="1"/>
        <w:rPr>
          <w:rFonts w:hint="eastAsia" w:ascii="宋体" w:hAnsi="宋体" w:cs="宋体"/>
          <w:sz w:val="22"/>
          <w:szCs w:val="22"/>
        </w:rPr>
      </w:pPr>
      <w:bookmarkStart w:id="274" w:name="_Toc21208"/>
      <w:r>
        <w:rPr>
          <w:rFonts w:hint="eastAsia" w:ascii="宋体" w:hAnsi="宋体" w:cs="宋体"/>
          <w:sz w:val="22"/>
          <w:szCs w:val="22"/>
        </w:rPr>
        <w:t>2.1.1 形式评审标准：见评标办法前附表。</w:t>
      </w:r>
      <w:bookmarkEnd w:id="274"/>
    </w:p>
    <w:p>
      <w:pPr>
        <w:keepNext/>
        <w:keepLines/>
        <w:spacing w:line="480" w:lineRule="exact"/>
        <w:ind w:firstLine="440" w:firstLineChars="200"/>
        <w:outlineLvl w:val="1"/>
        <w:rPr>
          <w:rFonts w:hint="eastAsia" w:ascii="宋体" w:hAnsi="宋体" w:cs="宋体"/>
          <w:sz w:val="22"/>
          <w:szCs w:val="22"/>
        </w:rPr>
      </w:pPr>
      <w:bookmarkStart w:id="275" w:name="_Toc29105"/>
      <w:r>
        <w:rPr>
          <w:rFonts w:hint="eastAsia" w:ascii="宋体" w:hAnsi="宋体" w:cs="宋体"/>
          <w:sz w:val="22"/>
          <w:szCs w:val="22"/>
        </w:rPr>
        <w:t>2.1.2 资格评审标准：见评标办法前附表。</w:t>
      </w:r>
      <w:bookmarkEnd w:id="275"/>
    </w:p>
    <w:p>
      <w:pPr>
        <w:keepNext/>
        <w:keepLines/>
        <w:spacing w:line="480" w:lineRule="exact"/>
        <w:ind w:firstLine="440" w:firstLineChars="200"/>
        <w:outlineLvl w:val="1"/>
        <w:rPr>
          <w:rFonts w:hint="eastAsia" w:ascii="宋体" w:hAnsi="宋体" w:cs="宋体"/>
          <w:sz w:val="22"/>
          <w:szCs w:val="22"/>
        </w:rPr>
      </w:pPr>
      <w:bookmarkStart w:id="276" w:name="_Toc6019"/>
      <w:r>
        <w:rPr>
          <w:rFonts w:hint="eastAsia" w:ascii="宋体" w:hAnsi="宋体" w:cs="宋体"/>
          <w:sz w:val="22"/>
          <w:szCs w:val="22"/>
        </w:rPr>
        <w:t>2.1.3 响应性评审标准：见评标办法前附表。</w:t>
      </w:r>
      <w:bookmarkEnd w:id="276"/>
    </w:p>
    <w:p>
      <w:pPr>
        <w:keepNext/>
        <w:keepLines/>
        <w:spacing w:line="480" w:lineRule="exact"/>
        <w:ind w:firstLine="440" w:firstLineChars="200"/>
        <w:outlineLvl w:val="1"/>
        <w:rPr>
          <w:rFonts w:hint="eastAsia" w:ascii="宋体" w:hAnsi="宋体" w:cs="宋体"/>
          <w:sz w:val="22"/>
          <w:szCs w:val="22"/>
        </w:rPr>
      </w:pPr>
      <w:bookmarkStart w:id="277" w:name="_Toc22568"/>
      <w:r>
        <w:rPr>
          <w:rFonts w:hint="eastAsia" w:ascii="宋体" w:hAnsi="宋体" w:cs="宋体"/>
          <w:sz w:val="22"/>
          <w:szCs w:val="22"/>
        </w:rPr>
        <w:t>2.2 分值构成与评分标准</w:t>
      </w:r>
      <w:bookmarkEnd w:id="277"/>
    </w:p>
    <w:p>
      <w:pPr>
        <w:keepNext/>
        <w:keepLines/>
        <w:spacing w:line="480" w:lineRule="exact"/>
        <w:ind w:firstLine="440" w:firstLineChars="200"/>
        <w:outlineLvl w:val="1"/>
        <w:rPr>
          <w:rFonts w:hint="eastAsia" w:ascii="宋体" w:hAnsi="宋体" w:cs="宋体"/>
          <w:sz w:val="22"/>
          <w:szCs w:val="22"/>
        </w:rPr>
      </w:pPr>
      <w:bookmarkStart w:id="278" w:name="_Toc5209"/>
      <w:r>
        <w:rPr>
          <w:rFonts w:hint="eastAsia" w:ascii="宋体" w:hAnsi="宋体" w:cs="宋体"/>
          <w:sz w:val="22"/>
          <w:szCs w:val="22"/>
        </w:rPr>
        <w:t>2.2.1 分值构成</w:t>
      </w:r>
      <w:bookmarkEnd w:id="278"/>
    </w:p>
    <w:p>
      <w:pPr>
        <w:keepNext/>
        <w:keepLines/>
        <w:spacing w:line="480" w:lineRule="exact"/>
        <w:ind w:firstLine="440" w:firstLineChars="200"/>
        <w:outlineLvl w:val="1"/>
        <w:rPr>
          <w:rFonts w:hint="eastAsia" w:ascii="宋体" w:hAnsi="宋体" w:cs="宋体"/>
          <w:sz w:val="22"/>
          <w:szCs w:val="22"/>
        </w:rPr>
      </w:pPr>
      <w:bookmarkStart w:id="279" w:name="_Toc26644"/>
      <w:r>
        <w:rPr>
          <w:rFonts w:hint="eastAsia" w:ascii="宋体" w:hAnsi="宋体" w:cs="宋体"/>
          <w:sz w:val="22"/>
          <w:szCs w:val="22"/>
        </w:rPr>
        <w:t>（1）商务部分：见评标办法前附表；</w:t>
      </w:r>
      <w:bookmarkEnd w:id="279"/>
    </w:p>
    <w:p>
      <w:pPr>
        <w:keepNext/>
        <w:keepLines/>
        <w:spacing w:line="480" w:lineRule="exact"/>
        <w:ind w:firstLine="440" w:firstLineChars="200"/>
        <w:outlineLvl w:val="1"/>
        <w:rPr>
          <w:rFonts w:hint="eastAsia" w:ascii="宋体" w:hAnsi="宋体" w:cs="宋体"/>
          <w:sz w:val="22"/>
          <w:szCs w:val="22"/>
        </w:rPr>
      </w:pPr>
      <w:bookmarkStart w:id="280" w:name="_Toc3052"/>
      <w:r>
        <w:rPr>
          <w:rFonts w:hint="eastAsia" w:ascii="宋体" w:hAnsi="宋体" w:cs="宋体"/>
          <w:sz w:val="22"/>
          <w:szCs w:val="22"/>
        </w:rPr>
        <w:t>（2）技术部分：见评标办法前附表；</w:t>
      </w:r>
      <w:bookmarkEnd w:id="280"/>
    </w:p>
    <w:p>
      <w:pPr>
        <w:keepNext/>
        <w:keepLines/>
        <w:spacing w:line="480" w:lineRule="exact"/>
        <w:ind w:firstLine="440" w:firstLineChars="200"/>
        <w:outlineLvl w:val="1"/>
        <w:rPr>
          <w:rFonts w:hint="eastAsia" w:ascii="宋体" w:hAnsi="宋体" w:cs="宋体"/>
          <w:sz w:val="22"/>
          <w:szCs w:val="22"/>
        </w:rPr>
      </w:pPr>
      <w:bookmarkStart w:id="281" w:name="_Toc23419"/>
      <w:r>
        <w:rPr>
          <w:rFonts w:hint="eastAsia" w:ascii="宋体" w:hAnsi="宋体" w:cs="宋体"/>
          <w:sz w:val="22"/>
          <w:szCs w:val="22"/>
        </w:rPr>
        <w:t>（3）投标报价：见评标办法前附表。</w:t>
      </w:r>
      <w:bookmarkEnd w:id="281"/>
    </w:p>
    <w:p>
      <w:pPr>
        <w:keepNext/>
        <w:keepLines/>
        <w:spacing w:line="480" w:lineRule="exact"/>
        <w:ind w:firstLine="440" w:firstLineChars="200"/>
        <w:outlineLvl w:val="1"/>
        <w:rPr>
          <w:rFonts w:hint="eastAsia" w:ascii="宋体" w:hAnsi="宋体" w:cs="宋体"/>
          <w:sz w:val="22"/>
          <w:szCs w:val="22"/>
        </w:rPr>
      </w:pPr>
      <w:bookmarkStart w:id="282" w:name="_Toc13050"/>
      <w:r>
        <w:rPr>
          <w:rFonts w:hint="eastAsia" w:ascii="宋体" w:hAnsi="宋体" w:cs="宋体"/>
          <w:sz w:val="22"/>
          <w:szCs w:val="22"/>
        </w:rPr>
        <w:t>2.2.2 评标基准价计算</w:t>
      </w:r>
      <w:bookmarkEnd w:id="282"/>
    </w:p>
    <w:p>
      <w:pPr>
        <w:keepNext/>
        <w:keepLines/>
        <w:spacing w:line="480" w:lineRule="exact"/>
        <w:ind w:firstLine="440" w:firstLineChars="200"/>
        <w:outlineLvl w:val="1"/>
        <w:rPr>
          <w:rFonts w:hint="eastAsia" w:ascii="宋体" w:hAnsi="宋体" w:cs="宋体"/>
          <w:sz w:val="22"/>
          <w:szCs w:val="22"/>
        </w:rPr>
      </w:pPr>
      <w:bookmarkStart w:id="283" w:name="_Toc13227"/>
      <w:r>
        <w:rPr>
          <w:rFonts w:hint="eastAsia" w:ascii="宋体" w:hAnsi="宋体" w:cs="宋体"/>
          <w:sz w:val="22"/>
          <w:szCs w:val="22"/>
        </w:rPr>
        <w:t>评标基准价计算方法：见评标办法前附表。</w:t>
      </w:r>
      <w:bookmarkEnd w:id="283"/>
    </w:p>
    <w:p>
      <w:pPr>
        <w:keepNext/>
        <w:keepLines/>
        <w:spacing w:line="480" w:lineRule="exact"/>
        <w:ind w:firstLine="440" w:firstLineChars="200"/>
        <w:outlineLvl w:val="1"/>
        <w:rPr>
          <w:rFonts w:hint="eastAsia" w:ascii="宋体" w:hAnsi="宋体" w:cs="宋体"/>
          <w:sz w:val="22"/>
          <w:szCs w:val="22"/>
        </w:rPr>
      </w:pPr>
      <w:bookmarkStart w:id="284" w:name="_Toc20217"/>
      <w:r>
        <w:rPr>
          <w:rFonts w:hint="eastAsia" w:ascii="宋体" w:hAnsi="宋体" w:cs="宋体"/>
          <w:sz w:val="22"/>
          <w:szCs w:val="22"/>
        </w:rPr>
        <w:t>2.2.3 评分标准</w:t>
      </w:r>
      <w:bookmarkEnd w:id="284"/>
    </w:p>
    <w:p>
      <w:pPr>
        <w:keepNext/>
        <w:keepLines/>
        <w:spacing w:line="480" w:lineRule="exact"/>
        <w:ind w:firstLine="440" w:firstLineChars="200"/>
        <w:outlineLvl w:val="1"/>
        <w:rPr>
          <w:rFonts w:hint="eastAsia" w:ascii="宋体" w:hAnsi="宋体" w:cs="宋体"/>
          <w:sz w:val="22"/>
          <w:szCs w:val="22"/>
        </w:rPr>
      </w:pPr>
      <w:bookmarkStart w:id="285" w:name="_Toc19488"/>
      <w:r>
        <w:rPr>
          <w:rFonts w:hint="eastAsia" w:ascii="宋体" w:hAnsi="宋体" w:cs="宋体"/>
          <w:sz w:val="22"/>
          <w:szCs w:val="22"/>
        </w:rPr>
        <w:t>（1）商务评分标准：见评标办法前附表；</w:t>
      </w:r>
      <w:bookmarkEnd w:id="285"/>
    </w:p>
    <w:p>
      <w:pPr>
        <w:keepNext/>
        <w:keepLines/>
        <w:spacing w:line="480" w:lineRule="exact"/>
        <w:ind w:firstLine="440" w:firstLineChars="200"/>
        <w:outlineLvl w:val="1"/>
        <w:rPr>
          <w:rFonts w:hint="eastAsia" w:ascii="宋体" w:hAnsi="宋体" w:cs="宋体"/>
          <w:sz w:val="22"/>
          <w:szCs w:val="22"/>
        </w:rPr>
      </w:pPr>
      <w:bookmarkStart w:id="286" w:name="_Toc12778"/>
      <w:r>
        <w:rPr>
          <w:rFonts w:hint="eastAsia" w:ascii="宋体" w:hAnsi="宋体" w:cs="宋体"/>
          <w:sz w:val="22"/>
          <w:szCs w:val="22"/>
        </w:rPr>
        <w:t>（2）技术评分标准：见评标办法前附表；</w:t>
      </w:r>
      <w:bookmarkEnd w:id="286"/>
    </w:p>
    <w:p>
      <w:pPr>
        <w:keepNext/>
        <w:keepLines/>
        <w:spacing w:line="480" w:lineRule="exact"/>
        <w:ind w:firstLine="440" w:firstLineChars="200"/>
        <w:outlineLvl w:val="1"/>
        <w:rPr>
          <w:rFonts w:hint="eastAsia" w:ascii="宋体" w:hAnsi="宋体" w:cs="宋体"/>
          <w:sz w:val="22"/>
          <w:szCs w:val="22"/>
        </w:rPr>
      </w:pPr>
      <w:bookmarkStart w:id="287" w:name="_Toc18812"/>
      <w:r>
        <w:rPr>
          <w:rFonts w:hint="eastAsia" w:ascii="宋体" w:hAnsi="宋体" w:cs="宋体"/>
          <w:sz w:val="22"/>
          <w:szCs w:val="22"/>
        </w:rPr>
        <w:t>（3）投标报价评分标准：见评标办法前附表。</w:t>
      </w:r>
      <w:bookmarkEnd w:id="287"/>
    </w:p>
    <w:p>
      <w:pPr>
        <w:keepNext/>
        <w:keepLines/>
        <w:spacing w:line="480" w:lineRule="exact"/>
        <w:outlineLvl w:val="1"/>
        <w:rPr>
          <w:rFonts w:hint="eastAsia" w:ascii="宋体" w:hAnsi="宋体" w:cs="宋体"/>
          <w:b/>
          <w:bCs/>
          <w:sz w:val="22"/>
          <w:szCs w:val="22"/>
        </w:rPr>
      </w:pPr>
      <w:bookmarkStart w:id="288" w:name="_Toc17898"/>
      <w:r>
        <w:rPr>
          <w:rFonts w:hint="eastAsia" w:ascii="宋体" w:hAnsi="宋体" w:cs="宋体"/>
          <w:b/>
          <w:bCs/>
          <w:sz w:val="22"/>
          <w:szCs w:val="22"/>
        </w:rPr>
        <w:t>3. 评标程序</w:t>
      </w:r>
      <w:bookmarkEnd w:id="288"/>
    </w:p>
    <w:p>
      <w:pPr>
        <w:keepNext/>
        <w:keepLines/>
        <w:spacing w:line="480" w:lineRule="exact"/>
        <w:ind w:firstLine="442" w:firstLineChars="200"/>
        <w:outlineLvl w:val="1"/>
        <w:rPr>
          <w:rFonts w:hint="eastAsia" w:ascii="宋体" w:hAnsi="宋体" w:cs="宋体"/>
          <w:b/>
          <w:bCs/>
          <w:sz w:val="22"/>
          <w:szCs w:val="22"/>
        </w:rPr>
      </w:pPr>
      <w:bookmarkStart w:id="289" w:name="_Toc28005"/>
      <w:r>
        <w:rPr>
          <w:rFonts w:hint="eastAsia" w:ascii="宋体" w:hAnsi="宋体" w:cs="宋体"/>
          <w:b/>
          <w:bCs/>
          <w:sz w:val="22"/>
          <w:szCs w:val="22"/>
        </w:rPr>
        <w:t>3.1 商务及技术文件初步评审</w:t>
      </w:r>
      <w:bookmarkEnd w:id="289"/>
    </w:p>
    <w:p>
      <w:pPr>
        <w:keepNext/>
        <w:keepLines/>
        <w:spacing w:line="480" w:lineRule="exact"/>
        <w:ind w:firstLine="440" w:firstLineChars="200"/>
        <w:outlineLvl w:val="1"/>
        <w:rPr>
          <w:rFonts w:hint="eastAsia" w:ascii="宋体" w:hAnsi="宋体" w:cs="宋体"/>
          <w:sz w:val="22"/>
          <w:szCs w:val="22"/>
        </w:rPr>
      </w:pPr>
      <w:bookmarkStart w:id="290" w:name="_Toc11797"/>
      <w:r>
        <w:rPr>
          <w:rFonts w:hint="eastAsia" w:ascii="宋体" w:hAnsi="宋体" w:cs="宋体"/>
          <w:sz w:val="22"/>
          <w:szCs w:val="22"/>
        </w:rPr>
        <w:t>评标委员会依据本章第 2.1.1 项、第 2.1.2 项、第 2.1.3 项规定的评审标准对商务及技术文件进</w:t>
      </w:r>
      <w:bookmarkEnd w:id="290"/>
      <w:bookmarkStart w:id="291" w:name="_Toc24141"/>
      <w:r>
        <w:rPr>
          <w:rFonts w:hint="eastAsia" w:ascii="宋体" w:hAnsi="宋体" w:cs="宋体"/>
          <w:sz w:val="22"/>
          <w:szCs w:val="22"/>
        </w:rPr>
        <w:t>行初步评审。有一项不符合评审标准的，评标委员会应否决其投标。</w:t>
      </w:r>
      <w:bookmarkEnd w:id="291"/>
    </w:p>
    <w:p>
      <w:pPr>
        <w:keepNext/>
        <w:keepLines/>
        <w:spacing w:line="480" w:lineRule="exact"/>
        <w:ind w:firstLine="442" w:firstLineChars="200"/>
        <w:outlineLvl w:val="1"/>
        <w:rPr>
          <w:rFonts w:hint="eastAsia" w:ascii="宋体" w:hAnsi="宋体" w:cs="宋体"/>
          <w:b/>
          <w:bCs/>
          <w:sz w:val="22"/>
          <w:szCs w:val="22"/>
        </w:rPr>
      </w:pPr>
      <w:bookmarkStart w:id="292" w:name="_Toc28602"/>
      <w:r>
        <w:rPr>
          <w:rFonts w:hint="eastAsia" w:ascii="宋体" w:hAnsi="宋体" w:cs="宋体"/>
          <w:b/>
          <w:bCs/>
          <w:sz w:val="22"/>
          <w:szCs w:val="22"/>
        </w:rPr>
        <w:t>3.2 报价文件初步评审</w:t>
      </w:r>
      <w:bookmarkEnd w:id="292"/>
    </w:p>
    <w:p>
      <w:pPr>
        <w:keepNext/>
        <w:keepLines/>
        <w:spacing w:line="480" w:lineRule="exact"/>
        <w:ind w:firstLine="440" w:firstLineChars="200"/>
        <w:outlineLvl w:val="1"/>
        <w:rPr>
          <w:rFonts w:hint="eastAsia" w:ascii="宋体" w:hAnsi="宋体" w:cs="宋体"/>
          <w:sz w:val="22"/>
          <w:szCs w:val="22"/>
        </w:rPr>
      </w:pPr>
      <w:bookmarkStart w:id="293" w:name="_Toc10856"/>
      <w:r>
        <w:rPr>
          <w:rFonts w:hint="eastAsia" w:ascii="宋体" w:hAnsi="宋体" w:cs="宋体"/>
          <w:sz w:val="22"/>
          <w:szCs w:val="22"/>
        </w:rPr>
        <w:t>3.2.1 评标委员会依据本章第 2.1.1 款、第 2.1.3 款规定的评审标准对报价文件进行评审。有一项</w:t>
      </w:r>
      <w:bookmarkEnd w:id="293"/>
      <w:bookmarkStart w:id="294" w:name="_Toc28142"/>
      <w:r>
        <w:rPr>
          <w:rFonts w:hint="eastAsia" w:ascii="宋体" w:hAnsi="宋体" w:cs="宋体"/>
          <w:sz w:val="22"/>
          <w:szCs w:val="22"/>
        </w:rPr>
        <w:t>不符合评审标准的，评标委员会应否决其投标。</w:t>
      </w:r>
      <w:bookmarkEnd w:id="294"/>
    </w:p>
    <w:p>
      <w:pPr>
        <w:keepNext/>
        <w:keepLines/>
        <w:spacing w:line="480" w:lineRule="exact"/>
        <w:ind w:firstLine="440" w:firstLineChars="200"/>
        <w:outlineLvl w:val="1"/>
        <w:rPr>
          <w:rFonts w:hint="eastAsia" w:ascii="宋体" w:hAnsi="宋体" w:cs="宋体"/>
          <w:sz w:val="22"/>
          <w:szCs w:val="22"/>
        </w:rPr>
      </w:pPr>
      <w:bookmarkStart w:id="295" w:name="_Toc18268"/>
      <w:r>
        <w:rPr>
          <w:rFonts w:hint="eastAsia" w:ascii="宋体" w:hAnsi="宋体" w:cs="宋体"/>
          <w:sz w:val="22"/>
          <w:szCs w:val="22"/>
        </w:rPr>
        <w:t>3.2.2 投标报价有算术错误及其他错误的，评标委员会按以下原则对投标报价进行修正，并要求投</w:t>
      </w:r>
      <w:bookmarkEnd w:id="295"/>
      <w:bookmarkStart w:id="296" w:name="_Toc4866"/>
      <w:r>
        <w:rPr>
          <w:rFonts w:hint="eastAsia" w:ascii="宋体" w:hAnsi="宋体" w:cs="宋体"/>
          <w:sz w:val="22"/>
          <w:szCs w:val="22"/>
        </w:rPr>
        <w:t>标人书面澄清确认。投标人拒不澄清确认的，评标委员会应当否决其投标：</w:t>
      </w:r>
      <w:bookmarkEnd w:id="296"/>
    </w:p>
    <w:p>
      <w:pPr>
        <w:keepNext/>
        <w:keepLines/>
        <w:spacing w:line="480" w:lineRule="exact"/>
        <w:ind w:firstLine="440" w:firstLineChars="200"/>
        <w:outlineLvl w:val="1"/>
        <w:rPr>
          <w:rFonts w:hint="eastAsia" w:ascii="宋体" w:hAnsi="宋体" w:cs="宋体"/>
          <w:sz w:val="22"/>
          <w:szCs w:val="22"/>
        </w:rPr>
      </w:pPr>
      <w:bookmarkStart w:id="297" w:name="_Toc7282"/>
      <w:r>
        <w:rPr>
          <w:rFonts w:hint="eastAsia" w:ascii="宋体" w:hAnsi="宋体" w:cs="宋体"/>
          <w:sz w:val="22"/>
          <w:szCs w:val="22"/>
        </w:rPr>
        <w:t>（1）投标文件中的大写金额与小写金额不一致的，以大写金额为准；</w:t>
      </w:r>
      <w:bookmarkEnd w:id="297"/>
    </w:p>
    <w:p>
      <w:pPr>
        <w:keepNext/>
        <w:keepLines/>
        <w:spacing w:line="480" w:lineRule="exact"/>
        <w:ind w:firstLine="440" w:firstLineChars="200"/>
        <w:outlineLvl w:val="1"/>
        <w:rPr>
          <w:rFonts w:hint="eastAsia" w:ascii="宋体" w:hAnsi="宋体" w:cs="宋体"/>
          <w:sz w:val="22"/>
          <w:szCs w:val="22"/>
        </w:rPr>
      </w:pPr>
      <w:bookmarkStart w:id="298" w:name="_Toc7788"/>
      <w:r>
        <w:rPr>
          <w:rFonts w:hint="eastAsia" w:ascii="宋体" w:hAnsi="宋体" w:cs="宋体"/>
          <w:sz w:val="22"/>
          <w:szCs w:val="22"/>
        </w:rPr>
        <w:t>（2）总价金额与单价金额不一致的，以单价金额为准，但单价金额小数点有明显错误的除外；</w:t>
      </w:r>
      <w:bookmarkEnd w:id="298"/>
    </w:p>
    <w:p>
      <w:pPr>
        <w:keepNext/>
        <w:keepLines/>
        <w:spacing w:line="480" w:lineRule="exact"/>
        <w:ind w:firstLine="440" w:firstLineChars="200"/>
        <w:outlineLvl w:val="1"/>
        <w:rPr>
          <w:rFonts w:hint="eastAsia" w:ascii="宋体" w:hAnsi="宋体" w:cs="宋体"/>
          <w:sz w:val="22"/>
          <w:szCs w:val="22"/>
        </w:rPr>
      </w:pPr>
      <w:bookmarkStart w:id="299" w:name="_Toc21328"/>
      <w:r>
        <w:rPr>
          <w:rFonts w:hint="eastAsia" w:ascii="宋体" w:hAnsi="宋体" w:cs="宋体"/>
          <w:sz w:val="22"/>
          <w:szCs w:val="22"/>
        </w:rPr>
        <w:t>（3）投标报价为各分项报价金额之和，投标报价与分项报价的合价不一致的，应以各分项合价累</w:t>
      </w:r>
      <w:bookmarkEnd w:id="299"/>
      <w:bookmarkStart w:id="300" w:name="_Toc795"/>
      <w:r>
        <w:rPr>
          <w:rFonts w:hint="eastAsia" w:ascii="宋体" w:hAnsi="宋体" w:cs="宋体"/>
          <w:sz w:val="22"/>
          <w:szCs w:val="22"/>
        </w:rPr>
        <w:t>计数为准，修正投标报价；</w:t>
      </w:r>
      <w:bookmarkEnd w:id="300"/>
    </w:p>
    <w:p>
      <w:pPr>
        <w:keepNext/>
        <w:keepLines/>
        <w:numPr>
          <w:ilvl w:val="0"/>
          <w:numId w:val="5"/>
        </w:numPr>
        <w:spacing w:line="480" w:lineRule="exact"/>
        <w:ind w:firstLine="440" w:firstLineChars="200"/>
        <w:outlineLvl w:val="1"/>
        <w:rPr>
          <w:rFonts w:hint="eastAsia" w:ascii="宋体" w:hAnsi="宋体" w:cs="宋体"/>
          <w:sz w:val="22"/>
          <w:szCs w:val="22"/>
        </w:rPr>
      </w:pPr>
      <w:bookmarkStart w:id="301" w:name="_Toc19334"/>
      <w:r>
        <w:rPr>
          <w:rFonts w:hint="eastAsia" w:ascii="宋体" w:hAnsi="宋体" w:cs="宋体"/>
          <w:sz w:val="22"/>
          <w:szCs w:val="22"/>
        </w:rPr>
        <w:t>如果分项报价中存在缺漏项，则视为缺漏项价格已包含在其他分项报价之中。</w:t>
      </w:r>
      <w:bookmarkEnd w:id="301"/>
    </w:p>
    <w:p>
      <w:pPr>
        <w:keepNext/>
        <w:keepLines/>
        <w:spacing w:line="480" w:lineRule="exact"/>
        <w:ind w:firstLine="440" w:firstLineChars="200"/>
        <w:outlineLvl w:val="1"/>
        <w:rPr>
          <w:rFonts w:hint="eastAsia" w:ascii="宋体" w:hAnsi="宋体" w:cs="宋体"/>
          <w:sz w:val="22"/>
          <w:szCs w:val="22"/>
        </w:rPr>
      </w:pPr>
      <w:bookmarkStart w:id="302" w:name="_Toc24914"/>
      <w:r>
        <w:rPr>
          <w:rFonts w:hint="eastAsia" w:ascii="宋体" w:hAnsi="宋体" w:cs="宋体"/>
          <w:sz w:val="22"/>
          <w:szCs w:val="22"/>
        </w:rPr>
        <w:t>3.2.3 投标人投标报价明显缺乏竞争性的，评标委员会可以否决所有投标。</w:t>
      </w:r>
      <w:bookmarkEnd w:id="302"/>
    </w:p>
    <w:p>
      <w:pPr>
        <w:keepNext/>
        <w:keepLines/>
        <w:spacing w:line="480" w:lineRule="exact"/>
        <w:ind w:firstLine="442" w:firstLineChars="200"/>
        <w:outlineLvl w:val="1"/>
        <w:rPr>
          <w:rFonts w:hint="eastAsia" w:ascii="宋体" w:hAnsi="宋体" w:cs="宋体"/>
          <w:b/>
          <w:bCs/>
          <w:sz w:val="22"/>
          <w:szCs w:val="22"/>
        </w:rPr>
      </w:pPr>
      <w:bookmarkStart w:id="303" w:name="_Toc12144"/>
      <w:r>
        <w:rPr>
          <w:rFonts w:hint="eastAsia" w:ascii="宋体" w:hAnsi="宋体" w:cs="宋体"/>
          <w:b/>
          <w:bCs/>
          <w:sz w:val="22"/>
          <w:szCs w:val="22"/>
        </w:rPr>
        <w:t>3.3 详细评审</w:t>
      </w:r>
      <w:bookmarkEnd w:id="303"/>
    </w:p>
    <w:p>
      <w:pPr>
        <w:keepNext/>
        <w:keepLines/>
        <w:spacing w:line="480" w:lineRule="exact"/>
        <w:ind w:firstLine="440" w:firstLineChars="200"/>
        <w:outlineLvl w:val="1"/>
        <w:rPr>
          <w:rFonts w:hint="eastAsia" w:ascii="宋体" w:hAnsi="宋体" w:cs="宋体"/>
          <w:sz w:val="22"/>
          <w:szCs w:val="22"/>
        </w:rPr>
      </w:pPr>
      <w:bookmarkStart w:id="304" w:name="_Toc16514"/>
      <w:r>
        <w:rPr>
          <w:rFonts w:hint="eastAsia" w:ascii="宋体" w:hAnsi="宋体" w:cs="宋体"/>
          <w:sz w:val="22"/>
          <w:szCs w:val="22"/>
        </w:rPr>
        <w:t>3.3.1 评标委员会按本章第 2.2 款规定的量化因素和分值进行打分，并计算出综合评估得分。</w:t>
      </w:r>
      <w:bookmarkEnd w:id="304"/>
    </w:p>
    <w:p>
      <w:pPr>
        <w:keepNext/>
        <w:keepLines/>
        <w:spacing w:line="480" w:lineRule="exact"/>
        <w:ind w:firstLine="440" w:firstLineChars="200"/>
        <w:outlineLvl w:val="1"/>
        <w:rPr>
          <w:rFonts w:hint="eastAsia" w:ascii="宋体" w:hAnsi="宋体" w:cs="宋体"/>
          <w:sz w:val="22"/>
          <w:szCs w:val="22"/>
        </w:rPr>
      </w:pPr>
      <w:bookmarkStart w:id="305" w:name="_Toc23866"/>
      <w:r>
        <w:rPr>
          <w:rFonts w:hint="eastAsia" w:ascii="宋体" w:hAnsi="宋体" w:cs="宋体"/>
          <w:sz w:val="22"/>
          <w:szCs w:val="22"/>
        </w:rPr>
        <w:t>评标委员会成员总数为 5 人时，投标人本章第 2.2.3 项第（1）目</w:t>
      </w:r>
      <w:r>
        <w:rPr>
          <w:rFonts w:hint="eastAsia" w:ascii="宋体" w:hAnsi="宋体" w:cs="宋体"/>
          <w:sz w:val="22"/>
          <w:szCs w:val="22"/>
          <w:lang w:eastAsia="zh-CN"/>
        </w:rPr>
        <w:t>～</w:t>
      </w:r>
      <w:r>
        <w:rPr>
          <w:rFonts w:hint="eastAsia" w:ascii="宋体" w:hAnsi="宋体" w:cs="宋体"/>
          <w:sz w:val="22"/>
          <w:szCs w:val="22"/>
        </w:rPr>
        <w:t>第（3）目的得分以评标委员</w:t>
      </w:r>
      <w:bookmarkEnd w:id="305"/>
      <w:bookmarkStart w:id="306" w:name="_Toc4276"/>
      <w:r>
        <w:rPr>
          <w:rFonts w:hint="eastAsia" w:ascii="宋体" w:hAnsi="宋体" w:cs="宋体"/>
          <w:sz w:val="22"/>
          <w:szCs w:val="22"/>
        </w:rPr>
        <w:t>会各成员的打分平均值确定。评标委员会成员总数为 7 人及以上时，投标人本章第 2.2.3 项第（1）</w:t>
      </w:r>
      <w:bookmarkEnd w:id="306"/>
      <w:bookmarkStart w:id="307" w:name="_Toc11539"/>
      <w:r>
        <w:rPr>
          <w:rFonts w:hint="eastAsia" w:ascii="宋体" w:hAnsi="宋体" w:cs="宋体"/>
          <w:sz w:val="22"/>
          <w:szCs w:val="22"/>
        </w:rPr>
        <w:t>目</w:t>
      </w:r>
      <w:r>
        <w:rPr>
          <w:rFonts w:hint="eastAsia" w:ascii="宋体" w:hAnsi="宋体" w:cs="宋体"/>
          <w:sz w:val="22"/>
          <w:szCs w:val="22"/>
          <w:lang w:eastAsia="zh-CN"/>
        </w:rPr>
        <w:t>～</w:t>
      </w:r>
      <w:r>
        <w:rPr>
          <w:rFonts w:hint="eastAsia" w:ascii="宋体" w:hAnsi="宋体" w:cs="宋体"/>
          <w:sz w:val="22"/>
          <w:szCs w:val="22"/>
        </w:rPr>
        <w:t xml:space="preserve"> 第（3）目规定的得分以去掉一个最高分和一个最低分后的</w:t>
      </w:r>
      <w:r>
        <w:rPr>
          <w:rFonts w:hint="eastAsia" w:ascii="宋体" w:hAnsi="宋体" w:cs="宋体"/>
          <w:sz w:val="22"/>
          <w:szCs w:val="22"/>
          <w:lang w:eastAsia="zh-CN"/>
        </w:rPr>
        <w:t>得分</w:t>
      </w:r>
      <w:r>
        <w:rPr>
          <w:rFonts w:hint="eastAsia" w:ascii="宋体" w:hAnsi="宋体" w:cs="宋体"/>
          <w:sz w:val="22"/>
          <w:szCs w:val="22"/>
        </w:rPr>
        <w:t>平均值确定。</w:t>
      </w:r>
      <w:bookmarkEnd w:id="307"/>
    </w:p>
    <w:p>
      <w:pPr>
        <w:keepNext/>
        <w:keepLines/>
        <w:spacing w:line="480" w:lineRule="exact"/>
        <w:ind w:firstLine="440" w:firstLineChars="200"/>
        <w:outlineLvl w:val="1"/>
        <w:rPr>
          <w:rFonts w:hint="eastAsia" w:ascii="宋体" w:hAnsi="宋体" w:cs="宋体"/>
          <w:sz w:val="22"/>
          <w:szCs w:val="22"/>
        </w:rPr>
      </w:pPr>
      <w:bookmarkStart w:id="308" w:name="_Toc30849"/>
      <w:r>
        <w:rPr>
          <w:rFonts w:hint="eastAsia" w:ascii="宋体" w:hAnsi="宋体" w:cs="宋体"/>
          <w:sz w:val="22"/>
          <w:szCs w:val="22"/>
        </w:rPr>
        <w:t>（1）按本章第 2.2.3（1）目规定的评审因素和分值对商务部分计算出得分 A；</w:t>
      </w:r>
      <w:bookmarkEnd w:id="308"/>
    </w:p>
    <w:p>
      <w:pPr>
        <w:keepNext/>
        <w:keepLines/>
        <w:spacing w:line="480" w:lineRule="exact"/>
        <w:ind w:firstLine="440" w:firstLineChars="200"/>
        <w:outlineLvl w:val="1"/>
        <w:rPr>
          <w:rFonts w:hint="eastAsia" w:ascii="宋体" w:hAnsi="宋体" w:cs="宋体"/>
          <w:sz w:val="22"/>
          <w:szCs w:val="22"/>
        </w:rPr>
      </w:pPr>
      <w:bookmarkStart w:id="309" w:name="_Toc9670"/>
      <w:r>
        <w:rPr>
          <w:rFonts w:hint="eastAsia" w:ascii="宋体" w:hAnsi="宋体" w:cs="宋体"/>
          <w:sz w:val="22"/>
          <w:szCs w:val="22"/>
        </w:rPr>
        <w:t>（2）按本章第 2.2.3（2）目规定的评审因素和分值对技术部分计算出得分 B；</w:t>
      </w:r>
      <w:bookmarkEnd w:id="309"/>
    </w:p>
    <w:p>
      <w:pPr>
        <w:keepNext/>
        <w:keepLines/>
        <w:spacing w:line="480" w:lineRule="exact"/>
        <w:ind w:firstLine="440" w:firstLineChars="200"/>
        <w:outlineLvl w:val="1"/>
        <w:rPr>
          <w:rFonts w:hint="eastAsia" w:ascii="宋体" w:hAnsi="宋体" w:cs="宋体"/>
          <w:sz w:val="22"/>
          <w:szCs w:val="22"/>
        </w:rPr>
      </w:pPr>
      <w:bookmarkStart w:id="310" w:name="_Toc23479"/>
      <w:r>
        <w:rPr>
          <w:rFonts w:hint="eastAsia" w:ascii="宋体" w:hAnsi="宋体" w:cs="宋体"/>
          <w:sz w:val="22"/>
          <w:szCs w:val="22"/>
        </w:rPr>
        <w:t>（3）按本章第 2.2.3（3）目规定的评审因素和分值对投标报价计算出得分 C。</w:t>
      </w:r>
      <w:bookmarkEnd w:id="310"/>
    </w:p>
    <w:p>
      <w:pPr>
        <w:keepNext/>
        <w:keepLines/>
        <w:spacing w:line="480" w:lineRule="exact"/>
        <w:ind w:firstLine="440" w:firstLineChars="200"/>
        <w:outlineLvl w:val="1"/>
        <w:rPr>
          <w:rFonts w:hint="eastAsia" w:ascii="宋体" w:hAnsi="宋体" w:cs="宋体"/>
          <w:sz w:val="22"/>
          <w:szCs w:val="22"/>
        </w:rPr>
      </w:pPr>
      <w:bookmarkStart w:id="311" w:name="_Toc31575"/>
      <w:r>
        <w:rPr>
          <w:rFonts w:hint="eastAsia" w:ascii="宋体" w:hAnsi="宋体" w:cs="宋体"/>
          <w:sz w:val="22"/>
          <w:szCs w:val="22"/>
        </w:rPr>
        <w:t>3.3.2 评分分值计算保留小数点后两位，小数点后第三位“四舍五入”。</w:t>
      </w:r>
      <w:bookmarkEnd w:id="311"/>
    </w:p>
    <w:p>
      <w:pPr>
        <w:keepNext/>
        <w:keepLines/>
        <w:spacing w:line="480" w:lineRule="exact"/>
        <w:ind w:firstLine="440" w:firstLineChars="200"/>
        <w:outlineLvl w:val="1"/>
        <w:rPr>
          <w:rFonts w:hint="eastAsia" w:ascii="宋体" w:hAnsi="宋体" w:cs="宋体"/>
          <w:sz w:val="22"/>
          <w:szCs w:val="22"/>
        </w:rPr>
      </w:pPr>
      <w:bookmarkStart w:id="312" w:name="_Toc10252"/>
      <w:r>
        <w:rPr>
          <w:rFonts w:hint="eastAsia" w:ascii="宋体" w:hAnsi="宋体" w:cs="宋体"/>
          <w:sz w:val="22"/>
          <w:szCs w:val="22"/>
        </w:rPr>
        <w:t>3.3.3 投标人得分=A+B+C。</w:t>
      </w:r>
      <w:bookmarkEnd w:id="312"/>
    </w:p>
    <w:p>
      <w:pPr>
        <w:keepNext/>
        <w:keepLines/>
        <w:spacing w:line="480" w:lineRule="exact"/>
        <w:ind w:firstLine="440" w:firstLineChars="200"/>
        <w:outlineLvl w:val="1"/>
        <w:rPr>
          <w:rFonts w:hint="eastAsia" w:ascii="宋体" w:hAnsi="宋体" w:cs="宋体"/>
          <w:sz w:val="22"/>
          <w:szCs w:val="22"/>
        </w:rPr>
      </w:pPr>
      <w:bookmarkStart w:id="313" w:name="_Toc20315"/>
      <w:r>
        <w:rPr>
          <w:rFonts w:hint="eastAsia" w:ascii="宋体" w:hAnsi="宋体" w:cs="宋体"/>
          <w:sz w:val="22"/>
          <w:szCs w:val="22"/>
        </w:rPr>
        <w:t>3.3.4 评标委员会发现投标人的报价明显低于其他投标报价，使得其投标报价可能低于其个别成本</w:t>
      </w:r>
      <w:bookmarkEnd w:id="313"/>
      <w:bookmarkStart w:id="314" w:name="_Toc8344"/>
      <w:r>
        <w:rPr>
          <w:rFonts w:hint="eastAsia" w:ascii="宋体" w:hAnsi="宋体" w:cs="宋体"/>
          <w:sz w:val="22"/>
          <w:szCs w:val="22"/>
        </w:rPr>
        <w:t>的，应当要求该投标人作出书面说明并提供相应的证明材料。投标人不能合理说明或者不能提供相应</w:t>
      </w:r>
      <w:bookmarkEnd w:id="314"/>
      <w:bookmarkStart w:id="315" w:name="_Toc10518"/>
      <w:r>
        <w:rPr>
          <w:rFonts w:hint="eastAsia" w:ascii="宋体" w:hAnsi="宋体" w:cs="宋体"/>
          <w:sz w:val="22"/>
          <w:szCs w:val="22"/>
        </w:rPr>
        <w:t>证明材料的，评标委员会应当认定该投标人以低于成本报价竞标，并否决其投标。</w:t>
      </w:r>
      <w:bookmarkEnd w:id="315"/>
    </w:p>
    <w:p>
      <w:pPr>
        <w:keepNext/>
        <w:keepLines/>
        <w:spacing w:line="480" w:lineRule="exact"/>
        <w:ind w:firstLine="442" w:firstLineChars="200"/>
        <w:outlineLvl w:val="1"/>
        <w:rPr>
          <w:rFonts w:hint="eastAsia" w:ascii="宋体" w:hAnsi="宋体" w:cs="宋体"/>
          <w:b/>
          <w:bCs/>
          <w:sz w:val="22"/>
          <w:szCs w:val="22"/>
        </w:rPr>
      </w:pPr>
      <w:bookmarkStart w:id="316" w:name="_Toc26090"/>
      <w:r>
        <w:rPr>
          <w:rFonts w:hint="eastAsia" w:ascii="宋体" w:hAnsi="宋体" w:cs="宋体"/>
          <w:b/>
          <w:bCs/>
          <w:sz w:val="22"/>
          <w:szCs w:val="22"/>
        </w:rPr>
        <w:t>3.4 否决投标的其他情形</w:t>
      </w:r>
      <w:bookmarkEnd w:id="316"/>
    </w:p>
    <w:p>
      <w:pPr>
        <w:keepNext/>
        <w:keepLines/>
        <w:spacing w:line="480" w:lineRule="exact"/>
        <w:ind w:firstLine="440" w:firstLineChars="200"/>
        <w:outlineLvl w:val="1"/>
        <w:rPr>
          <w:rFonts w:hint="eastAsia" w:ascii="宋体" w:hAnsi="宋体" w:cs="宋体"/>
          <w:sz w:val="22"/>
          <w:szCs w:val="22"/>
        </w:rPr>
      </w:pPr>
      <w:bookmarkStart w:id="317" w:name="_Toc2998"/>
      <w:r>
        <w:rPr>
          <w:rFonts w:hint="eastAsia" w:ascii="宋体" w:hAnsi="宋体" w:cs="宋体"/>
          <w:sz w:val="22"/>
          <w:szCs w:val="22"/>
        </w:rPr>
        <w:t>3.4.1 评标委员会应对在评标过程中发现的投标人与投标人之间、投标人与招标人之间存在的串通</w:t>
      </w:r>
      <w:bookmarkEnd w:id="317"/>
      <w:bookmarkStart w:id="318" w:name="_Toc10224"/>
      <w:r>
        <w:rPr>
          <w:rFonts w:hint="eastAsia" w:ascii="宋体" w:hAnsi="宋体" w:cs="宋体"/>
          <w:sz w:val="22"/>
          <w:szCs w:val="22"/>
        </w:rPr>
        <w:t>投标的情形进行评审和认定。投标人存在串通投标、弄虚作假、行贿等违法行为的，评标委员会应否</w:t>
      </w:r>
      <w:bookmarkEnd w:id="318"/>
      <w:bookmarkStart w:id="319" w:name="_Toc790"/>
      <w:r>
        <w:rPr>
          <w:rFonts w:hint="eastAsia" w:ascii="宋体" w:hAnsi="宋体" w:cs="宋体"/>
          <w:sz w:val="22"/>
          <w:szCs w:val="22"/>
        </w:rPr>
        <w:t>决其投标。</w:t>
      </w:r>
      <w:bookmarkEnd w:id="319"/>
    </w:p>
    <w:p>
      <w:pPr>
        <w:keepNext/>
        <w:keepLines/>
        <w:spacing w:line="480" w:lineRule="exact"/>
        <w:ind w:firstLine="440" w:firstLineChars="200"/>
        <w:outlineLvl w:val="1"/>
        <w:rPr>
          <w:rFonts w:hint="eastAsia" w:ascii="宋体" w:hAnsi="宋体" w:cs="宋体"/>
          <w:sz w:val="22"/>
          <w:szCs w:val="22"/>
        </w:rPr>
      </w:pPr>
      <w:bookmarkStart w:id="320" w:name="_Toc6165"/>
      <w:r>
        <w:rPr>
          <w:rFonts w:hint="eastAsia" w:ascii="宋体" w:hAnsi="宋体" w:cs="宋体"/>
          <w:sz w:val="22"/>
          <w:szCs w:val="22"/>
        </w:rPr>
        <w:t>（1）有下列情形之一的，属于投标人相互串通投标：</w:t>
      </w:r>
      <w:bookmarkEnd w:id="320"/>
    </w:p>
    <w:p>
      <w:pPr>
        <w:keepNext/>
        <w:keepLines/>
        <w:spacing w:line="480" w:lineRule="exact"/>
        <w:ind w:firstLine="440" w:firstLineChars="200"/>
        <w:outlineLvl w:val="1"/>
        <w:rPr>
          <w:rFonts w:hint="eastAsia" w:ascii="宋体" w:hAnsi="宋体" w:cs="宋体"/>
          <w:sz w:val="22"/>
          <w:szCs w:val="22"/>
        </w:rPr>
      </w:pPr>
      <w:bookmarkStart w:id="321" w:name="_Toc1012"/>
      <w:r>
        <w:rPr>
          <w:rFonts w:hint="eastAsia" w:ascii="宋体" w:hAnsi="宋体" w:cs="宋体"/>
          <w:sz w:val="22"/>
          <w:szCs w:val="22"/>
        </w:rPr>
        <w:t>a.投标人之间协商投标报价等投标文件的实质性内容；</w:t>
      </w:r>
      <w:bookmarkEnd w:id="321"/>
    </w:p>
    <w:p>
      <w:pPr>
        <w:keepNext/>
        <w:keepLines/>
        <w:spacing w:line="480" w:lineRule="exact"/>
        <w:ind w:firstLine="440" w:firstLineChars="200"/>
        <w:outlineLvl w:val="1"/>
        <w:rPr>
          <w:rFonts w:hint="eastAsia" w:ascii="宋体" w:hAnsi="宋体" w:cs="宋体"/>
          <w:sz w:val="22"/>
          <w:szCs w:val="22"/>
        </w:rPr>
      </w:pPr>
      <w:bookmarkStart w:id="322" w:name="_Toc9526"/>
      <w:r>
        <w:rPr>
          <w:rFonts w:hint="eastAsia" w:ascii="宋体" w:hAnsi="宋体" w:cs="宋体"/>
          <w:sz w:val="22"/>
          <w:szCs w:val="22"/>
        </w:rPr>
        <w:t>b.投标人之间约定中标人；</w:t>
      </w:r>
      <w:bookmarkEnd w:id="322"/>
    </w:p>
    <w:p>
      <w:pPr>
        <w:keepNext/>
        <w:keepLines/>
        <w:spacing w:line="480" w:lineRule="exact"/>
        <w:ind w:firstLine="440" w:firstLineChars="200"/>
        <w:outlineLvl w:val="1"/>
        <w:rPr>
          <w:rFonts w:hint="eastAsia" w:ascii="宋体" w:hAnsi="宋体" w:cs="宋体"/>
          <w:sz w:val="22"/>
          <w:szCs w:val="22"/>
        </w:rPr>
      </w:pPr>
      <w:bookmarkStart w:id="323" w:name="_Toc8832"/>
      <w:r>
        <w:rPr>
          <w:rFonts w:hint="eastAsia" w:ascii="宋体" w:hAnsi="宋体" w:cs="宋体"/>
          <w:sz w:val="22"/>
          <w:szCs w:val="22"/>
        </w:rPr>
        <w:t>c.投标人之间约定部分投标人放弃投标或中标；</w:t>
      </w:r>
      <w:bookmarkEnd w:id="323"/>
    </w:p>
    <w:p>
      <w:pPr>
        <w:keepNext/>
        <w:keepLines/>
        <w:spacing w:line="480" w:lineRule="exact"/>
        <w:ind w:firstLine="440" w:firstLineChars="200"/>
        <w:outlineLvl w:val="1"/>
        <w:rPr>
          <w:rFonts w:hint="eastAsia" w:ascii="宋体" w:hAnsi="宋体" w:cs="宋体"/>
          <w:sz w:val="22"/>
          <w:szCs w:val="22"/>
        </w:rPr>
      </w:pPr>
      <w:bookmarkStart w:id="324" w:name="_Toc6242"/>
      <w:r>
        <w:rPr>
          <w:rFonts w:hint="eastAsia" w:ascii="宋体" w:hAnsi="宋体" w:cs="宋体"/>
          <w:sz w:val="22"/>
          <w:szCs w:val="22"/>
        </w:rPr>
        <w:t>d.属于同一集团、协会、商会等组织成员的投标人按照该组织要求协同投标；</w:t>
      </w:r>
      <w:bookmarkEnd w:id="324"/>
    </w:p>
    <w:p>
      <w:pPr>
        <w:keepNext/>
        <w:keepLines/>
        <w:spacing w:line="480" w:lineRule="exact"/>
        <w:ind w:firstLine="440" w:firstLineChars="200"/>
        <w:outlineLvl w:val="1"/>
        <w:rPr>
          <w:rFonts w:hint="eastAsia" w:ascii="宋体" w:hAnsi="宋体" w:cs="宋体"/>
          <w:sz w:val="22"/>
          <w:szCs w:val="22"/>
        </w:rPr>
      </w:pPr>
      <w:bookmarkStart w:id="325" w:name="_Toc31400"/>
      <w:r>
        <w:rPr>
          <w:rFonts w:hint="eastAsia" w:ascii="宋体" w:hAnsi="宋体" w:cs="宋体"/>
          <w:sz w:val="22"/>
          <w:szCs w:val="22"/>
        </w:rPr>
        <w:t>e.投标人之间为谋取中标或排斥特定投标人而采取的其他联合行动。</w:t>
      </w:r>
      <w:bookmarkEnd w:id="325"/>
    </w:p>
    <w:p>
      <w:pPr>
        <w:keepNext/>
        <w:keepLines/>
        <w:spacing w:line="480" w:lineRule="exact"/>
        <w:ind w:firstLine="440" w:firstLineChars="200"/>
        <w:outlineLvl w:val="1"/>
        <w:rPr>
          <w:rFonts w:hint="eastAsia" w:ascii="宋体" w:hAnsi="宋体" w:cs="宋体"/>
          <w:sz w:val="22"/>
          <w:szCs w:val="22"/>
        </w:rPr>
      </w:pPr>
      <w:bookmarkStart w:id="326" w:name="_Toc8325"/>
      <w:r>
        <w:rPr>
          <w:rFonts w:hint="eastAsia" w:ascii="宋体" w:hAnsi="宋体" w:cs="宋体"/>
          <w:sz w:val="22"/>
          <w:szCs w:val="22"/>
        </w:rPr>
        <w:t>（2）有下列情形之一的，视为投标人相互串通投标：</w:t>
      </w:r>
      <w:bookmarkEnd w:id="326"/>
    </w:p>
    <w:p>
      <w:pPr>
        <w:keepNext/>
        <w:keepLines/>
        <w:spacing w:line="480" w:lineRule="exact"/>
        <w:ind w:firstLine="440" w:firstLineChars="200"/>
        <w:outlineLvl w:val="1"/>
        <w:rPr>
          <w:rFonts w:hint="eastAsia" w:ascii="宋体" w:hAnsi="宋体" w:cs="宋体"/>
          <w:sz w:val="22"/>
          <w:szCs w:val="22"/>
        </w:rPr>
      </w:pPr>
      <w:bookmarkStart w:id="327" w:name="_Toc16276"/>
      <w:r>
        <w:rPr>
          <w:rFonts w:hint="eastAsia" w:ascii="宋体" w:hAnsi="宋体" w:cs="宋体"/>
          <w:sz w:val="22"/>
          <w:szCs w:val="22"/>
        </w:rPr>
        <w:t>a.不同投标人的投标文件由同一单位或个人编制；</w:t>
      </w:r>
      <w:bookmarkEnd w:id="327"/>
    </w:p>
    <w:p>
      <w:pPr>
        <w:keepNext/>
        <w:keepLines/>
        <w:spacing w:line="480" w:lineRule="exact"/>
        <w:ind w:firstLine="440" w:firstLineChars="200"/>
        <w:outlineLvl w:val="1"/>
        <w:rPr>
          <w:rFonts w:hint="eastAsia" w:ascii="宋体" w:hAnsi="宋体" w:cs="宋体"/>
          <w:sz w:val="22"/>
          <w:szCs w:val="22"/>
        </w:rPr>
      </w:pPr>
      <w:bookmarkStart w:id="328" w:name="_Toc3172"/>
      <w:r>
        <w:rPr>
          <w:rFonts w:hint="eastAsia" w:ascii="宋体" w:hAnsi="宋体" w:cs="宋体"/>
          <w:sz w:val="22"/>
          <w:szCs w:val="22"/>
        </w:rPr>
        <w:t>b.不同投标人委托同一单位或个人办理投标事宜；</w:t>
      </w:r>
      <w:bookmarkEnd w:id="328"/>
    </w:p>
    <w:p>
      <w:pPr>
        <w:keepNext/>
        <w:keepLines/>
        <w:spacing w:line="480" w:lineRule="exact"/>
        <w:ind w:firstLine="440" w:firstLineChars="200"/>
        <w:outlineLvl w:val="1"/>
        <w:rPr>
          <w:rFonts w:hint="eastAsia" w:ascii="宋体" w:hAnsi="宋体" w:cs="宋体"/>
          <w:sz w:val="22"/>
          <w:szCs w:val="22"/>
        </w:rPr>
      </w:pPr>
      <w:bookmarkStart w:id="329" w:name="_Toc21547"/>
      <w:r>
        <w:rPr>
          <w:rFonts w:hint="eastAsia" w:ascii="宋体" w:hAnsi="宋体" w:cs="宋体"/>
          <w:sz w:val="22"/>
          <w:szCs w:val="22"/>
        </w:rPr>
        <w:t>c.不同投标人的投标文件载明的项目管理成员为同一人；</w:t>
      </w:r>
      <w:bookmarkEnd w:id="329"/>
    </w:p>
    <w:p>
      <w:pPr>
        <w:keepNext/>
        <w:keepLines/>
        <w:spacing w:line="480" w:lineRule="exact"/>
        <w:ind w:firstLine="440" w:firstLineChars="200"/>
        <w:outlineLvl w:val="1"/>
        <w:rPr>
          <w:rFonts w:hint="eastAsia" w:ascii="宋体" w:hAnsi="宋体" w:cs="宋体"/>
          <w:sz w:val="22"/>
          <w:szCs w:val="22"/>
        </w:rPr>
      </w:pPr>
      <w:bookmarkStart w:id="330" w:name="_Toc11679"/>
      <w:r>
        <w:rPr>
          <w:rFonts w:hint="eastAsia" w:ascii="宋体" w:hAnsi="宋体" w:cs="宋体"/>
          <w:sz w:val="22"/>
          <w:szCs w:val="22"/>
        </w:rPr>
        <w:t>d.不同投标人的投标文件异常一致或投标报价呈规律性差异；</w:t>
      </w:r>
      <w:bookmarkEnd w:id="330"/>
    </w:p>
    <w:p>
      <w:pPr>
        <w:keepNext/>
        <w:keepLines/>
        <w:spacing w:line="480" w:lineRule="exact"/>
        <w:ind w:firstLine="440" w:firstLineChars="200"/>
        <w:outlineLvl w:val="1"/>
        <w:rPr>
          <w:rFonts w:hint="eastAsia" w:ascii="宋体" w:hAnsi="宋体" w:cs="宋体"/>
          <w:sz w:val="22"/>
          <w:szCs w:val="22"/>
        </w:rPr>
      </w:pPr>
      <w:bookmarkStart w:id="331" w:name="_Toc7322"/>
      <w:r>
        <w:rPr>
          <w:rFonts w:hint="eastAsia" w:ascii="宋体" w:hAnsi="宋体" w:cs="宋体"/>
          <w:sz w:val="22"/>
          <w:szCs w:val="22"/>
        </w:rPr>
        <w:t>e.不同投标人的投标文件相互混装；</w:t>
      </w:r>
      <w:bookmarkEnd w:id="331"/>
    </w:p>
    <w:p>
      <w:pPr>
        <w:keepNext/>
        <w:keepLines/>
        <w:spacing w:line="480" w:lineRule="exact"/>
        <w:ind w:firstLine="440" w:firstLineChars="200"/>
        <w:outlineLvl w:val="1"/>
        <w:rPr>
          <w:rFonts w:hint="eastAsia" w:ascii="宋体" w:hAnsi="宋体" w:cs="宋体"/>
          <w:sz w:val="22"/>
          <w:szCs w:val="22"/>
        </w:rPr>
      </w:pPr>
      <w:bookmarkStart w:id="332" w:name="_Toc29838"/>
      <w:r>
        <w:rPr>
          <w:rFonts w:hint="eastAsia" w:ascii="宋体" w:hAnsi="宋体" w:cs="宋体"/>
          <w:sz w:val="22"/>
          <w:szCs w:val="22"/>
        </w:rPr>
        <w:t>f.不同投标人的投标保证金从同一单位或个人的账户转出。</w:t>
      </w:r>
      <w:bookmarkEnd w:id="332"/>
    </w:p>
    <w:p>
      <w:pPr>
        <w:keepNext/>
        <w:keepLines/>
        <w:spacing w:line="480" w:lineRule="exact"/>
        <w:ind w:firstLine="440" w:firstLineChars="200"/>
        <w:outlineLvl w:val="1"/>
        <w:rPr>
          <w:rFonts w:hint="eastAsia" w:ascii="宋体" w:hAnsi="宋体" w:cs="宋体"/>
          <w:sz w:val="22"/>
          <w:szCs w:val="22"/>
        </w:rPr>
      </w:pPr>
      <w:bookmarkStart w:id="333" w:name="_Toc31027"/>
      <w:r>
        <w:rPr>
          <w:rFonts w:hint="eastAsia" w:ascii="宋体" w:hAnsi="宋体" w:cs="宋体"/>
          <w:sz w:val="22"/>
          <w:szCs w:val="22"/>
        </w:rPr>
        <w:t>（3）有下列情形之一的，属于招标人与投标人串通投标：</w:t>
      </w:r>
      <w:bookmarkEnd w:id="333"/>
    </w:p>
    <w:p>
      <w:pPr>
        <w:keepNext/>
        <w:keepLines/>
        <w:spacing w:line="480" w:lineRule="exact"/>
        <w:ind w:firstLine="440" w:firstLineChars="200"/>
        <w:outlineLvl w:val="1"/>
        <w:rPr>
          <w:rFonts w:hint="eastAsia" w:ascii="宋体" w:hAnsi="宋体" w:cs="宋体"/>
          <w:sz w:val="22"/>
          <w:szCs w:val="22"/>
        </w:rPr>
      </w:pPr>
      <w:bookmarkStart w:id="334" w:name="_Toc5171"/>
      <w:r>
        <w:rPr>
          <w:rFonts w:hint="eastAsia" w:ascii="宋体" w:hAnsi="宋体" w:cs="宋体"/>
          <w:sz w:val="22"/>
          <w:szCs w:val="22"/>
        </w:rPr>
        <w:t>a.招标人在开标前开启投标文件并将有关信息泄露给其他投标人；</w:t>
      </w:r>
      <w:bookmarkEnd w:id="334"/>
    </w:p>
    <w:p>
      <w:pPr>
        <w:keepNext/>
        <w:keepLines/>
        <w:spacing w:line="480" w:lineRule="exact"/>
        <w:ind w:firstLine="440" w:firstLineChars="200"/>
        <w:outlineLvl w:val="1"/>
        <w:rPr>
          <w:rFonts w:hint="eastAsia" w:ascii="宋体" w:hAnsi="宋体" w:cs="宋体"/>
          <w:sz w:val="22"/>
          <w:szCs w:val="22"/>
        </w:rPr>
      </w:pPr>
      <w:bookmarkStart w:id="335" w:name="_Toc7452"/>
      <w:r>
        <w:rPr>
          <w:rFonts w:hint="eastAsia" w:ascii="宋体" w:hAnsi="宋体" w:cs="宋体"/>
          <w:sz w:val="22"/>
          <w:szCs w:val="22"/>
        </w:rPr>
        <w:t>b.招标人直接或间接向投标人泄露标底、评标委员会成员等信息；</w:t>
      </w:r>
      <w:bookmarkEnd w:id="335"/>
    </w:p>
    <w:p>
      <w:pPr>
        <w:keepNext/>
        <w:keepLines/>
        <w:spacing w:line="480" w:lineRule="exact"/>
        <w:ind w:firstLine="440" w:firstLineChars="200"/>
        <w:outlineLvl w:val="1"/>
        <w:rPr>
          <w:rFonts w:hint="eastAsia" w:ascii="宋体" w:hAnsi="宋体" w:cs="宋体"/>
          <w:sz w:val="22"/>
          <w:szCs w:val="22"/>
        </w:rPr>
      </w:pPr>
      <w:bookmarkStart w:id="336" w:name="_Toc13977"/>
      <w:r>
        <w:rPr>
          <w:rFonts w:hint="eastAsia" w:ascii="宋体" w:hAnsi="宋体" w:cs="宋体"/>
          <w:sz w:val="22"/>
          <w:szCs w:val="22"/>
        </w:rPr>
        <w:t>c.招标人明示或暗示投标人压低或抬高投标报价；</w:t>
      </w:r>
      <w:bookmarkEnd w:id="336"/>
    </w:p>
    <w:p>
      <w:pPr>
        <w:keepNext/>
        <w:keepLines/>
        <w:spacing w:line="480" w:lineRule="exact"/>
        <w:ind w:firstLine="440" w:firstLineChars="200"/>
        <w:outlineLvl w:val="1"/>
        <w:rPr>
          <w:rFonts w:hint="eastAsia" w:ascii="宋体" w:hAnsi="宋体" w:cs="宋体"/>
          <w:sz w:val="22"/>
          <w:szCs w:val="22"/>
        </w:rPr>
      </w:pPr>
      <w:bookmarkStart w:id="337" w:name="_Toc18343"/>
      <w:r>
        <w:rPr>
          <w:rFonts w:hint="eastAsia" w:ascii="宋体" w:hAnsi="宋体" w:cs="宋体"/>
          <w:sz w:val="22"/>
          <w:szCs w:val="22"/>
        </w:rPr>
        <w:t>d.招标人授意投标人撤换、修改投标文件；</w:t>
      </w:r>
      <w:bookmarkEnd w:id="337"/>
    </w:p>
    <w:p>
      <w:pPr>
        <w:keepNext/>
        <w:keepLines/>
        <w:spacing w:line="480" w:lineRule="exact"/>
        <w:ind w:firstLine="440" w:firstLineChars="200"/>
        <w:outlineLvl w:val="1"/>
        <w:rPr>
          <w:rFonts w:hint="eastAsia" w:ascii="宋体" w:hAnsi="宋体" w:cs="宋体"/>
          <w:sz w:val="22"/>
          <w:szCs w:val="22"/>
        </w:rPr>
      </w:pPr>
      <w:bookmarkStart w:id="338" w:name="_Toc19803"/>
      <w:r>
        <w:rPr>
          <w:rFonts w:hint="eastAsia" w:ascii="宋体" w:hAnsi="宋体" w:cs="宋体"/>
          <w:sz w:val="22"/>
          <w:szCs w:val="22"/>
        </w:rPr>
        <w:t>e.招标人明示或暗示投标人为特定投标人中标提供方便；</w:t>
      </w:r>
      <w:bookmarkEnd w:id="338"/>
    </w:p>
    <w:p>
      <w:pPr>
        <w:keepNext/>
        <w:keepLines/>
        <w:spacing w:line="480" w:lineRule="exact"/>
        <w:ind w:firstLine="440" w:firstLineChars="200"/>
        <w:outlineLvl w:val="1"/>
        <w:rPr>
          <w:rFonts w:hint="eastAsia" w:ascii="宋体" w:hAnsi="宋体" w:cs="宋体"/>
          <w:sz w:val="22"/>
          <w:szCs w:val="22"/>
        </w:rPr>
      </w:pPr>
      <w:bookmarkStart w:id="339" w:name="_Toc23890"/>
      <w:r>
        <w:rPr>
          <w:rFonts w:hint="eastAsia" w:ascii="宋体" w:hAnsi="宋体" w:cs="宋体"/>
          <w:sz w:val="22"/>
          <w:szCs w:val="22"/>
        </w:rPr>
        <w:t>f.招标人与投标人为谋求特定投标人中标而采取的其他串通行为。</w:t>
      </w:r>
      <w:bookmarkEnd w:id="339"/>
    </w:p>
    <w:p>
      <w:pPr>
        <w:keepNext/>
        <w:keepLines/>
        <w:spacing w:line="480" w:lineRule="exact"/>
        <w:ind w:firstLine="440" w:firstLineChars="200"/>
        <w:outlineLvl w:val="1"/>
        <w:rPr>
          <w:rFonts w:hint="eastAsia" w:ascii="宋体" w:hAnsi="宋体" w:cs="宋体"/>
          <w:sz w:val="22"/>
          <w:szCs w:val="22"/>
        </w:rPr>
      </w:pPr>
      <w:bookmarkStart w:id="340" w:name="_Toc10021"/>
      <w:r>
        <w:rPr>
          <w:rFonts w:hint="eastAsia" w:ascii="宋体" w:hAnsi="宋体" w:cs="宋体"/>
          <w:sz w:val="22"/>
          <w:szCs w:val="22"/>
        </w:rPr>
        <w:t>（4）投标人有下列情形之一的，属于弄虚作假的行为：</w:t>
      </w:r>
      <w:bookmarkEnd w:id="340"/>
    </w:p>
    <w:p>
      <w:pPr>
        <w:keepNext/>
        <w:keepLines/>
        <w:spacing w:line="480" w:lineRule="exact"/>
        <w:ind w:firstLine="440" w:firstLineChars="200"/>
        <w:outlineLvl w:val="1"/>
        <w:rPr>
          <w:rFonts w:hint="eastAsia" w:ascii="宋体" w:hAnsi="宋体" w:cs="宋体"/>
          <w:sz w:val="22"/>
          <w:szCs w:val="22"/>
        </w:rPr>
      </w:pPr>
      <w:bookmarkStart w:id="341" w:name="_Toc1458"/>
      <w:r>
        <w:rPr>
          <w:rFonts w:hint="eastAsia" w:ascii="宋体" w:hAnsi="宋体" w:cs="宋体"/>
          <w:sz w:val="22"/>
          <w:szCs w:val="22"/>
        </w:rPr>
        <w:t>a.使用通过受让或租借等方式获取的资格、资质证书投标；</w:t>
      </w:r>
      <w:bookmarkEnd w:id="341"/>
    </w:p>
    <w:p>
      <w:pPr>
        <w:keepNext/>
        <w:keepLines/>
        <w:spacing w:line="480" w:lineRule="exact"/>
        <w:ind w:firstLine="440" w:firstLineChars="200"/>
        <w:outlineLvl w:val="1"/>
        <w:rPr>
          <w:rFonts w:hint="eastAsia" w:ascii="宋体" w:hAnsi="宋体" w:cs="宋体"/>
          <w:sz w:val="22"/>
          <w:szCs w:val="22"/>
        </w:rPr>
      </w:pPr>
      <w:bookmarkStart w:id="342" w:name="_Toc31337"/>
      <w:r>
        <w:rPr>
          <w:rFonts w:hint="eastAsia" w:ascii="宋体" w:hAnsi="宋体" w:cs="宋体"/>
          <w:sz w:val="22"/>
          <w:szCs w:val="22"/>
        </w:rPr>
        <w:t>b.使用伪造、变造的许可证件；</w:t>
      </w:r>
      <w:bookmarkEnd w:id="342"/>
    </w:p>
    <w:p>
      <w:pPr>
        <w:keepNext/>
        <w:keepLines/>
        <w:spacing w:line="480" w:lineRule="exact"/>
        <w:ind w:firstLine="440" w:firstLineChars="200"/>
        <w:outlineLvl w:val="1"/>
        <w:rPr>
          <w:rFonts w:hint="eastAsia" w:ascii="宋体" w:hAnsi="宋体" w:cs="宋体"/>
          <w:sz w:val="22"/>
          <w:szCs w:val="22"/>
        </w:rPr>
      </w:pPr>
      <w:bookmarkStart w:id="343" w:name="_Toc24030"/>
      <w:r>
        <w:rPr>
          <w:rFonts w:hint="eastAsia" w:ascii="宋体" w:hAnsi="宋体" w:cs="宋体"/>
          <w:sz w:val="22"/>
          <w:szCs w:val="22"/>
        </w:rPr>
        <w:t>c.提供虚假的财务状况或业绩；</w:t>
      </w:r>
      <w:bookmarkEnd w:id="343"/>
    </w:p>
    <w:p>
      <w:pPr>
        <w:keepNext/>
        <w:keepLines/>
        <w:spacing w:line="480" w:lineRule="exact"/>
        <w:ind w:firstLine="440" w:firstLineChars="200"/>
        <w:outlineLvl w:val="1"/>
        <w:rPr>
          <w:rFonts w:hint="eastAsia" w:ascii="宋体" w:hAnsi="宋体" w:cs="宋体"/>
          <w:sz w:val="22"/>
          <w:szCs w:val="22"/>
        </w:rPr>
      </w:pPr>
      <w:bookmarkStart w:id="344" w:name="_Toc22179"/>
      <w:r>
        <w:rPr>
          <w:rFonts w:hint="eastAsia" w:ascii="宋体" w:hAnsi="宋体" w:cs="宋体"/>
          <w:sz w:val="22"/>
          <w:szCs w:val="22"/>
        </w:rPr>
        <w:t>d.提供虚假的项目经理或主要技术人员简历、劳动关系证明；</w:t>
      </w:r>
      <w:bookmarkEnd w:id="344"/>
    </w:p>
    <w:p>
      <w:pPr>
        <w:keepNext/>
        <w:keepLines/>
        <w:spacing w:line="480" w:lineRule="exact"/>
        <w:ind w:firstLine="440" w:firstLineChars="200"/>
        <w:outlineLvl w:val="1"/>
        <w:rPr>
          <w:rFonts w:hint="eastAsia" w:ascii="宋体" w:hAnsi="宋体" w:cs="宋体"/>
          <w:sz w:val="22"/>
          <w:szCs w:val="22"/>
        </w:rPr>
      </w:pPr>
      <w:bookmarkStart w:id="345" w:name="_Toc2839"/>
      <w:r>
        <w:rPr>
          <w:rFonts w:hint="eastAsia" w:ascii="宋体" w:hAnsi="宋体" w:cs="宋体"/>
          <w:sz w:val="22"/>
          <w:szCs w:val="22"/>
        </w:rPr>
        <w:t>e.提供虚假的信用状况；</w:t>
      </w:r>
      <w:bookmarkEnd w:id="345"/>
    </w:p>
    <w:p>
      <w:pPr>
        <w:keepNext/>
        <w:keepLines/>
        <w:spacing w:line="480" w:lineRule="exact"/>
        <w:ind w:firstLine="440" w:firstLineChars="200"/>
        <w:outlineLvl w:val="1"/>
        <w:rPr>
          <w:rFonts w:hint="eastAsia" w:ascii="宋体" w:hAnsi="宋体" w:cs="宋体"/>
          <w:sz w:val="22"/>
          <w:szCs w:val="22"/>
        </w:rPr>
      </w:pPr>
      <w:bookmarkStart w:id="346" w:name="_Toc14563"/>
      <w:r>
        <w:rPr>
          <w:rFonts w:hint="eastAsia" w:ascii="宋体" w:hAnsi="宋体" w:cs="宋体"/>
          <w:sz w:val="22"/>
          <w:szCs w:val="22"/>
        </w:rPr>
        <w:t>f.其他弄虚作假的行为。</w:t>
      </w:r>
      <w:bookmarkEnd w:id="346"/>
    </w:p>
    <w:p>
      <w:pPr>
        <w:keepNext/>
        <w:keepLines/>
        <w:spacing w:line="480" w:lineRule="exact"/>
        <w:ind w:firstLine="442" w:firstLineChars="200"/>
        <w:outlineLvl w:val="1"/>
        <w:rPr>
          <w:rFonts w:hint="eastAsia" w:ascii="宋体" w:hAnsi="宋体" w:cs="宋体"/>
          <w:b/>
          <w:bCs/>
          <w:sz w:val="22"/>
          <w:szCs w:val="22"/>
        </w:rPr>
      </w:pPr>
      <w:bookmarkStart w:id="347" w:name="_Toc6074"/>
      <w:r>
        <w:rPr>
          <w:rFonts w:hint="eastAsia" w:ascii="宋体" w:hAnsi="宋体" w:cs="宋体"/>
          <w:b/>
          <w:bCs/>
          <w:sz w:val="22"/>
          <w:szCs w:val="22"/>
        </w:rPr>
        <w:t>3.5 投标文件的澄清、说明或补正</w:t>
      </w:r>
      <w:bookmarkEnd w:id="347"/>
    </w:p>
    <w:p>
      <w:pPr>
        <w:keepNext/>
        <w:keepLines/>
        <w:spacing w:line="480" w:lineRule="exact"/>
        <w:ind w:firstLine="440" w:firstLineChars="200"/>
        <w:outlineLvl w:val="1"/>
        <w:rPr>
          <w:rFonts w:hint="eastAsia" w:ascii="宋体" w:hAnsi="宋体" w:cs="宋体"/>
          <w:sz w:val="22"/>
          <w:szCs w:val="22"/>
        </w:rPr>
      </w:pPr>
      <w:bookmarkStart w:id="348" w:name="_Toc9586"/>
      <w:r>
        <w:rPr>
          <w:rFonts w:hint="eastAsia" w:ascii="宋体" w:hAnsi="宋体" w:cs="宋体"/>
          <w:sz w:val="22"/>
          <w:szCs w:val="22"/>
        </w:rPr>
        <w:t>3.5.1 在评标过程中，评标委员会可以书面形式要求投标人对投标文件中含义不明确、对同类问题</w:t>
      </w:r>
      <w:bookmarkEnd w:id="348"/>
      <w:bookmarkStart w:id="349" w:name="_Toc5316"/>
      <w:r>
        <w:rPr>
          <w:rFonts w:hint="eastAsia" w:ascii="宋体" w:hAnsi="宋体" w:cs="宋体"/>
          <w:sz w:val="22"/>
          <w:szCs w:val="22"/>
        </w:rPr>
        <w:t>表述不一致或者有明显文字和计算错误的内容作必要的澄清、说明或补正。评标委员会不接受投标人</w:t>
      </w:r>
      <w:bookmarkEnd w:id="349"/>
      <w:bookmarkStart w:id="350" w:name="_Toc30668"/>
      <w:r>
        <w:rPr>
          <w:rFonts w:hint="eastAsia" w:ascii="宋体" w:hAnsi="宋体" w:cs="宋体"/>
          <w:sz w:val="22"/>
          <w:szCs w:val="22"/>
        </w:rPr>
        <w:t>主动提出的澄清、说明或补正。</w:t>
      </w:r>
      <w:bookmarkEnd w:id="350"/>
    </w:p>
    <w:p>
      <w:pPr>
        <w:keepNext/>
        <w:keepLines/>
        <w:spacing w:line="480" w:lineRule="exact"/>
        <w:ind w:firstLine="440" w:firstLineChars="200"/>
        <w:outlineLvl w:val="1"/>
        <w:rPr>
          <w:rFonts w:hint="eastAsia" w:ascii="宋体" w:hAnsi="宋体" w:cs="宋体"/>
          <w:sz w:val="22"/>
          <w:szCs w:val="22"/>
        </w:rPr>
      </w:pPr>
      <w:bookmarkStart w:id="351" w:name="_Toc3182"/>
      <w:r>
        <w:rPr>
          <w:rFonts w:hint="eastAsia" w:ascii="宋体" w:hAnsi="宋体" w:cs="宋体"/>
          <w:sz w:val="22"/>
          <w:szCs w:val="22"/>
        </w:rPr>
        <w:t>3.5.2 投标人须在规定的时间内作出澄清、说明或补正且不得超出投标文件的范围且不得改变投标</w:t>
      </w:r>
      <w:bookmarkEnd w:id="351"/>
      <w:bookmarkStart w:id="352" w:name="_Toc25416"/>
      <w:r>
        <w:rPr>
          <w:rFonts w:hint="eastAsia" w:ascii="宋体" w:hAnsi="宋体" w:cs="宋体"/>
          <w:sz w:val="22"/>
          <w:szCs w:val="22"/>
        </w:rPr>
        <w:t>文件的实质性内容，并构成投标文件的组成部分。</w:t>
      </w:r>
      <w:bookmarkEnd w:id="352"/>
    </w:p>
    <w:p>
      <w:pPr>
        <w:keepNext/>
        <w:keepLines/>
        <w:spacing w:line="480" w:lineRule="exact"/>
        <w:ind w:firstLine="440" w:firstLineChars="200"/>
        <w:outlineLvl w:val="1"/>
        <w:rPr>
          <w:rFonts w:hint="eastAsia" w:ascii="宋体" w:hAnsi="宋体" w:cs="宋体"/>
          <w:sz w:val="22"/>
          <w:szCs w:val="22"/>
        </w:rPr>
      </w:pPr>
      <w:bookmarkStart w:id="353" w:name="_Toc30377"/>
      <w:r>
        <w:rPr>
          <w:rFonts w:hint="eastAsia" w:ascii="宋体" w:hAnsi="宋体" w:cs="宋体"/>
          <w:sz w:val="22"/>
          <w:szCs w:val="22"/>
        </w:rPr>
        <w:t>3.5.3 评标委员会对投标人在线提交的澄清、说明或补正有疑问的，可以要求投标人在规定的时间</w:t>
      </w:r>
      <w:bookmarkEnd w:id="353"/>
      <w:bookmarkStart w:id="354" w:name="_Toc12837"/>
      <w:r>
        <w:rPr>
          <w:rFonts w:hint="eastAsia" w:ascii="宋体" w:hAnsi="宋体" w:cs="宋体"/>
          <w:sz w:val="22"/>
          <w:szCs w:val="22"/>
        </w:rPr>
        <w:t>内进一步澄清、说明或补正，直至满足评标委员会的要求。</w:t>
      </w:r>
      <w:bookmarkEnd w:id="354"/>
    </w:p>
    <w:p>
      <w:pPr>
        <w:keepNext/>
        <w:keepLines/>
        <w:spacing w:line="480" w:lineRule="exact"/>
        <w:ind w:firstLine="442" w:firstLineChars="200"/>
        <w:outlineLvl w:val="1"/>
        <w:rPr>
          <w:rFonts w:hint="eastAsia" w:ascii="宋体" w:hAnsi="宋体" w:cs="宋体"/>
          <w:b/>
          <w:bCs/>
          <w:sz w:val="22"/>
          <w:szCs w:val="22"/>
        </w:rPr>
      </w:pPr>
      <w:bookmarkStart w:id="355" w:name="_Toc9862"/>
      <w:r>
        <w:rPr>
          <w:rFonts w:hint="eastAsia" w:ascii="宋体" w:hAnsi="宋体" w:cs="宋体"/>
          <w:b/>
          <w:bCs/>
          <w:sz w:val="22"/>
          <w:szCs w:val="22"/>
        </w:rPr>
        <w:t>3.6 评标结果</w:t>
      </w:r>
      <w:bookmarkEnd w:id="355"/>
    </w:p>
    <w:p>
      <w:pPr>
        <w:keepNext/>
        <w:keepLines/>
        <w:spacing w:line="480" w:lineRule="exact"/>
        <w:ind w:firstLine="440" w:firstLineChars="200"/>
        <w:outlineLvl w:val="1"/>
        <w:rPr>
          <w:rFonts w:hint="eastAsia" w:ascii="宋体" w:hAnsi="宋体" w:cs="宋体"/>
          <w:sz w:val="22"/>
          <w:szCs w:val="22"/>
        </w:rPr>
      </w:pPr>
      <w:bookmarkStart w:id="356" w:name="_Toc32212"/>
      <w:r>
        <w:rPr>
          <w:rFonts w:hint="eastAsia" w:ascii="宋体" w:hAnsi="宋体" w:cs="宋体"/>
          <w:sz w:val="22"/>
          <w:szCs w:val="22"/>
        </w:rPr>
        <w:t>3.6.1 除第二章投标人须知前附表授权直接确定中标人外，评标委员会按照得分由高到低的顺序推</w:t>
      </w:r>
      <w:bookmarkEnd w:id="356"/>
      <w:bookmarkStart w:id="357" w:name="_Toc8138"/>
      <w:r>
        <w:rPr>
          <w:rFonts w:hint="eastAsia" w:ascii="宋体" w:hAnsi="宋体" w:cs="宋体"/>
          <w:sz w:val="22"/>
          <w:szCs w:val="22"/>
        </w:rPr>
        <w:t>荐中标候选人，并标明排列顺序。</w:t>
      </w:r>
      <w:bookmarkEnd w:id="357"/>
    </w:p>
    <w:p>
      <w:pPr>
        <w:keepNext/>
        <w:keepLines/>
        <w:spacing w:line="480" w:lineRule="exact"/>
        <w:ind w:firstLine="440" w:firstLineChars="200"/>
        <w:outlineLvl w:val="1"/>
        <w:rPr>
          <w:rFonts w:hint="eastAsia" w:ascii="宋体" w:hAnsi="宋体" w:cs="宋体"/>
          <w:sz w:val="22"/>
          <w:szCs w:val="22"/>
        </w:rPr>
      </w:pPr>
      <w:bookmarkStart w:id="358" w:name="_Toc12980"/>
      <w:r>
        <w:rPr>
          <w:rFonts w:hint="eastAsia" w:ascii="宋体" w:hAnsi="宋体" w:cs="宋体"/>
          <w:sz w:val="22"/>
          <w:szCs w:val="22"/>
        </w:rPr>
        <w:t>3.6.2 评标委员会完成评标后，应当向招标人提交评标报告。评标报告应当如实记载以下内容：</w:t>
      </w:r>
      <w:bookmarkEnd w:id="358"/>
    </w:p>
    <w:p>
      <w:pPr>
        <w:keepNext/>
        <w:keepLines/>
        <w:spacing w:line="480" w:lineRule="exact"/>
        <w:ind w:firstLine="440" w:firstLineChars="200"/>
        <w:outlineLvl w:val="1"/>
        <w:rPr>
          <w:rFonts w:hint="eastAsia" w:ascii="宋体" w:hAnsi="宋体" w:cs="宋体"/>
          <w:sz w:val="22"/>
          <w:szCs w:val="22"/>
        </w:rPr>
      </w:pPr>
      <w:bookmarkStart w:id="359" w:name="_Toc32323"/>
      <w:r>
        <w:rPr>
          <w:rFonts w:hint="eastAsia" w:ascii="宋体" w:hAnsi="宋体" w:cs="宋体"/>
          <w:sz w:val="22"/>
          <w:szCs w:val="22"/>
        </w:rPr>
        <w:t>（1）基本情况和数据表；</w:t>
      </w:r>
      <w:bookmarkEnd w:id="359"/>
    </w:p>
    <w:p>
      <w:pPr>
        <w:keepNext/>
        <w:keepLines/>
        <w:spacing w:line="480" w:lineRule="exact"/>
        <w:ind w:firstLine="440" w:firstLineChars="200"/>
        <w:outlineLvl w:val="1"/>
        <w:rPr>
          <w:rFonts w:hint="eastAsia" w:ascii="宋体" w:hAnsi="宋体" w:cs="宋体"/>
          <w:sz w:val="22"/>
          <w:szCs w:val="22"/>
        </w:rPr>
      </w:pPr>
      <w:bookmarkStart w:id="360" w:name="_Toc674"/>
      <w:r>
        <w:rPr>
          <w:rFonts w:hint="eastAsia" w:ascii="宋体" w:hAnsi="宋体" w:cs="宋体"/>
          <w:sz w:val="22"/>
          <w:szCs w:val="22"/>
        </w:rPr>
        <w:t>（2）评标委员会成员名单；</w:t>
      </w:r>
      <w:bookmarkEnd w:id="360"/>
    </w:p>
    <w:p>
      <w:pPr>
        <w:keepNext/>
        <w:keepLines/>
        <w:spacing w:line="480" w:lineRule="exact"/>
        <w:ind w:firstLine="440" w:firstLineChars="200"/>
        <w:outlineLvl w:val="1"/>
        <w:rPr>
          <w:rFonts w:hint="eastAsia" w:ascii="宋体" w:hAnsi="宋体" w:cs="宋体"/>
          <w:sz w:val="22"/>
          <w:szCs w:val="22"/>
        </w:rPr>
      </w:pPr>
      <w:bookmarkStart w:id="361" w:name="_Toc9363"/>
      <w:r>
        <w:rPr>
          <w:rFonts w:hint="eastAsia" w:ascii="宋体" w:hAnsi="宋体" w:cs="宋体"/>
          <w:sz w:val="22"/>
          <w:szCs w:val="22"/>
        </w:rPr>
        <w:t>（3）开标记录；</w:t>
      </w:r>
      <w:bookmarkEnd w:id="361"/>
    </w:p>
    <w:p>
      <w:pPr>
        <w:keepNext/>
        <w:keepLines/>
        <w:spacing w:line="480" w:lineRule="exact"/>
        <w:ind w:firstLine="440" w:firstLineChars="200"/>
        <w:outlineLvl w:val="1"/>
        <w:rPr>
          <w:rFonts w:hint="eastAsia" w:ascii="宋体" w:hAnsi="宋体" w:cs="宋体"/>
          <w:sz w:val="22"/>
          <w:szCs w:val="22"/>
        </w:rPr>
      </w:pPr>
      <w:bookmarkStart w:id="362" w:name="_Toc17668"/>
      <w:r>
        <w:rPr>
          <w:rFonts w:hint="eastAsia" w:ascii="宋体" w:hAnsi="宋体" w:cs="宋体"/>
          <w:sz w:val="22"/>
          <w:szCs w:val="22"/>
        </w:rPr>
        <w:t>（4）符合要求的投标人一览表；</w:t>
      </w:r>
      <w:bookmarkEnd w:id="362"/>
    </w:p>
    <w:p>
      <w:pPr>
        <w:keepNext/>
        <w:keepLines/>
        <w:spacing w:line="480" w:lineRule="exact"/>
        <w:ind w:firstLine="440" w:firstLineChars="200"/>
        <w:outlineLvl w:val="1"/>
        <w:rPr>
          <w:rFonts w:hint="eastAsia" w:ascii="宋体" w:hAnsi="宋体" w:cs="宋体"/>
          <w:sz w:val="22"/>
          <w:szCs w:val="22"/>
        </w:rPr>
      </w:pPr>
      <w:bookmarkStart w:id="363" w:name="_Toc22161"/>
      <w:r>
        <w:rPr>
          <w:rFonts w:hint="eastAsia" w:ascii="宋体" w:hAnsi="宋体" w:cs="宋体"/>
          <w:sz w:val="22"/>
          <w:szCs w:val="22"/>
        </w:rPr>
        <w:t>（5）否决投标情况说明；</w:t>
      </w:r>
      <w:bookmarkEnd w:id="363"/>
    </w:p>
    <w:p>
      <w:pPr>
        <w:keepNext/>
        <w:keepLines/>
        <w:spacing w:line="480" w:lineRule="exact"/>
        <w:ind w:firstLine="440" w:firstLineChars="200"/>
        <w:outlineLvl w:val="1"/>
        <w:rPr>
          <w:rFonts w:hint="eastAsia" w:ascii="宋体" w:hAnsi="宋体" w:cs="宋体"/>
          <w:sz w:val="22"/>
          <w:szCs w:val="22"/>
        </w:rPr>
      </w:pPr>
      <w:bookmarkStart w:id="364" w:name="_Toc30782"/>
      <w:r>
        <w:rPr>
          <w:rFonts w:hint="eastAsia" w:ascii="宋体" w:hAnsi="宋体" w:cs="宋体"/>
          <w:sz w:val="22"/>
          <w:szCs w:val="22"/>
        </w:rPr>
        <w:t>（6）评标标准、评标方法或者评标因素一览表；</w:t>
      </w:r>
      <w:bookmarkEnd w:id="364"/>
    </w:p>
    <w:p>
      <w:pPr>
        <w:keepNext/>
        <w:keepLines/>
        <w:spacing w:line="480" w:lineRule="exact"/>
        <w:ind w:firstLine="440" w:firstLineChars="200"/>
        <w:outlineLvl w:val="1"/>
        <w:rPr>
          <w:rFonts w:hint="eastAsia" w:ascii="宋体" w:hAnsi="宋体" w:cs="宋体"/>
          <w:sz w:val="22"/>
          <w:szCs w:val="22"/>
        </w:rPr>
      </w:pPr>
      <w:bookmarkStart w:id="365" w:name="_Toc17260"/>
      <w:r>
        <w:rPr>
          <w:rFonts w:hint="eastAsia" w:ascii="宋体" w:hAnsi="宋体" w:cs="宋体"/>
          <w:sz w:val="22"/>
          <w:szCs w:val="22"/>
        </w:rPr>
        <w:t>（7）评分比较一览表；</w:t>
      </w:r>
      <w:bookmarkEnd w:id="365"/>
    </w:p>
    <w:p>
      <w:pPr>
        <w:keepNext/>
        <w:keepLines/>
        <w:spacing w:line="480" w:lineRule="exact"/>
        <w:ind w:firstLine="440" w:firstLineChars="200"/>
        <w:outlineLvl w:val="1"/>
        <w:rPr>
          <w:rFonts w:hint="eastAsia" w:ascii="宋体" w:hAnsi="宋体" w:cs="宋体"/>
          <w:sz w:val="22"/>
          <w:szCs w:val="22"/>
        </w:rPr>
      </w:pPr>
      <w:bookmarkStart w:id="366" w:name="_Toc30637"/>
      <w:r>
        <w:rPr>
          <w:rFonts w:hint="eastAsia" w:ascii="宋体" w:hAnsi="宋体" w:cs="宋体"/>
          <w:sz w:val="22"/>
          <w:szCs w:val="22"/>
        </w:rPr>
        <w:t>（8）经评审的投标人排序；</w:t>
      </w:r>
      <w:bookmarkEnd w:id="366"/>
    </w:p>
    <w:p>
      <w:pPr>
        <w:keepNext/>
        <w:keepLines/>
        <w:spacing w:line="480" w:lineRule="exact"/>
        <w:ind w:firstLine="440" w:firstLineChars="200"/>
        <w:outlineLvl w:val="1"/>
        <w:rPr>
          <w:rFonts w:hint="eastAsia" w:ascii="宋体" w:hAnsi="宋体" w:cs="宋体"/>
          <w:sz w:val="22"/>
          <w:szCs w:val="22"/>
        </w:rPr>
      </w:pPr>
      <w:bookmarkStart w:id="367" w:name="_Toc26169"/>
      <w:r>
        <w:rPr>
          <w:rFonts w:hint="eastAsia" w:ascii="宋体" w:hAnsi="宋体" w:cs="宋体"/>
          <w:sz w:val="22"/>
          <w:szCs w:val="22"/>
        </w:rPr>
        <w:t>（9）推荐的中标候选人名单与签订合同前要处理的事宜；</w:t>
      </w:r>
      <w:bookmarkEnd w:id="367"/>
    </w:p>
    <w:p>
      <w:pPr>
        <w:keepNext/>
        <w:keepLines/>
        <w:spacing w:line="480" w:lineRule="exact"/>
        <w:ind w:firstLine="440" w:firstLineChars="200"/>
        <w:rPr>
          <w:rFonts w:hint="eastAsia" w:ascii="宋体" w:hAnsi="宋体" w:cs="宋体"/>
          <w:sz w:val="22"/>
          <w:szCs w:val="22"/>
        </w:rPr>
      </w:pPr>
      <w:bookmarkStart w:id="368" w:name="_Toc21148"/>
      <w:r>
        <w:rPr>
          <w:rFonts w:hint="eastAsia" w:ascii="宋体" w:hAnsi="宋体" w:cs="宋体"/>
          <w:sz w:val="22"/>
          <w:szCs w:val="22"/>
        </w:rPr>
        <w:t>（10）澄清、说明事项纪要。</w:t>
      </w:r>
      <w:bookmarkEnd w:id="368"/>
    </w:p>
    <w:p>
      <w:pPr>
        <w:adjustRightInd w:val="0"/>
        <w:snapToGrid w:val="0"/>
        <w:spacing w:line="360" w:lineRule="auto"/>
        <w:ind w:firstLine="440" w:firstLineChars="200"/>
        <w:textAlignment w:val="baseline"/>
        <w:rPr>
          <w:rFonts w:hint="eastAsia"/>
          <w:color w:val="000000"/>
          <w:sz w:val="22"/>
          <w:highlight w:val="white"/>
        </w:rPr>
      </w:pPr>
    </w:p>
    <w:p>
      <w:pPr>
        <w:keepNext/>
        <w:keepLines/>
        <w:spacing w:line="360" w:lineRule="auto"/>
        <w:jc w:val="center"/>
        <w:outlineLvl w:val="0"/>
        <w:rPr>
          <w:rFonts w:hint="eastAsia" w:ascii="宋体" w:hAnsi="宋体" w:cs="宋体"/>
          <w:b/>
          <w:bCs/>
          <w:color w:val="FF0000"/>
          <w:sz w:val="28"/>
          <w:szCs w:val="36"/>
          <w:highlight w:val="yellow"/>
        </w:rPr>
        <w:sectPr>
          <w:footerReference r:id="rId8" w:type="default"/>
          <w:pgSz w:w="11907" w:h="16840"/>
          <w:pgMar w:top="1440" w:right="1247" w:bottom="1440" w:left="1247" w:header="851" w:footer="992" w:gutter="0"/>
          <w:cols w:space="720" w:num="1"/>
          <w:docGrid w:linePitch="303" w:charSpace="0"/>
        </w:sectPr>
      </w:pPr>
      <w:bookmarkStart w:id="369" w:name="_Toc6611"/>
      <w:bookmarkStart w:id="370" w:name="_Toc28799360"/>
      <w:bookmarkStart w:id="371" w:name="_Toc11078184"/>
      <w:bookmarkStart w:id="372" w:name="_Toc25918"/>
      <w:bookmarkStart w:id="373" w:name="_Toc26781084"/>
    </w:p>
    <w:bookmarkEnd w:id="369"/>
    <w:bookmarkEnd w:id="370"/>
    <w:bookmarkEnd w:id="371"/>
    <w:bookmarkEnd w:id="372"/>
    <w:p>
      <w:pPr>
        <w:pStyle w:val="2"/>
        <w:jc w:val="center"/>
        <w:rPr>
          <w:rFonts w:hint="eastAsia" w:eastAsia="黑体"/>
          <w:b w:val="0"/>
        </w:rPr>
      </w:pPr>
      <w:r>
        <w:rPr>
          <w:rFonts w:hint="eastAsia" w:eastAsia="黑体"/>
          <w:b w:val="0"/>
        </w:rPr>
        <w:t>第四章  合同条款及格式</w:t>
      </w:r>
      <w:bookmarkEnd w:id="373"/>
    </w:p>
    <w:p>
      <w:pPr>
        <w:pStyle w:val="3"/>
        <w:jc w:val="center"/>
        <w:rPr>
          <w:rFonts w:ascii="Times New Roman" w:hAnsi="Times New Roman"/>
          <w:color w:val="000000"/>
        </w:rPr>
      </w:pPr>
      <w:bookmarkStart w:id="374" w:name="_Toc501460683"/>
      <w:bookmarkStart w:id="375" w:name="_Toc26781085"/>
      <w:bookmarkStart w:id="376" w:name="_Toc15928646"/>
      <w:bookmarkStart w:id="377" w:name="_Toc152042546"/>
      <w:bookmarkStart w:id="378" w:name="_Toc144974826"/>
      <w:bookmarkStart w:id="379" w:name="_Toc179632785"/>
      <w:bookmarkStart w:id="380" w:name="_Toc152045767"/>
      <w:r>
        <w:rPr>
          <w:rFonts w:ascii="Times New Roman" w:hAnsi="Times New Roman"/>
          <w:color w:val="000000"/>
        </w:rPr>
        <w:t>第一节</w:t>
      </w:r>
      <w:r>
        <w:rPr>
          <w:rFonts w:hint="eastAsia" w:ascii="Times New Roman" w:hAnsi="Times New Roman"/>
          <w:color w:val="000000"/>
        </w:rPr>
        <w:t xml:space="preserve">  </w:t>
      </w:r>
      <w:r>
        <w:rPr>
          <w:rFonts w:ascii="Times New Roman" w:hAnsi="Times New Roman"/>
          <w:color w:val="000000"/>
        </w:rPr>
        <w:t>通用合同条款</w:t>
      </w:r>
      <w:bookmarkEnd w:id="374"/>
      <w:bookmarkEnd w:id="375"/>
      <w:bookmarkEnd w:id="376"/>
    </w:p>
    <w:p>
      <w:pPr>
        <w:pStyle w:val="3"/>
        <w:ind w:firstLine="105"/>
        <w:rPr>
          <w:rFonts w:ascii="Times New Roman" w:hAnsi="Times New Roman"/>
          <w:bCs w:val="0"/>
        </w:rPr>
      </w:pPr>
      <w:bookmarkStart w:id="381" w:name="_Toc26698147"/>
      <w:bookmarkStart w:id="382" w:name="_Toc26781086"/>
      <w:bookmarkStart w:id="383" w:name="_Toc30942"/>
      <w:bookmarkStart w:id="384" w:name="_Toc300835032"/>
      <w:bookmarkStart w:id="385" w:name="_Toc18333250"/>
      <w:bookmarkStart w:id="386" w:name="_Toc15928647"/>
      <w:bookmarkStart w:id="387" w:name="_Toc247514035"/>
      <w:bookmarkStart w:id="388" w:name="_Toc23183680"/>
      <w:bookmarkStart w:id="389" w:name="_Toc247527636"/>
      <w:bookmarkStart w:id="390" w:name="_Toc369531601"/>
      <w:bookmarkStart w:id="391" w:name="_Toc501460684"/>
      <w:r>
        <w:rPr>
          <w:rFonts w:ascii="Times New Roman" w:hAnsi="Times New Roman"/>
        </w:rPr>
        <w:t>1. 一般约定</w:t>
      </w:r>
      <w:bookmarkEnd w:id="381"/>
      <w:bookmarkEnd w:id="382"/>
      <w:bookmarkEnd w:id="383"/>
      <w:bookmarkEnd w:id="384"/>
      <w:bookmarkEnd w:id="385"/>
      <w:bookmarkEnd w:id="386"/>
      <w:bookmarkEnd w:id="387"/>
      <w:bookmarkEnd w:id="388"/>
      <w:bookmarkEnd w:id="389"/>
      <w:bookmarkEnd w:id="390"/>
      <w:bookmarkEnd w:id="391"/>
    </w:p>
    <w:p>
      <w:pPr>
        <w:pStyle w:val="4"/>
        <w:spacing w:line="240" w:lineRule="auto"/>
        <w:ind w:firstLine="137"/>
        <w:rPr>
          <w:rFonts w:ascii="Times New Roman" w:hAnsi="Times New Roman"/>
          <w:color w:val="000000"/>
        </w:rPr>
      </w:pPr>
      <w:bookmarkStart w:id="392" w:name="_Toc296602500"/>
      <w:bookmarkStart w:id="393" w:name="_Toc246996998"/>
      <w:bookmarkStart w:id="394" w:name="_Toc501460685"/>
      <w:bookmarkStart w:id="395" w:name="_Toc246996255"/>
      <w:bookmarkStart w:id="396" w:name="_Toc3381"/>
      <w:bookmarkStart w:id="397" w:name="_Toc247085770"/>
      <w:bookmarkStart w:id="398" w:name="_Toc369531602"/>
      <w:r>
        <w:rPr>
          <w:rFonts w:ascii="Times New Roman" w:hAnsi="Times New Roman"/>
          <w:color w:val="000000"/>
        </w:rPr>
        <w:t xml:space="preserve">1.1 </w:t>
      </w:r>
      <w:r>
        <w:rPr>
          <w:rFonts w:hint="eastAsia" w:ascii="Times New Roman" w:hAnsi="Times New Roman"/>
          <w:color w:val="000000"/>
        </w:rPr>
        <w:t>词语定义</w:t>
      </w:r>
      <w:bookmarkEnd w:id="392"/>
      <w:bookmarkEnd w:id="393"/>
      <w:bookmarkEnd w:id="394"/>
      <w:bookmarkEnd w:id="395"/>
      <w:bookmarkEnd w:id="396"/>
      <w:bookmarkEnd w:id="397"/>
      <w:bookmarkEnd w:id="398"/>
    </w:p>
    <w:p>
      <w:pPr>
        <w:spacing w:line="480" w:lineRule="exact"/>
        <w:ind w:firstLine="420" w:firstLineChars="200"/>
        <w:rPr>
          <w:szCs w:val="21"/>
        </w:rPr>
      </w:pPr>
      <w:r>
        <w:rPr>
          <w:szCs w:val="21"/>
        </w:rPr>
        <w:t>除专用合同条款另有约定外，合同中的下列词语应具有本款所赋予的含义。</w:t>
      </w:r>
    </w:p>
    <w:p>
      <w:pPr>
        <w:widowControl/>
        <w:spacing w:line="480" w:lineRule="exact"/>
        <w:ind w:firstLine="422" w:firstLineChars="200"/>
        <w:jc w:val="left"/>
      </w:pPr>
      <w:r>
        <w:rPr>
          <w:b/>
          <w:bCs/>
          <w:color w:val="000000"/>
          <w:kern w:val="0"/>
          <w:szCs w:val="21"/>
        </w:rPr>
        <w:t xml:space="preserve">1.1.1 </w:t>
      </w:r>
      <w:r>
        <w:rPr>
          <w:rFonts w:hint="eastAsia" w:ascii="宋体" w:hAnsi="宋体" w:cs="宋体"/>
          <w:b/>
          <w:bCs/>
          <w:color w:val="000000"/>
          <w:kern w:val="0"/>
          <w:szCs w:val="21"/>
        </w:rPr>
        <w:t xml:space="preserve">合同 </w:t>
      </w:r>
    </w:p>
    <w:p>
      <w:pPr>
        <w:widowControl/>
        <w:spacing w:line="480" w:lineRule="exact"/>
        <w:ind w:firstLine="420" w:firstLineChars="200"/>
        <w:jc w:val="left"/>
      </w:pPr>
      <w:r>
        <w:rPr>
          <w:color w:val="000000"/>
          <w:kern w:val="0"/>
          <w:szCs w:val="21"/>
        </w:rPr>
        <w:t xml:space="preserve">1.1.1.1 </w:t>
      </w:r>
      <w:r>
        <w:rPr>
          <w:rFonts w:hint="eastAsia" w:ascii="宋体" w:hAnsi="宋体" w:cs="宋体"/>
          <w:color w:val="000000"/>
          <w:kern w:val="0"/>
          <w:szCs w:val="21"/>
        </w:rPr>
        <w:t xml:space="preserve">合同文件（或称合同）：指合同协议书、中标通知书、投标函、商务和技术偏离表、专用合同条款、通用合同条款、供货要求、分项报价表、中标设备技术性能指标的详细描述、技术服务和质保期服务计划，以及其他构成合同组成部分的文件。 </w:t>
      </w:r>
    </w:p>
    <w:p>
      <w:pPr>
        <w:widowControl/>
        <w:spacing w:line="480" w:lineRule="exact"/>
        <w:ind w:firstLine="420" w:firstLineChars="200"/>
        <w:jc w:val="left"/>
      </w:pPr>
      <w:r>
        <w:rPr>
          <w:color w:val="000000"/>
          <w:kern w:val="0"/>
          <w:szCs w:val="21"/>
        </w:rPr>
        <w:t xml:space="preserve">1.1.1.2 </w:t>
      </w:r>
      <w:r>
        <w:rPr>
          <w:rFonts w:hint="eastAsia" w:ascii="宋体" w:hAnsi="宋体" w:cs="宋体"/>
          <w:color w:val="000000"/>
          <w:kern w:val="0"/>
          <w:szCs w:val="21"/>
        </w:rPr>
        <w:t xml:space="preserve">合同协议书：指买方和卖方共同签署的合同协议书。 </w:t>
      </w:r>
    </w:p>
    <w:p>
      <w:pPr>
        <w:widowControl/>
        <w:spacing w:line="480" w:lineRule="exact"/>
        <w:ind w:firstLine="420" w:firstLineChars="200"/>
        <w:jc w:val="left"/>
      </w:pPr>
      <w:r>
        <w:rPr>
          <w:color w:val="000000"/>
          <w:kern w:val="0"/>
          <w:szCs w:val="21"/>
        </w:rPr>
        <w:t xml:space="preserve">1.1.1.3 </w:t>
      </w:r>
      <w:r>
        <w:rPr>
          <w:rFonts w:hint="eastAsia" w:ascii="宋体" w:hAnsi="宋体" w:cs="宋体"/>
          <w:color w:val="000000"/>
          <w:kern w:val="0"/>
          <w:szCs w:val="21"/>
        </w:rPr>
        <w:t xml:space="preserve">中标通知书：指买方通知卖方中标的函件。 </w:t>
      </w:r>
    </w:p>
    <w:p>
      <w:pPr>
        <w:widowControl/>
        <w:spacing w:line="480" w:lineRule="exact"/>
        <w:ind w:firstLine="420" w:firstLineChars="200"/>
        <w:jc w:val="left"/>
      </w:pPr>
      <w:r>
        <w:rPr>
          <w:color w:val="000000"/>
          <w:kern w:val="0"/>
          <w:szCs w:val="21"/>
        </w:rPr>
        <w:t xml:space="preserve">1.1.1.4 </w:t>
      </w:r>
      <w:r>
        <w:rPr>
          <w:rFonts w:hint="eastAsia" w:ascii="宋体" w:hAnsi="宋体" w:cs="宋体"/>
          <w:color w:val="000000"/>
          <w:kern w:val="0"/>
          <w:szCs w:val="21"/>
        </w:rPr>
        <w:t xml:space="preserve">投标函：指由卖方填写并签署的，名为“投标函”的函件。 </w:t>
      </w:r>
    </w:p>
    <w:p>
      <w:pPr>
        <w:widowControl/>
        <w:spacing w:line="480" w:lineRule="exact"/>
        <w:ind w:firstLine="420" w:firstLineChars="200"/>
        <w:jc w:val="left"/>
      </w:pPr>
      <w:r>
        <w:rPr>
          <w:color w:val="000000"/>
          <w:kern w:val="0"/>
          <w:szCs w:val="21"/>
        </w:rPr>
        <w:t xml:space="preserve">1.1.1.5 </w:t>
      </w:r>
      <w:r>
        <w:rPr>
          <w:rFonts w:hint="eastAsia" w:ascii="宋体" w:hAnsi="宋体" w:cs="宋体"/>
          <w:color w:val="000000"/>
          <w:kern w:val="0"/>
          <w:szCs w:val="21"/>
        </w:rPr>
        <w:t xml:space="preserve">商务和技术偏离表：指卖方投标文件中的商务和技术偏离表。 </w:t>
      </w:r>
    </w:p>
    <w:p>
      <w:pPr>
        <w:widowControl/>
        <w:spacing w:line="480" w:lineRule="exact"/>
        <w:ind w:firstLine="420" w:firstLineChars="200"/>
        <w:jc w:val="left"/>
      </w:pPr>
      <w:r>
        <w:rPr>
          <w:color w:val="000000"/>
          <w:kern w:val="0"/>
          <w:szCs w:val="21"/>
        </w:rPr>
        <w:t xml:space="preserve">1.1.1.6 </w:t>
      </w:r>
      <w:r>
        <w:rPr>
          <w:rFonts w:hint="eastAsia" w:ascii="宋体" w:hAnsi="宋体" w:cs="宋体"/>
          <w:color w:val="000000"/>
          <w:kern w:val="0"/>
          <w:szCs w:val="21"/>
        </w:rPr>
        <w:t xml:space="preserve">供货要求：指合同文件中名为“供货要求”的文件。 </w:t>
      </w:r>
    </w:p>
    <w:p>
      <w:pPr>
        <w:widowControl/>
        <w:spacing w:line="480" w:lineRule="exact"/>
        <w:ind w:firstLine="420" w:firstLineChars="200"/>
        <w:jc w:val="left"/>
      </w:pPr>
      <w:r>
        <w:rPr>
          <w:color w:val="000000"/>
          <w:kern w:val="0"/>
          <w:szCs w:val="21"/>
        </w:rPr>
        <w:t xml:space="preserve">1.1.1.7 </w:t>
      </w:r>
      <w:r>
        <w:rPr>
          <w:rFonts w:hint="eastAsia" w:ascii="宋体" w:hAnsi="宋体" w:cs="宋体"/>
          <w:color w:val="000000"/>
          <w:kern w:val="0"/>
          <w:szCs w:val="21"/>
        </w:rPr>
        <w:t xml:space="preserve">中标设备技术性能指标的详细描述：指卖方投标文件中的投标设备技术性能指标的详细描述。 </w:t>
      </w:r>
    </w:p>
    <w:p>
      <w:pPr>
        <w:widowControl/>
        <w:spacing w:line="480" w:lineRule="exact"/>
        <w:ind w:firstLine="420" w:firstLineChars="200"/>
        <w:jc w:val="left"/>
      </w:pPr>
      <w:r>
        <w:rPr>
          <w:color w:val="000000"/>
          <w:kern w:val="0"/>
          <w:szCs w:val="21"/>
        </w:rPr>
        <w:t xml:space="preserve">1.1.1.8 </w:t>
      </w:r>
      <w:r>
        <w:rPr>
          <w:rFonts w:hint="eastAsia" w:ascii="宋体" w:hAnsi="宋体" w:cs="宋体"/>
          <w:color w:val="000000"/>
          <w:kern w:val="0"/>
          <w:szCs w:val="21"/>
        </w:rPr>
        <w:t xml:space="preserve">技术服务和质保期服务计划：指卖方投标文件中的技术服务和质保期服务计划。 </w:t>
      </w:r>
    </w:p>
    <w:p>
      <w:pPr>
        <w:widowControl/>
        <w:spacing w:line="480" w:lineRule="exact"/>
        <w:ind w:firstLine="420" w:firstLineChars="200"/>
        <w:jc w:val="left"/>
      </w:pPr>
      <w:r>
        <w:rPr>
          <w:color w:val="000000"/>
          <w:kern w:val="0"/>
          <w:szCs w:val="21"/>
        </w:rPr>
        <w:t xml:space="preserve">1.1.1.9 </w:t>
      </w:r>
      <w:r>
        <w:rPr>
          <w:rFonts w:hint="eastAsia" w:ascii="宋体" w:hAnsi="宋体" w:cs="宋体"/>
          <w:color w:val="000000"/>
          <w:kern w:val="0"/>
          <w:szCs w:val="21"/>
        </w:rPr>
        <w:t xml:space="preserve">分项报价表：指卖方投标文件中的分项报价表。 </w:t>
      </w:r>
    </w:p>
    <w:p>
      <w:pPr>
        <w:widowControl/>
        <w:spacing w:line="480" w:lineRule="exact"/>
        <w:ind w:firstLine="420" w:firstLineChars="200"/>
        <w:jc w:val="left"/>
      </w:pPr>
      <w:r>
        <w:rPr>
          <w:color w:val="000000"/>
          <w:kern w:val="0"/>
          <w:szCs w:val="21"/>
        </w:rPr>
        <w:t xml:space="preserve">1.1.1.10 </w:t>
      </w:r>
      <w:r>
        <w:rPr>
          <w:rFonts w:hint="eastAsia" w:ascii="宋体" w:hAnsi="宋体" w:cs="宋体"/>
          <w:color w:val="000000"/>
          <w:kern w:val="0"/>
          <w:szCs w:val="21"/>
        </w:rPr>
        <w:t xml:space="preserve">其他合同文件：指经合同双方当事人确认构成合同文件的其他文件。 </w:t>
      </w:r>
    </w:p>
    <w:p>
      <w:pPr>
        <w:widowControl/>
        <w:spacing w:line="480" w:lineRule="exact"/>
        <w:ind w:firstLine="422" w:firstLineChars="200"/>
        <w:jc w:val="left"/>
      </w:pPr>
      <w:r>
        <w:rPr>
          <w:b/>
          <w:bCs/>
          <w:color w:val="000000"/>
          <w:kern w:val="0"/>
          <w:szCs w:val="21"/>
        </w:rPr>
        <w:t xml:space="preserve">1.1.2 </w:t>
      </w:r>
      <w:r>
        <w:rPr>
          <w:rFonts w:hint="eastAsia" w:ascii="宋体" w:hAnsi="宋体" w:cs="宋体"/>
          <w:b/>
          <w:bCs/>
          <w:color w:val="000000"/>
          <w:kern w:val="0"/>
          <w:szCs w:val="21"/>
        </w:rPr>
        <w:t xml:space="preserve">合同当事人 </w:t>
      </w:r>
    </w:p>
    <w:p>
      <w:pPr>
        <w:widowControl/>
        <w:spacing w:line="480" w:lineRule="exact"/>
        <w:ind w:firstLine="420" w:firstLineChars="200"/>
        <w:jc w:val="left"/>
      </w:pPr>
      <w:r>
        <w:rPr>
          <w:color w:val="000000"/>
          <w:kern w:val="0"/>
          <w:szCs w:val="21"/>
        </w:rPr>
        <w:t xml:space="preserve">1.1.2.1 </w:t>
      </w:r>
      <w:r>
        <w:rPr>
          <w:rFonts w:hint="eastAsia" w:ascii="宋体" w:hAnsi="宋体" w:cs="宋体"/>
          <w:color w:val="000000"/>
          <w:kern w:val="0"/>
          <w:szCs w:val="21"/>
        </w:rPr>
        <w:t xml:space="preserve">合同当事人：指买方和（或）卖方。 </w:t>
      </w:r>
    </w:p>
    <w:p>
      <w:pPr>
        <w:widowControl/>
        <w:spacing w:line="480" w:lineRule="exact"/>
        <w:ind w:firstLine="420" w:firstLineChars="200"/>
        <w:jc w:val="left"/>
      </w:pPr>
      <w:r>
        <w:rPr>
          <w:color w:val="000000"/>
          <w:kern w:val="0"/>
          <w:szCs w:val="21"/>
        </w:rPr>
        <w:t xml:space="preserve">1.1.2.2 </w:t>
      </w:r>
      <w:r>
        <w:rPr>
          <w:rFonts w:hint="eastAsia" w:ascii="宋体" w:hAnsi="宋体" w:cs="宋体"/>
          <w:color w:val="000000"/>
          <w:kern w:val="0"/>
          <w:szCs w:val="21"/>
        </w:rPr>
        <w:t xml:space="preserve">买方：指与卖方签订合同协议书，购买合同设备和技术服务和质保期服务的当事人，及其合法继承人。 </w:t>
      </w:r>
    </w:p>
    <w:p>
      <w:pPr>
        <w:widowControl/>
        <w:spacing w:line="480" w:lineRule="exact"/>
        <w:ind w:firstLine="420" w:firstLineChars="200"/>
        <w:jc w:val="left"/>
      </w:pPr>
      <w:r>
        <w:rPr>
          <w:color w:val="000000"/>
          <w:kern w:val="0"/>
          <w:szCs w:val="21"/>
        </w:rPr>
        <w:t xml:space="preserve">1.1.2.3 </w:t>
      </w:r>
      <w:r>
        <w:rPr>
          <w:rFonts w:hint="eastAsia" w:ascii="宋体" w:hAnsi="宋体" w:cs="宋体"/>
          <w:color w:val="000000"/>
          <w:kern w:val="0"/>
          <w:szCs w:val="21"/>
        </w:rPr>
        <w:t xml:space="preserve">卖方：指与买方签订合同协议书，提供合同设备和技术服务和质保期服务的当事人，及其合法继承人。 </w:t>
      </w:r>
    </w:p>
    <w:p>
      <w:pPr>
        <w:widowControl/>
        <w:spacing w:line="480" w:lineRule="exact"/>
        <w:ind w:firstLine="422" w:firstLineChars="200"/>
        <w:jc w:val="left"/>
      </w:pPr>
      <w:r>
        <w:rPr>
          <w:b/>
          <w:bCs/>
          <w:color w:val="000000"/>
          <w:kern w:val="0"/>
          <w:szCs w:val="21"/>
        </w:rPr>
        <w:t xml:space="preserve">1.1.3 </w:t>
      </w:r>
      <w:r>
        <w:rPr>
          <w:rFonts w:hint="eastAsia" w:ascii="宋体" w:hAnsi="宋体" w:cs="宋体"/>
          <w:b/>
          <w:bCs/>
          <w:color w:val="000000"/>
          <w:kern w:val="0"/>
          <w:szCs w:val="21"/>
        </w:rPr>
        <w:t xml:space="preserve">合同价格 </w:t>
      </w:r>
    </w:p>
    <w:p>
      <w:pPr>
        <w:widowControl/>
        <w:spacing w:line="480" w:lineRule="exact"/>
        <w:ind w:firstLine="420" w:firstLineChars="200"/>
        <w:jc w:val="left"/>
      </w:pPr>
      <w:r>
        <w:rPr>
          <w:color w:val="000000"/>
          <w:kern w:val="0"/>
          <w:szCs w:val="21"/>
        </w:rPr>
        <w:t xml:space="preserve">1.1.3.1 </w:t>
      </w:r>
      <w:r>
        <w:rPr>
          <w:rFonts w:hint="eastAsia" w:ascii="宋体" w:hAnsi="宋体" w:cs="宋体"/>
          <w:color w:val="000000"/>
          <w:kern w:val="0"/>
          <w:szCs w:val="21"/>
        </w:rPr>
        <w:t xml:space="preserve">签约合同价：是签订合同时合同协议书中写明的合同总金额。 </w:t>
      </w:r>
    </w:p>
    <w:p>
      <w:pPr>
        <w:widowControl/>
        <w:spacing w:line="480" w:lineRule="exact"/>
        <w:ind w:firstLine="420" w:firstLineChars="200"/>
        <w:jc w:val="left"/>
      </w:pPr>
      <w:r>
        <w:rPr>
          <w:color w:val="000000"/>
          <w:kern w:val="0"/>
          <w:szCs w:val="21"/>
        </w:rPr>
        <w:t xml:space="preserve">1.1.3.2 </w:t>
      </w:r>
      <w:r>
        <w:rPr>
          <w:rFonts w:hint="eastAsia" w:ascii="宋体" w:hAnsi="宋体" w:cs="宋体"/>
          <w:color w:val="000000"/>
          <w:kern w:val="0"/>
          <w:szCs w:val="21"/>
        </w:rPr>
        <w:t xml:space="preserve">合同价格：指卖方按合同约定履行了全部合同义务后，买方应付给卖方的金额。 </w:t>
      </w:r>
    </w:p>
    <w:p>
      <w:pPr>
        <w:widowControl/>
        <w:spacing w:line="480" w:lineRule="exact"/>
        <w:ind w:firstLine="420" w:firstLineChars="200"/>
        <w:jc w:val="left"/>
      </w:pPr>
      <w:r>
        <w:rPr>
          <w:color w:val="000000"/>
          <w:kern w:val="0"/>
          <w:szCs w:val="21"/>
        </w:rPr>
        <w:t xml:space="preserve">1.1.4 </w:t>
      </w:r>
      <w:r>
        <w:rPr>
          <w:rFonts w:hint="eastAsia" w:ascii="宋体" w:hAnsi="宋体" w:cs="宋体"/>
          <w:color w:val="000000"/>
          <w:kern w:val="0"/>
          <w:szCs w:val="21"/>
        </w:rPr>
        <w:t xml:space="preserve">合同设备：指卖方按合同约定应向买方提供的设备、装置、备品、备件、易损易耗件、配套使用的软件或其他辅助电子应用程序及技术资料，或其中任何一部分。 </w:t>
      </w:r>
    </w:p>
    <w:p>
      <w:pPr>
        <w:widowControl/>
        <w:spacing w:line="480" w:lineRule="exact"/>
        <w:ind w:firstLine="420" w:firstLineChars="200"/>
        <w:jc w:val="left"/>
      </w:pPr>
      <w:r>
        <w:rPr>
          <w:color w:val="000000"/>
          <w:kern w:val="0"/>
          <w:szCs w:val="21"/>
        </w:rPr>
        <w:t xml:space="preserve">1.1.5 </w:t>
      </w:r>
      <w:r>
        <w:rPr>
          <w:rFonts w:hint="eastAsia" w:ascii="宋体" w:hAnsi="宋体" w:cs="宋体"/>
          <w:color w:val="000000"/>
          <w:kern w:val="0"/>
          <w:szCs w:val="21"/>
        </w:rPr>
        <w:t xml:space="preserve">技术资料：指各种纸质及电子载体的与合同设备的设计、检验、安装、调试、考核、操作、维修以及保养等有关的技术指标、规格、图纸和说明文件。 </w:t>
      </w:r>
    </w:p>
    <w:p>
      <w:pPr>
        <w:widowControl/>
        <w:spacing w:line="480" w:lineRule="exact"/>
        <w:ind w:firstLine="420" w:firstLineChars="200"/>
        <w:jc w:val="left"/>
      </w:pPr>
      <w:r>
        <w:rPr>
          <w:color w:val="000000"/>
          <w:kern w:val="0"/>
          <w:szCs w:val="21"/>
        </w:rPr>
        <w:t xml:space="preserve">1.1.6 </w:t>
      </w:r>
      <w:r>
        <w:rPr>
          <w:rFonts w:hint="eastAsia" w:ascii="宋体" w:hAnsi="宋体" w:cs="宋体"/>
          <w:color w:val="000000"/>
          <w:kern w:val="0"/>
          <w:szCs w:val="21"/>
        </w:rPr>
        <w:t xml:space="preserve">安装：指对合同设备进行的组装、连接以及根据需要将合同设备固定在施工场地内一定的位置上，使其就位并与相关设备、工程实现连接。 </w:t>
      </w:r>
    </w:p>
    <w:p>
      <w:pPr>
        <w:widowControl/>
        <w:spacing w:line="480" w:lineRule="exact"/>
        <w:ind w:firstLine="420" w:firstLineChars="200"/>
        <w:jc w:val="left"/>
      </w:pPr>
      <w:r>
        <w:rPr>
          <w:color w:val="000000"/>
          <w:kern w:val="0"/>
          <w:szCs w:val="21"/>
        </w:rPr>
        <w:t xml:space="preserve">1.1.7 </w:t>
      </w:r>
      <w:r>
        <w:rPr>
          <w:rFonts w:hint="eastAsia" w:ascii="宋体" w:hAnsi="宋体" w:cs="宋体"/>
          <w:color w:val="000000"/>
          <w:kern w:val="0"/>
          <w:szCs w:val="21"/>
        </w:rPr>
        <w:t xml:space="preserve">调试：指在合同设备安装完成后，对合同设备所进行的调校和测试。 </w:t>
      </w:r>
    </w:p>
    <w:p>
      <w:pPr>
        <w:widowControl/>
        <w:spacing w:line="480" w:lineRule="exact"/>
        <w:ind w:firstLine="420" w:firstLineChars="200"/>
        <w:jc w:val="left"/>
      </w:pPr>
      <w:r>
        <w:rPr>
          <w:color w:val="000000"/>
          <w:kern w:val="0"/>
          <w:szCs w:val="21"/>
        </w:rPr>
        <w:t xml:space="preserve">1.1.8 </w:t>
      </w:r>
      <w:r>
        <w:rPr>
          <w:rFonts w:hint="eastAsia" w:ascii="宋体" w:hAnsi="宋体" w:cs="宋体"/>
          <w:color w:val="000000"/>
          <w:kern w:val="0"/>
          <w:szCs w:val="21"/>
        </w:rPr>
        <w:t xml:space="preserve">考核：指在合同设备调试完成后，对合同设备进行的用于确定其是否达到合同约定的技术性能考核指标的考核。 </w:t>
      </w:r>
    </w:p>
    <w:p>
      <w:pPr>
        <w:widowControl/>
        <w:spacing w:line="480" w:lineRule="exact"/>
        <w:ind w:firstLine="420" w:firstLineChars="200"/>
        <w:jc w:val="left"/>
      </w:pPr>
      <w:r>
        <w:rPr>
          <w:color w:val="000000"/>
          <w:kern w:val="0"/>
          <w:szCs w:val="21"/>
        </w:rPr>
        <w:t xml:space="preserve">1.1.9 </w:t>
      </w:r>
      <w:r>
        <w:rPr>
          <w:rFonts w:hint="eastAsia" w:ascii="宋体" w:hAnsi="宋体" w:cs="宋体"/>
          <w:color w:val="000000"/>
          <w:kern w:val="0"/>
          <w:szCs w:val="21"/>
        </w:rPr>
        <w:t>验收：指合同设备通过考核达到合同约定的技术性能考核指标后，买方作出</w:t>
      </w:r>
      <w:r>
        <w:rPr>
          <w:rFonts w:hint="eastAsia" w:ascii="宋体" w:hAnsi="宋体" w:cs="宋体"/>
          <w:color w:val="000000"/>
          <w:kern w:val="0"/>
          <w:szCs w:val="21"/>
          <w:lang w:eastAsia="zh-CN"/>
        </w:rPr>
        <w:t>接收</w:t>
      </w:r>
      <w:r>
        <w:rPr>
          <w:rFonts w:hint="eastAsia" w:ascii="宋体" w:hAnsi="宋体" w:cs="宋体"/>
          <w:color w:val="000000"/>
          <w:kern w:val="0"/>
          <w:szCs w:val="21"/>
        </w:rPr>
        <w:t xml:space="preserve">合同设备的确认。 </w:t>
      </w:r>
    </w:p>
    <w:p>
      <w:pPr>
        <w:widowControl/>
        <w:spacing w:line="480" w:lineRule="exact"/>
        <w:ind w:firstLine="420" w:firstLineChars="200"/>
        <w:jc w:val="left"/>
      </w:pPr>
      <w:r>
        <w:rPr>
          <w:color w:val="000000"/>
          <w:kern w:val="0"/>
          <w:szCs w:val="21"/>
        </w:rPr>
        <w:t xml:space="preserve">1.1.10 </w:t>
      </w:r>
      <w:r>
        <w:rPr>
          <w:rFonts w:hint="eastAsia" w:ascii="宋体" w:hAnsi="宋体" w:cs="宋体"/>
          <w:color w:val="000000"/>
          <w:kern w:val="0"/>
          <w:szCs w:val="21"/>
        </w:rPr>
        <w:t xml:space="preserve">技术服务：指卖方按合同约定，在合同设备验收前，向买方提供的安装、调试、培训等，或者在由买方负责的安装、调试、考核中对买方进行的技术指导、协助、监督和培训等。 </w:t>
      </w:r>
    </w:p>
    <w:p>
      <w:pPr>
        <w:widowControl/>
        <w:spacing w:line="480" w:lineRule="exact"/>
        <w:ind w:firstLine="420" w:firstLineChars="200"/>
        <w:jc w:val="left"/>
      </w:pPr>
      <w:r>
        <w:rPr>
          <w:color w:val="000000"/>
          <w:kern w:val="0"/>
          <w:szCs w:val="21"/>
        </w:rPr>
        <w:t xml:space="preserve">1.1.11 </w:t>
      </w:r>
      <w:r>
        <w:rPr>
          <w:rFonts w:hint="eastAsia" w:ascii="宋体" w:hAnsi="宋体" w:cs="宋体"/>
          <w:color w:val="000000"/>
          <w:kern w:val="0"/>
          <w:szCs w:val="21"/>
        </w:rPr>
        <w:t xml:space="preserve">质量保证期：指合同设备验收后，卖方按合同约定保证合同设备适当、稳定运行，并负责消除合同设备故障的期限。 </w:t>
      </w:r>
    </w:p>
    <w:p>
      <w:pPr>
        <w:widowControl/>
        <w:spacing w:line="480" w:lineRule="exact"/>
        <w:ind w:firstLine="420" w:firstLineChars="200"/>
        <w:jc w:val="left"/>
      </w:pPr>
      <w:r>
        <w:rPr>
          <w:color w:val="000000"/>
          <w:kern w:val="0"/>
          <w:szCs w:val="21"/>
        </w:rPr>
        <w:t xml:space="preserve">1.1.12 </w:t>
      </w:r>
      <w:r>
        <w:rPr>
          <w:rFonts w:hint="eastAsia" w:ascii="宋体" w:hAnsi="宋体" w:cs="宋体"/>
          <w:color w:val="000000"/>
          <w:kern w:val="0"/>
          <w:szCs w:val="21"/>
        </w:rPr>
        <w:t xml:space="preserve">质保期服务：指在质量保证期内，卖方向买方提供的合同设备维护服务、咨询服务、技术指导、协助以及对出现故障的合同设备进行修理或更换的服务。 </w:t>
      </w:r>
    </w:p>
    <w:p>
      <w:pPr>
        <w:widowControl/>
        <w:spacing w:line="480" w:lineRule="exact"/>
        <w:ind w:firstLine="422" w:firstLineChars="200"/>
        <w:jc w:val="left"/>
      </w:pPr>
      <w:r>
        <w:rPr>
          <w:b/>
          <w:bCs/>
          <w:color w:val="000000"/>
          <w:kern w:val="0"/>
          <w:szCs w:val="21"/>
        </w:rPr>
        <w:t xml:space="preserve">1.1.13 </w:t>
      </w:r>
      <w:r>
        <w:rPr>
          <w:rFonts w:hint="eastAsia" w:ascii="宋体" w:hAnsi="宋体" w:cs="宋体"/>
          <w:b/>
          <w:bCs/>
          <w:color w:val="000000"/>
          <w:kern w:val="0"/>
          <w:szCs w:val="21"/>
        </w:rPr>
        <w:t xml:space="preserve">工程 </w:t>
      </w:r>
    </w:p>
    <w:p>
      <w:pPr>
        <w:widowControl/>
        <w:spacing w:line="480" w:lineRule="exact"/>
        <w:ind w:firstLine="420" w:firstLineChars="200"/>
        <w:jc w:val="left"/>
      </w:pPr>
      <w:r>
        <w:rPr>
          <w:color w:val="000000"/>
          <w:kern w:val="0"/>
          <w:szCs w:val="21"/>
        </w:rPr>
        <w:t xml:space="preserve">1.1.13.1 </w:t>
      </w:r>
      <w:r>
        <w:rPr>
          <w:rFonts w:hint="eastAsia" w:ascii="宋体" w:hAnsi="宋体" w:cs="宋体"/>
          <w:color w:val="000000"/>
          <w:kern w:val="0"/>
          <w:szCs w:val="21"/>
        </w:rPr>
        <w:t xml:space="preserve">工程：指在专用合同条款中指明的，安装运行合同设备的工程。 </w:t>
      </w:r>
    </w:p>
    <w:p>
      <w:pPr>
        <w:widowControl/>
        <w:spacing w:line="480" w:lineRule="exact"/>
        <w:ind w:firstLine="420" w:firstLineChars="200"/>
        <w:jc w:val="left"/>
      </w:pPr>
      <w:r>
        <w:rPr>
          <w:color w:val="000000"/>
          <w:kern w:val="0"/>
          <w:szCs w:val="21"/>
        </w:rPr>
        <w:t xml:space="preserve">1.1.13.2 </w:t>
      </w:r>
      <w:r>
        <w:rPr>
          <w:rFonts w:hint="eastAsia" w:ascii="宋体" w:hAnsi="宋体" w:cs="宋体"/>
          <w:color w:val="000000"/>
          <w:kern w:val="0"/>
          <w:szCs w:val="21"/>
        </w:rPr>
        <w:t xml:space="preserve">施工场地（或称工地、施工现场）：指专用合同条款中指明的工程所在场所。 </w:t>
      </w:r>
    </w:p>
    <w:p>
      <w:pPr>
        <w:widowControl/>
        <w:spacing w:line="480" w:lineRule="exact"/>
        <w:ind w:firstLine="420" w:firstLineChars="200"/>
        <w:jc w:val="left"/>
      </w:pPr>
      <w:r>
        <w:rPr>
          <w:color w:val="000000"/>
          <w:kern w:val="0"/>
          <w:szCs w:val="21"/>
        </w:rPr>
        <w:t xml:space="preserve">1.1.14 </w:t>
      </w:r>
      <w:r>
        <w:rPr>
          <w:rFonts w:hint="eastAsia" w:ascii="宋体" w:hAnsi="宋体" w:cs="宋体"/>
          <w:color w:val="000000"/>
          <w:kern w:val="0"/>
          <w:szCs w:val="21"/>
        </w:rPr>
        <w:t xml:space="preserve">天（或称日）：除特别指明外，指日历天。合同中按天计算时间的，开始当天不计入，从次日开始计算。合同约定的期间的最后一天是星期日或者其他法定休假日的，以休假日的次日为期间的最后一天。 </w:t>
      </w:r>
    </w:p>
    <w:p>
      <w:pPr>
        <w:widowControl/>
        <w:spacing w:line="480" w:lineRule="exact"/>
        <w:ind w:firstLine="420" w:firstLineChars="200"/>
        <w:jc w:val="left"/>
      </w:pPr>
      <w:r>
        <w:rPr>
          <w:color w:val="000000"/>
          <w:kern w:val="0"/>
          <w:szCs w:val="21"/>
        </w:rPr>
        <w:t xml:space="preserve">1.1.15 </w:t>
      </w:r>
      <w:r>
        <w:rPr>
          <w:rFonts w:hint="eastAsia" w:ascii="宋体" w:hAnsi="宋体" w:cs="宋体"/>
          <w:color w:val="000000"/>
          <w:kern w:val="0"/>
          <w:szCs w:val="21"/>
        </w:rPr>
        <w:t xml:space="preserve">月：按照公历月计算。合同中按月计算时间的，开始当天不计入，从次日开始计算。合同约定的期间的最后一天是星期日或者其他法定休假日的，以休假日的次日为期间的最后一天。 </w:t>
      </w:r>
    </w:p>
    <w:p>
      <w:pPr>
        <w:widowControl/>
        <w:spacing w:line="480" w:lineRule="exact"/>
        <w:ind w:firstLine="420" w:firstLineChars="200"/>
        <w:jc w:val="left"/>
      </w:pPr>
      <w:r>
        <w:rPr>
          <w:color w:val="000000"/>
          <w:kern w:val="0"/>
          <w:szCs w:val="21"/>
        </w:rPr>
        <w:t xml:space="preserve">1.1.16 </w:t>
      </w:r>
      <w:r>
        <w:rPr>
          <w:rFonts w:hint="eastAsia" w:ascii="宋体" w:hAnsi="宋体" w:cs="宋体"/>
          <w:color w:val="000000"/>
          <w:kern w:val="0"/>
          <w:szCs w:val="21"/>
        </w:rPr>
        <w:t xml:space="preserve">书面形式：指合同文件、信件和数据电文（包括电报、电传、传真、电子数据交换和电子邮件）等可以有形地表现所载内容的形式。 </w:t>
      </w:r>
    </w:p>
    <w:p>
      <w:pPr>
        <w:widowControl/>
        <w:spacing w:line="480" w:lineRule="exact"/>
        <w:ind w:firstLine="480" w:firstLineChars="200"/>
        <w:jc w:val="left"/>
      </w:pPr>
      <w:r>
        <w:rPr>
          <w:color w:val="000000"/>
          <w:kern w:val="0"/>
          <w:sz w:val="24"/>
        </w:rPr>
        <w:t xml:space="preserve">1.2 </w:t>
      </w:r>
      <w:r>
        <w:rPr>
          <w:rFonts w:ascii="黑体" w:hAnsi="宋体" w:eastAsia="黑体" w:cs="黑体"/>
          <w:color w:val="000000"/>
          <w:kern w:val="0"/>
          <w:sz w:val="24"/>
        </w:rPr>
        <w:t xml:space="preserve">语言文字 </w:t>
      </w:r>
    </w:p>
    <w:p>
      <w:pPr>
        <w:widowControl/>
        <w:spacing w:line="480" w:lineRule="exact"/>
        <w:ind w:firstLine="420" w:firstLineChars="200"/>
        <w:jc w:val="left"/>
      </w:pPr>
      <w:r>
        <w:rPr>
          <w:rFonts w:hint="eastAsia" w:ascii="宋体" w:hAnsi="宋体" w:cs="宋体"/>
          <w:color w:val="000000"/>
          <w:kern w:val="0"/>
          <w:szCs w:val="21"/>
        </w:rPr>
        <w:t xml:space="preserve">合同使用的语言文字为中文。专用术语使用外文的，应附有中文注释。 </w:t>
      </w:r>
    </w:p>
    <w:p>
      <w:pPr>
        <w:widowControl/>
        <w:spacing w:line="480" w:lineRule="exact"/>
        <w:ind w:firstLine="480" w:firstLineChars="200"/>
        <w:jc w:val="left"/>
      </w:pPr>
      <w:r>
        <w:rPr>
          <w:color w:val="000000"/>
          <w:kern w:val="0"/>
          <w:sz w:val="24"/>
        </w:rPr>
        <w:t xml:space="preserve">1.3 </w:t>
      </w:r>
      <w:r>
        <w:rPr>
          <w:rFonts w:hint="eastAsia" w:ascii="黑体" w:hAnsi="宋体" w:eastAsia="黑体" w:cs="黑体"/>
          <w:color w:val="000000"/>
          <w:kern w:val="0"/>
          <w:sz w:val="24"/>
        </w:rPr>
        <w:t xml:space="preserve">合同文件的优先顺序 </w:t>
      </w:r>
    </w:p>
    <w:p>
      <w:pPr>
        <w:widowControl/>
        <w:spacing w:line="480" w:lineRule="exact"/>
        <w:ind w:firstLine="420" w:firstLineChars="200"/>
        <w:jc w:val="left"/>
      </w:pPr>
      <w:r>
        <w:rPr>
          <w:rFonts w:hint="eastAsia" w:ascii="宋体" w:hAnsi="宋体" w:cs="宋体"/>
          <w:color w:val="000000"/>
          <w:kern w:val="0"/>
          <w:szCs w:val="21"/>
        </w:rPr>
        <w:t xml:space="preserve">组成合同的各项文件应互相解释，互为说明。除专用合同条款另有约定外，解释合同文件的优先顺序如下：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）合同协议书；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）中标通知书；</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）投标函；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4</w:t>
      </w:r>
      <w:r>
        <w:rPr>
          <w:rFonts w:hint="eastAsia" w:ascii="宋体" w:hAnsi="宋体" w:cs="宋体"/>
          <w:color w:val="000000"/>
          <w:kern w:val="0"/>
          <w:szCs w:val="21"/>
        </w:rPr>
        <w:t xml:space="preserve">）商务和技术偏差表；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5</w:t>
      </w:r>
      <w:r>
        <w:rPr>
          <w:rFonts w:hint="eastAsia" w:ascii="宋体" w:hAnsi="宋体" w:cs="宋体"/>
          <w:color w:val="000000"/>
          <w:kern w:val="0"/>
          <w:szCs w:val="21"/>
        </w:rPr>
        <w:t xml:space="preserve">）专用合同条款；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6</w:t>
      </w:r>
      <w:r>
        <w:rPr>
          <w:rFonts w:hint="eastAsia" w:ascii="宋体" w:hAnsi="宋体" w:cs="宋体"/>
          <w:color w:val="000000"/>
          <w:kern w:val="0"/>
          <w:szCs w:val="21"/>
        </w:rPr>
        <w:t xml:space="preserve">）通用合同条款；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7</w:t>
      </w:r>
      <w:r>
        <w:rPr>
          <w:rFonts w:hint="eastAsia" w:ascii="宋体" w:hAnsi="宋体" w:cs="宋体"/>
          <w:color w:val="000000"/>
          <w:kern w:val="0"/>
          <w:szCs w:val="21"/>
        </w:rPr>
        <w:t xml:space="preserve">）供货要求；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8</w:t>
      </w:r>
      <w:r>
        <w:rPr>
          <w:rFonts w:hint="eastAsia" w:ascii="宋体" w:hAnsi="宋体" w:cs="宋体"/>
          <w:color w:val="000000"/>
          <w:kern w:val="0"/>
          <w:szCs w:val="21"/>
        </w:rPr>
        <w:t xml:space="preserve">）分项报价表；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9</w:t>
      </w:r>
      <w:r>
        <w:rPr>
          <w:rFonts w:hint="eastAsia" w:ascii="宋体" w:hAnsi="宋体" w:cs="宋体"/>
          <w:color w:val="000000"/>
          <w:kern w:val="0"/>
          <w:szCs w:val="21"/>
        </w:rPr>
        <w:t xml:space="preserve">）中标设备技术性能指标的详细描述；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10</w:t>
      </w:r>
      <w:r>
        <w:rPr>
          <w:rFonts w:hint="eastAsia" w:ascii="宋体" w:hAnsi="宋体" w:cs="宋体"/>
          <w:color w:val="000000"/>
          <w:kern w:val="0"/>
          <w:szCs w:val="21"/>
        </w:rPr>
        <w:t xml:space="preserve">）技术服务和质保期服务计划；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11</w:t>
      </w:r>
      <w:r>
        <w:rPr>
          <w:rFonts w:hint="eastAsia" w:ascii="宋体" w:hAnsi="宋体" w:cs="宋体"/>
          <w:color w:val="000000"/>
          <w:kern w:val="0"/>
          <w:szCs w:val="21"/>
        </w:rPr>
        <w:t xml:space="preserve">）其他合同文件。 </w:t>
      </w:r>
    </w:p>
    <w:p>
      <w:pPr>
        <w:widowControl/>
        <w:spacing w:line="480" w:lineRule="exact"/>
        <w:ind w:firstLine="480" w:firstLineChars="200"/>
        <w:jc w:val="left"/>
      </w:pPr>
      <w:r>
        <w:rPr>
          <w:color w:val="000000"/>
          <w:kern w:val="0"/>
          <w:sz w:val="24"/>
        </w:rPr>
        <w:t xml:space="preserve">1.4 </w:t>
      </w:r>
      <w:r>
        <w:rPr>
          <w:rFonts w:ascii="黑体" w:hAnsi="宋体" w:eastAsia="黑体" w:cs="黑体"/>
          <w:color w:val="000000"/>
          <w:kern w:val="0"/>
          <w:sz w:val="24"/>
        </w:rPr>
        <w:t xml:space="preserve">合同的生效及变更 </w:t>
      </w:r>
    </w:p>
    <w:p>
      <w:pPr>
        <w:widowControl/>
        <w:spacing w:line="480" w:lineRule="exact"/>
        <w:ind w:firstLine="420" w:firstLineChars="200"/>
        <w:jc w:val="left"/>
      </w:pPr>
      <w:r>
        <w:rPr>
          <w:color w:val="000000"/>
          <w:kern w:val="0"/>
          <w:szCs w:val="21"/>
        </w:rPr>
        <w:t xml:space="preserve">1.4.1 </w:t>
      </w:r>
      <w:r>
        <w:rPr>
          <w:rFonts w:hint="eastAsia" w:ascii="宋体" w:hAnsi="宋体" w:cs="宋体"/>
          <w:color w:val="000000"/>
          <w:kern w:val="0"/>
          <w:szCs w:val="21"/>
        </w:rPr>
        <w:t xml:space="preserve">除专用合同条款另有约定外，买方和卖方的法定代表人（单位负责人）或其授权代表在合同协议书上签字并加盖单位章后，合同生效。 </w:t>
      </w:r>
    </w:p>
    <w:p>
      <w:pPr>
        <w:widowControl/>
        <w:spacing w:line="480" w:lineRule="exact"/>
        <w:ind w:firstLine="420" w:firstLineChars="200"/>
        <w:jc w:val="left"/>
      </w:pPr>
      <w:r>
        <w:rPr>
          <w:color w:val="000000"/>
          <w:kern w:val="0"/>
          <w:szCs w:val="21"/>
        </w:rPr>
        <w:t xml:space="preserve">1.4.2 </w:t>
      </w:r>
      <w:r>
        <w:rPr>
          <w:rFonts w:hint="eastAsia" w:ascii="宋体" w:hAnsi="宋体" w:cs="宋体"/>
          <w:color w:val="000000"/>
          <w:kern w:val="0"/>
          <w:szCs w:val="21"/>
        </w:rPr>
        <w:t xml:space="preserve">除专用合同条款另有约定外，在合同履行过程中，如需对合同进行变更，双方应签订书面协议，并经双方法定代表人（单位负责人）或其授权代表签字并加盖单位章后生效。 </w:t>
      </w:r>
    </w:p>
    <w:p>
      <w:pPr>
        <w:widowControl/>
        <w:spacing w:line="480" w:lineRule="exact"/>
        <w:ind w:firstLine="480" w:firstLineChars="200"/>
        <w:jc w:val="left"/>
      </w:pPr>
      <w:r>
        <w:rPr>
          <w:color w:val="000000"/>
          <w:kern w:val="0"/>
          <w:sz w:val="24"/>
        </w:rPr>
        <w:t xml:space="preserve">1.5 </w:t>
      </w:r>
      <w:r>
        <w:rPr>
          <w:rFonts w:hint="eastAsia" w:ascii="黑体" w:hAnsi="宋体" w:eastAsia="黑体" w:cs="黑体"/>
          <w:color w:val="000000"/>
          <w:kern w:val="0"/>
          <w:sz w:val="24"/>
        </w:rPr>
        <w:t xml:space="preserve">联络 </w:t>
      </w:r>
    </w:p>
    <w:p>
      <w:pPr>
        <w:widowControl/>
        <w:spacing w:line="480" w:lineRule="exact"/>
        <w:ind w:firstLine="420" w:firstLineChars="200"/>
        <w:jc w:val="left"/>
      </w:pPr>
      <w:r>
        <w:rPr>
          <w:color w:val="000000"/>
          <w:kern w:val="0"/>
          <w:szCs w:val="21"/>
        </w:rPr>
        <w:t xml:space="preserve">1.5.1 </w:t>
      </w:r>
      <w:r>
        <w:rPr>
          <w:rFonts w:hint="eastAsia" w:ascii="宋体" w:hAnsi="宋体" w:cs="宋体"/>
          <w:color w:val="000000"/>
          <w:kern w:val="0"/>
          <w:szCs w:val="21"/>
        </w:rPr>
        <w:t xml:space="preserve">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 </w:t>
      </w:r>
    </w:p>
    <w:p>
      <w:pPr>
        <w:widowControl/>
        <w:spacing w:line="480" w:lineRule="exact"/>
        <w:ind w:firstLine="420" w:firstLineChars="200"/>
        <w:jc w:val="left"/>
      </w:pPr>
      <w:r>
        <w:rPr>
          <w:color w:val="000000"/>
          <w:kern w:val="0"/>
          <w:szCs w:val="21"/>
        </w:rPr>
        <w:t xml:space="preserve">1.5.2 </w:t>
      </w:r>
      <w:r>
        <w:rPr>
          <w:rFonts w:hint="eastAsia" w:ascii="宋体" w:hAnsi="宋体" w:cs="宋体"/>
          <w:color w:val="000000"/>
          <w:kern w:val="0"/>
          <w:szCs w:val="21"/>
        </w:rPr>
        <w:t xml:space="preserve">合同履行中或与合同有关的任何联络，送达到第 </w:t>
      </w:r>
      <w:r>
        <w:rPr>
          <w:color w:val="000000"/>
          <w:kern w:val="0"/>
          <w:szCs w:val="21"/>
        </w:rPr>
        <w:t xml:space="preserve">1.5.1 </w:t>
      </w:r>
      <w:r>
        <w:rPr>
          <w:rFonts w:hint="eastAsia" w:ascii="宋体" w:hAnsi="宋体" w:cs="宋体"/>
          <w:color w:val="000000"/>
          <w:kern w:val="0"/>
          <w:szCs w:val="21"/>
        </w:rPr>
        <w:t xml:space="preserve">项指定的联系人即视为送达。 </w:t>
      </w:r>
    </w:p>
    <w:p>
      <w:pPr>
        <w:widowControl/>
        <w:spacing w:line="480" w:lineRule="exact"/>
        <w:ind w:firstLine="420" w:firstLineChars="200"/>
        <w:jc w:val="left"/>
      </w:pPr>
      <w:r>
        <w:rPr>
          <w:color w:val="000000"/>
          <w:kern w:val="0"/>
          <w:szCs w:val="21"/>
        </w:rPr>
        <w:t xml:space="preserve">1.5.3 </w:t>
      </w:r>
      <w:r>
        <w:rPr>
          <w:rFonts w:hint="eastAsia" w:ascii="宋体" w:hAnsi="宋体" w:cs="宋体"/>
          <w:color w:val="000000"/>
          <w:kern w:val="0"/>
          <w:szCs w:val="21"/>
        </w:rPr>
        <w:t xml:space="preserve">买方可以安排监理等相关人员作为买方人员，与卖方进行联络或参加合同设备的监造（如有）、交货前检验（如有）、开箱检验、安装、调试、考核、验收等，但应按照第 </w:t>
      </w:r>
      <w:r>
        <w:rPr>
          <w:color w:val="000000"/>
          <w:kern w:val="0"/>
          <w:szCs w:val="21"/>
        </w:rPr>
        <w:t xml:space="preserve">1.5.1 </w:t>
      </w:r>
      <w:r>
        <w:rPr>
          <w:rFonts w:hint="eastAsia" w:ascii="宋体" w:hAnsi="宋体" w:cs="宋体"/>
          <w:color w:val="000000"/>
          <w:kern w:val="0"/>
          <w:szCs w:val="21"/>
        </w:rPr>
        <w:t xml:space="preserve">项的约定事先书面通知卖方。 </w:t>
      </w:r>
    </w:p>
    <w:p>
      <w:pPr>
        <w:widowControl/>
        <w:spacing w:line="480" w:lineRule="exact"/>
        <w:ind w:firstLine="480" w:firstLineChars="200"/>
        <w:jc w:val="left"/>
      </w:pPr>
      <w:r>
        <w:rPr>
          <w:color w:val="000000"/>
          <w:kern w:val="0"/>
          <w:sz w:val="24"/>
        </w:rPr>
        <w:t xml:space="preserve">1.6 </w:t>
      </w:r>
      <w:r>
        <w:rPr>
          <w:rFonts w:hint="eastAsia" w:ascii="黑体" w:hAnsi="宋体" w:eastAsia="黑体" w:cs="黑体"/>
          <w:color w:val="000000"/>
          <w:kern w:val="0"/>
          <w:sz w:val="24"/>
        </w:rPr>
        <w:t xml:space="preserve">联合体 </w:t>
      </w:r>
    </w:p>
    <w:p>
      <w:pPr>
        <w:widowControl/>
        <w:spacing w:line="480" w:lineRule="exact"/>
        <w:ind w:firstLine="420" w:firstLineChars="200"/>
        <w:jc w:val="left"/>
      </w:pPr>
      <w:r>
        <w:rPr>
          <w:color w:val="000000"/>
          <w:kern w:val="0"/>
          <w:szCs w:val="21"/>
        </w:rPr>
        <w:t xml:space="preserve">1.6.1 </w:t>
      </w:r>
      <w:r>
        <w:rPr>
          <w:rFonts w:hint="eastAsia" w:ascii="宋体" w:hAnsi="宋体" w:cs="宋体"/>
          <w:color w:val="000000"/>
          <w:kern w:val="0"/>
          <w:szCs w:val="21"/>
        </w:rPr>
        <w:t xml:space="preserve">卖方为联合体的，联合体各方应当共同与买方签订合同，并向买方为履行合同承担连带责任。 </w:t>
      </w:r>
    </w:p>
    <w:p>
      <w:pPr>
        <w:widowControl/>
        <w:spacing w:line="480" w:lineRule="exact"/>
        <w:ind w:firstLine="420" w:firstLineChars="200"/>
        <w:jc w:val="left"/>
      </w:pPr>
      <w:r>
        <w:rPr>
          <w:color w:val="000000"/>
          <w:kern w:val="0"/>
          <w:szCs w:val="21"/>
        </w:rPr>
        <w:t xml:space="preserve">1.6.2 </w:t>
      </w:r>
      <w:r>
        <w:rPr>
          <w:rFonts w:hint="eastAsia" w:ascii="宋体" w:hAnsi="宋体" w:cs="宋体"/>
          <w:color w:val="000000"/>
          <w:kern w:val="0"/>
          <w:szCs w:val="21"/>
        </w:rPr>
        <w:t>在合同履行过程中，未经买方同意，不得修改联合体协议。联合体协议中关于联合体成员间权利义务的划分，并不影响或减损联合体各方应就履行合同向</w:t>
      </w:r>
      <w:r>
        <w:rPr>
          <w:rFonts w:hint="eastAsia" w:ascii="宋体" w:hAnsi="宋体" w:cs="宋体"/>
          <w:color w:val="000000"/>
          <w:kern w:val="0"/>
          <w:szCs w:val="21"/>
          <w:lang w:eastAsia="zh-CN"/>
        </w:rPr>
        <w:t>各方</w:t>
      </w:r>
      <w:r>
        <w:rPr>
          <w:rFonts w:hint="eastAsia" w:ascii="宋体" w:hAnsi="宋体" w:cs="宋体"/>
          <w:color w:val="000000"/>
          <w:kern w:val="0"/>
          <w:szCs w:val="21"/>
        </w:rPr>
        <w:t xml:space="preserve">承担的连带责任。 </w:t>
      </w:r>
    </w:p>
    <w:p>
      <w:pPr>
        <w:widowControl/>
        <w:spacing w:line="480" w:lineRule="exact"/>
        <w:ind w:firstLine="420" w:firstLineChars="200"/>
        <w:jc w:val="left"/>
      </w:pPr>
      <w:r>
        <w:rPr>
          <w:color w:val="000000"/>
          <w:kern w:val="0"/>
          <w:szCs w:val="21"/>
        </w:rPr>
        <w:t xml:space="preserve">1.6.3 </w:t>
      </w:r>
      <w:r>
        <w:rPr>
          <w:rFonts w:hint="eastAsia" w:ascii="宋体" w:hAnsi="宋体" w:cs="宋体"/>
          <w:color w:val="000000"/>
          <w:kern w:val="0"/>
          <w:szCs w:val="21"/>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widowControl/>
        <w:spacing w:line="480" w:lineRule="exact"/>
        <w:ind w:firstLine="480" w:firstLineChars="200"/>
        <w:jc w:val="left"/>
      </w:pPr>
      <w:r>
        <w:rPr>
          <w:color w:val="000000"/>
          <w:kern w:val="0"/>
          <w:sz w:val="24"/>
        </w:rPr>
        <w:t xml:space="preserve">1.7 </w:t>
      </w:r>
      <w:r>
        <w:rPr>
          <w:rFonts w:ascii="黑体" w:hAnsi="宋体" w:eastAsia="黑体" w:cs="黑体"/>
          <w:color w:val="000000"/>
          <w:kern w:val="0"/>
          <w:sz w:val="24"/>
        </w:rPr>
        <w:t xml:space="preserve">转让 </w:t>
      </w:r>
    </w:p>
    <w:p>
      <w:pPr>
        <w:widowControl/>
        <w:spacing w:line="480" w:lineRule="exact"/>
        <w:ind w:firstLine="420" w:firstLineChars="200"/>
        <w:jc w:val="left"/>
      </w:pPr>
      <w:r>
        <w:rPr>
          <w:rFonts w:hint="eastAsia" w:ascii="宋体" w:hAnsi="宋体" w:cs="宋体"/>
          <w:color w:val="000000"/>
          <w:kern w:val="0"/>
          <w:szCs w:val="21"/>
        </w:rPr>
        <w:t xml:space="preserve">未经对方当事人书面同意，合同任何一方均不得转让其在合同项下的权利和（或）义务。 </w:t>
      </w:r>
    </w:p>
    <w:p>
      <w:pPr>
        <w:widowControl/>
        <w:spacing w:line="480" w:lineRule="exact"/>
        <w:ind w:firstLine="622" w:firstLineChars="200"/>
        <w:jc w:val="left"/>
      </w:pPr>
      <w:r>
        <w:rPr>
          <w:b/>
          <w:bCs/>
          <w:color w:val="000000"/>
          <w:kern w:val="0"/>
          <w:sz w:val="31"/>
          <w:szCs w:val="31"/>
        </w:rPr>
        <w:t xml:space="preserve">2. </w:t>
      </w:r>
      <w:r>
        <w:rPr>
          <w:rFonts w:hint="eastAsia" w:ascii="宋体" w:hAnsi="宋体" w:cs="宋体"/>
          <w:b/>
          <w:bCs/>
          <w:color w:val="000000"/>
          <w:kern w:val="0"/>
          <w:sz w:val="31"/>
          <w:szCs w:val="31"/>
        </w:rPr>
        <w:t xml:space="preserve">合同范围 </w:t>
      </w:r>
    </w:p>
    <w:p>
      <w:pPr>
        <w:widowControl/>
        <w:spacing w:line="480" w:lineRule="exact"/>
        <w:ind w:firstLine="420" w:firstLineChars="200"/>
        <w:jc w:val="left"/>
      </w:pPr>
      <w:r>
        <w:rPr>
          <w:rFonts w:hint="eastAsia" w:ascii="宋体" w:hAnsi="宋体" w:cs="宋体"/>
          <w:color w:val="000000"/>
          <w:kern w:val="0"/>
          <w:szCs w:val="21"/>
        </w:rPr>
        <w:t xml:space="preserve">卖方应根据供货要求、中标设备技术性能指标的详细描述、技术服务和质保期服务计划等合同文件的约定向买方提供合同设备、技术服务和质保期服务。 </w:t>
      </w:r>
    </w:p>
    <w:p>
      <w:pPr>
        <w:widowControl/>
        <w:spacing w:line="480" w:lineRule="exact"/>
        <w:ind w:firstLine="622" w:firstLineChars="200"/>
        <w:jc w:val="left"/>
      </w:pPr>
      <w:r>
        <w:rPr>
          <w:b/>
          <w:bCs/>
          <w:color w:val="000000"/>
          <w:kern w:val="0"/>
          <w:sz w:val="31"/>
          <w:szCs w:val="31"/>
        </w:rPr>
        <w:t xml:space="preserve">3. </w:t>
      </w:r>
      <w:r>
        <w:rPr>
          <w:rFonts w:hint="eastAsia" w:ascii="宋体" w:hAnsi="宋体" w:cs="宋体"/>
          <w:b/>
          <w:bCs/>
          <w:color w:val="000000"/>
          <w:kern w:val="0"/>
          <w:sz w:val="31"/>
          <w:szCs w:val="31"/>
        </w:rPr>
        <w:t xml:space="preserve">合同价格与支付 </w:t>
      </w:r>
    </w:p>
    <w:p>
      <w:pPr>
        <w:widowControl/>
        <w:spacing w:line="480" w:lineRule="exact"/>
        <w:ind w:firstLine="480" w:firstLineChars="200"/>
        <w:jc w:val="left"/>
      </w:pPr>
      <w:r>
        <w:rPr>
          <w:color w:val="000000"/>
          <w:kern w:val="0"/>
          <w:sz w:val="24"/>
        </w:rPr>
        <w:t xml:space="preserve">3.1 </w:t>
      </w:r>
      <w:r>
        <w:rPr>
          <w:rFonts w:hint="eastAsia" w:ascii="黑体" w:hAnsi="宋体" w:eastAsia="黑体" w:cs="黑体"/>
          <w:color w:val="000000"/>
          <w:kern w:val="0"/>
          <w:sz w:val="24"/>
        </w:rPr>
        <w:t xml:space="preserve">合同价格 </w:t>
      </w:r>
    </w:p>
    <w:p>
      <w:pPr>
        <w:widowControl/>
        <w:spacing w:line="480" w:lineRule="exact"/>
        <w:ind w:firstLine="420" w:firstLineChars="200"/>
        <w:jc w:val="left"/>
      </w:pPr>
      <w:r>
        <w:rPr>
          <w:color w:val="000000"/>
          <w:kern w:val="0"/>
          <w:szCs w:val="21"/>
        </w:rPr>
        <w:t xml:space="preserve">3.1.1 </w:t>
      </w:r>
      <w:r>
        <w:rPr>
          <w:rFonts w:hint="eastAsia" w:ascii="宋体" w:hAnsi="宋体" w:cs="宋体"/>
          <w:color w:val="000000"/>
          <w:kern w:val="0"/>
          <w:szCs w:val="21"/>
        </w:rPr>
        <w:t xml:space="preserve">合同协议书中载明的签约合同价包括卖方为完成合同全部义务应承担的一切成本、费用和支出以及卖方的合理利润。 </w:t>
      </w:r>
    </w:p>
    <w:p>
      <w:pPr>
        <w:widowControl/>
        <w:spacing w:line="480" w:lineRule="exact"/>
        <w:ind w:firstLine="420" w:firstLineChars="200"/>
        <w:jc w:val="left"/>
      </w:pPr>
      <w:r>
        <w:rPr>
          <w:color w:val="000000"/>
          <w:kern w:val="0"/>
          <w:szCs w:val="21"/>
        </w:rPr>
        <w:t xml:space="preserve">3.1.2 </w:t>
      </w:r>
      <w:r>
        <w:rPr>
          <w:rFonts w:hint="eastAsia" w:ascii="宋体" w:hAnsi="宋体" w:cs="宋体"/>
          <w:color w:val="000000"/>
          <w:kern w:val="0"/>
          <w:szCs w:val="21"/>
        </w:rPr>
        <w:t xml:space="preserve">除专用合同条款另有约定外，签约合同价为固定价格。 </w:t>
      </w:r>
    </w:p>
    <w:p>
      <w:pPr>
        <w:widowControl/>
        <w:spacing w:line="480" w:lineRule="exact"/>
        <w:ind w:firstLine="480" w:firstLineChars="200"/>
        <w:jc w:val="left"/>
      </w:pPr>
      <w:r>
        <w:rPr>
          <w:color w:val="000000"/>
          <w:kern w:val="0"/>
          <w:sz w:val="24"/>
        </w:rPr>
        <w:t xml:space="preserve">3.2 </w:t>
      </w:r>
      <w:r>
        <w:rPr>
          <w:rFonts w:hint="eastAsia" w:ascii="黑体" w:hAnsi="宋体" w:eastAsia="黑体" w:cs="黑体"/>
          <w:color w:val="000000"/>
          <w:kern w:val="0"/>
          <w:sz w:val="24"/>
        </w:rPr>
        <w:t xml:space="preserve">合同价款的支付 </w:t>
      </w:r>
    </w:p>
    <w:p>
      <w:pPr>
        <w:widowControl/>
        <w:spacing w:line="480" w:lineRule="exact"/>
        <w:ind w:firstLine="420" w:firstLineChars="200"/>
        <w:jc w:val="left"/>
      </w:pPr>
      <w:r>
        <w:rPr>
          <w:rFonts w:hint="eastAsia" w:ascii="宋体" w:hAnsi="宋体" w:cs="宋体"/>
          <w:color w:val="000000"/>
          <w:kern w:val="0"/>
          <w:szCs w:val="21"/>
        </w:rPr>
        <w:t xml:space="preserve">除专用合同条款另有约定外，买方应通过以下方式和比例向卖方支付合同价款： </w:t>
      </w:r>
    </w:p>
    <w:p>
      <w:pPr>
        <w:widowControl/>
        <w:spacing w:line="480" w:lineRule="exact"/>
        <w:ind w:firstLine="420" w:firstLineChars="200"/>
        <w:jc w:val="left"/>
      </w:pPr>
      <w:r>
        <w:rPr>
          <w:color w:val="000000"/>
          <w:kern w:val="0"/>
          <w:szCs w:val="21"/>
        </w:rPr>
        <w:t xml:space="preserve">3.2.1 </w:t>
      </w:r>
      <w:r>
        <w:rPr>
          <w:rFonts w:hint="eastAsia" w:ascii="宋体" w:hAnsi="宋体" w:cs="宋体"/>
          <w:color w:val="000000"/>
          <w:kern w:val="0"/>
          <w:szCs w:val="21"/>
        </w:rPr>
        <w:t xml:space="preserve">预付款 </w:t>
      </w:r>
    </w:p>
    <w:p>
      <w:pPr>
        <w:widowControl/>
        <w:spacing w:line="480" w:lineRule="exact"/>
        <w:ind w:firstLine="420" w:firstLineChars="200"/>
        <w:jc w:val="left"/>
      </w:pPr>
      <w:r>
        <w:rPr>
          <w:rFonts w:hint="eastAsia" w:ascii="宋体" w:hAnsi="宋体" w:cs="宋体"/>
          <w:color w:val="000000"/>
          <w:kern w:val="0"/>
          <w:szCs w:val="21"/>
        </w:rPr>
        <w:t>合同生效后，买方在收到卖方开具的注明应付预付款金额的财务收据正本一份并经审核无误后</w:t>
      </w:r>
      <w:r>
        <w:rPr>
          <w:color w:val="000000"/>
          <w:kern w:val="0"/>
          <w:szCs w:val="21"/>
        </w:rPr>
        <w:t xml:space="preserve">28 </w:t>
      </w:r>
      <w:r>
        <w:rPr>
          <w:rFonts w:hint="eastAsia" w:ascii="宋体" w:hAnsi="宋体" w:cs="宋体"/>
          <w:color w:val="000000"/>
          <w:kern w:val="0"/>
          <w:szCs w:val="21"/>
        </w:rPr>
        <w:t xml:space="preserve">日内，向卖方支付签约合同价的 </w:t>
      </w:r>
      <w:r>
        <w:rPr>
          <w:color w:val="000000"/>
          <w:kern w:val="0"/>
          <w:szCs w:val="21"/>
        </w:rPr>
        <w:t>10%</w:t>
      </w:r>
      <w:r>
        <w:rPr>
          <w:rFonts w:hint="eastAsia" w:ascii="宋体" w:hAnsi="宋体" w:cs="宋体"/>
          <w:color w:val="000000"/>
          <w:kern w:val="0"/>
          <w:szCs w:val="21"/>
        </w:rPr>
        <w:t xml:space="preserve">作为预付款。买方支付预付款后，如卖方未履行合同义务，则买方有权收回预付款；如卖方依约履行了合同义务，则预付款抵作合同价款。 </w:t>
      </w:r>
    </w:p>
    <w:p>
      <w:pPr>
        <w:widowControl/>
        <w:spacing w:line="480" w:lineRule="exact"/>
        <w:ind w:firstLine="420" w:firstLineChars="200"/>
        <w:jc w:val="left"/>
      </w:pPr>
      <w:r>
        <w:rPr>
          <w:color w:val="000000"/>
          <w:kern w:val="0"/>
          <w:szCs w:val="21"/>
        </w:rPr>
        <w:t xml:space="preserve">3.2.2 </w:t>
      </w:r>
      <w:r>
        <w:rPr>
          <w:rFonts w:hint="eastAsia" w:ascii="宋体" w:hAnsi="宋体" w:cs="宋体"/>
          <w:color w:val="000000"/>
          <w:kern w:val="0"/>
          <w:szCs w:val="21"/>
        </w:rPr>
        <w:t xml:space="preserve">交货款 </w:t>
      </w:r>
    </w:p>
    <w:p>
      <w:pPr>
        <w:widowControl/>
        <w:spacing w:line="480" w:lineRule="exact"/>
        <w:ind w:firstLine="420" w:firstLineChars="200"/>
        <w:jc w:val="left"/>
      </w:pPr>
      <w:r>
        <w:rPr>
          <w:rFonts w:hint="eastAsia" w:ascii="宋体" w:hAnsi="宋体" w:cs="宋体"/>
          <w:color w:val="000000"/>
          <w:kern w:val="0"/>
          <w:szCs w:val="21"/>
        </w:rPr>
        <w:t>卖方按合同约定交付</w:t>
      </w:r>
      <w:r>
        <w:rPr>
          <w:rFonts w:hint="eastAsia"/>
        </w:rPr>
        <w:t>批次</w:t>
      </w:r>
      <w:r>
        <w:rPr>
          <w:rFonts w:hint="eastAsia" w:ascii="宋体" w:hAnsi="宋体" w:cs="宋体"/>
          <w:color w:val="000000"/>
          <w:kern w:val="0"/>
          <w:szCs w:val="21"/>
        </w:rPr>
        <w:t>合同设备后，买方在收到卖方提交的下列该批次货物单据并经审核无误后</w:t>
      </w:r>
      <w:r>
        <w:rPr>
          <w:color w:val="000000"/>
          <w:kern w:val="0"/>
          <w:szCs w:val="21"/>
        </w:rPr>
        <w:t xml:space="preserve">28 </w:t>
      </w:r>
      <w:r>
        <w:rPr>
          <w:rFonts w:hint="eastAsia" w:ascii="宋体" w:hAnsi="宋体" w:cs="宋体"/>
          <w:color w:val="000000"/>
          <w:kern w:val="0"/>
          <w:szCs w:val="21"/>
        </w:rPr>
        <w:t xml:space="preserve">日内，向卖方支付该批次合同价格的 </w:t>
      </w:r>
      <w:r>
        <w:rPr>
          <w:color w:val="000000"/>
          <w:kern w:val="0"/>
          <w:szCs w:val="21"/>
        </w:rPr>
        <w:t>60%</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）卖方出具的交货清单正本一份；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）买方签署的收货清单正本一份；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）制造商出具的出厂质量合格证正本一份；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4</w:t>
      </w:r>
      <w:r>
        <w:rPr>
          <w:rFonts w:hint="eastAsia" w:ascii="宋体" w:hAnsi="宋体" w:cs="宋体"/>
          <w:color w:val="000000"/>
          <w:kern w:val="0"/>
          <w:szCs w:val="21"/>
        </w:rPr>
        <w:t>）</w:t>
      </w:r>
      <w:r>
        <w:rPr>
          <w:rFonts w:hint="eastAsia"/>
        </w:rPr>
        <w:t>该批次</w:t>
      </w:r>
      <w:r>
        <w:rPr>
          <w:rFonts w:hint="eastAsia" w:ascii="宋体" w:hAnsi="宋体" w:cs="宋体"/>
          <w:color w:val="000000"/>
          <w:kern w:val="0"/>
          <w:szCs w:val="21"/>
        </w:rPr>
        <w:t>价格</w:t>
      </w:r>
      <w:r>
        <w:rPr>
          <w:color w:val="000000"/>
          <w:kern w:val="0"/>
          <w:szCs w:val="21"/>
        </w:rPr>
        <w:t>100%</w:t>
      </w:r>
      <w:r>
        <w:rPr>
          <w:rFonts w:hint="eastAsia" w:ascii="宋体" w:hAnsi="宋体" w:cs="宋体"/>
          <w:color w:val="000000"/>
          <w:kern w:val="0"/>
          <w:szCs w:val="21"/>
        </w:rPr>
        <w:t xml:space="preserve">金额的增值税发票正本一份。 </w:t>
      </w:r>
    </w:p>
    <w:p>
      <w:pPr>
        <w:widowControl/>
        <w:spacing w:line="480" w:lineRule="exact"/>
        <w:ind w:firstLine="420" w:firstLineChars="200"/>
        <w:jc w:val="left"/>
      </w:pPr>
      <w:r>
        <w:rPr>
          <w:color w:val="000000"/>
          <w:kern w:val="0"/>
          <w:szCs w:val="21"/>
        </w:rPr>
        <w:t xml:space="preserve">3.2.3 </w:t>
      </w:r>
      <w:r>
        <w:rPr>
          <w:rFonts w:hint="eastAsia" w:ascii="宋体" w:hAnsi="宋体" w:cs="宋体"/>
          <w:color w:val="000000"/>
          <w:kern w:val="0"/>
          <w:szCs w:val="21"/>
        </w:rPr>
        <w:t xml:space="preserve">验收款 </w:t>
      </w:r>
    </w:p>
    <w:p>
      <w:pPr>
        <w:widowControl/>
        <w:spacing w:line="48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买方在收到卖方提交的买卖双方签署的合同</w:t>
      </w:r>
      <w:r>
        <w:rPr>
          <w:rFonts w:hint="eastAsia"/>
        </w:rPr>
        <w:t>该批次</w:t>
      </w:r>
      <w:r>
        <w:rPr>
          <w:rFonts w:hint="eastAsia" w:ascii="宋体" w:hAnsi="宋体" w:cs="宋体"/>
          <w:color w:val="000000"/>
          <w:kern w:val="0"/>
          <w:szCs w:val="21"/>
        </w:rPr>
        <w:t xml:space="preserve">设备验收证书或已生效的验收款支付函正本一份并经审核无误后 </w:t>
      </w:r>
      <w:r>
        <w:rPr>
          <w:color w:val="000000"/>
          <w:kern w:val="0"/>
          <w:szCs w:val="21"/>
        </w:rPr>
        <w:t xml:space="preserve">28 </w:t>
      </w:r>
      <w:r>
        <w:rPr>
          <w:rFonts w:hint="eastAsia" w:ascii="宋体" w:hAnsi="宋体" w:cs="宋体"/>
          <w:color w:val="000000"/>
          <w:kern w:val="0"/>
          <w:szCs w:val="21"/>
        </w:rPr>
        <w:t xml:space="preserve">日内，向卖方支付全部合同价的 </w:t>
      </w:r>
      <w:r>
        <w:rPr>
          <w:color w:val="000000"/>
          <w:kern w:val="0"/>
          <w:szCs w:val="21"/>
        </w:rPr>
        <w:t>25%</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甲方结算审计且总承包工程备案完成，乙方根据结算金额开具100%全额发票后付至结算价的 95%。</w:t>
      </w:r>
    </w:p>
    <w:p>
      <w:pPr>
        <w:widowControl/>
        <w:spacing w:line="480" w:lineRule="exact"/>
        <w:ind w:firstLine="420" w:firstLineChars="200"/>
        <w:jc w:val="left"/>
      </w:pPr>
      <w:r>
        <w:rPr>
          <w:color w:val="000000"/>
          <w:kern w:val="0"/>
          <w:szCs w:val="21"/>
        </w:rPr>
        <w:t xml:space="preserve">3.2.4 </w:t>
      </w:r>
      <w:r>
        <w:rPr>
          <w:rFonts w:hint="eastAsia" w:ascii="宋体" w:hAnsi="宋体" w:cs="宋体"/>
          <w:color w:val="000000"/>
          <w:kern w:val="0"/>
          <w:szCs w:val="21"/>
        </w:rPr>
        <w:t xml:space="preserve">结清款 </w:t>
      </w:r>
    </w:p>
    <w:p>
      <w:pPr>
        <w:widowControl/>
        <w:spacing w:line="480" w:lineRule="exact"/>
        <w:ind w:firstLine="420" w:firstLineChars="200"/>
        <w:jc w:val="left"/>
      </w:pPr>
      <w:r>
        <w:rPr>
          <w:rFonts w:hint="eastAsia" w:ascii="宋体" w:hAnsi="宋体" w:cs="宋体"/>
          <w:color w:val="000000"/>
          <w:kern w:val="0"/>
          <w:szCs w:val="21"/>
        </w:rPr>
        <w:t xml:space="preserve">买方在收到卖方提交的买方签署的质量保证期届满证书或已生效的结清款支付函正本一份并经审核无误后 </w:t>
      </w:r>
      <w:r>
        <w:rPr>
          <w:color w:val="000000"/>
          <w:kern w:val="0"/>
          <w:szCs w:val="21"/>
        </w:rPr>
        <w:t xml:space="preserve">28 </w:t>
      </w:r>
      <w:r>
        <w:rPr>
          <w:rFonts w:hint="eastAsia" w:ascii="宋体" w:hAnsi="宋体" w:cs="宋体"/>
          <w:color w:val="000000"/>
          <w:kern w:val="0"/>
          <w:szCs w:val="21"/>
        </w:rPr>
        <w:t xml:space="preserve">日内，向卖方支付合同结算价的 </w:t>
      </w:r>
      <w:r>
        <w:rPr>
          <w:color w:val="000000"/>
          <w:kern w:val="0"/>
          <w:szCs w:val="21"/>
        </w:rPr>
        <w:t>5%</w:t>
      </w:r>
      <w:r>
        <w:rPr>
          <w:rFonts w:hint="eastAsia" w:ascii="宋体" w:hAnsi="宋体" w:cs="宋体"/>
          <w:color w:val="000000"/>
          <w:kern w:val="0"/>
          <w:szCs w:val="21"/>
        </w:rPr>
        <w:t xml:space="preserve">。如果依照合同第 </w:t>
      </w:r>
      <w:r>
        <w:rPr>
          <w:color w:val="000000"/>
          <w:kern w:val="0"/>
          <w:szCs w:val="21"/>
        </w:rPr>
        <w:t xml:space="preserve">9.1 </w:t>
      </w:r>
      <w:r>
        <w:rPr>
          <w:rFonts w:hint="eastAsia" w:ascii="宋体" w:hAnsi="宋体" w:cs="宋体"/>
          <w:color w:val="000000"/>
          <w:kern w:val="0"/>
          <w:szCs w:val="21"/>
        </w:rPr>
        <w:t xml:space="preserve">项，卖方应向买方支付费用的，买方有权从结清款中直接扣除该笔费用。除专用合同条款另有约定外，在买方向卖方支付验收款的同时或其后的任何时间内，卖方可在向买方提交买方可接受的金额为合同结算价 </w:t>
      </w:r>
      <w:r>
        <w:rPr>
          <w:color w:val="000000"/>
          <w:kern w:val="0"/>
          <w:szCs w:val="21"/>
        </w:rPr>
        <w:t>5%</w:t>
      </w:r>
      <w:r>
        <w:rPr>
          <w:rFonts w:hint="eastAsia" w:ascii="宋体" w:hAnsi="宋体" w:cs="宋体"/>
          <w:color w:val="000000"/>
          <w:kern w:val="0"/>
          <w:szCs w:val="21"/>
        </w:rPr>
        <w:t xml:space="preserve">的合同结清款保函的前提下，要求买方支付合同结清款，买方不得拒绝。 </w:t>
      </w:r>
    </w:p>
    <w:p>
      <w:pPr>
        <w:widowControl/>
        <w:spacing w:line="480" w:lineRule="exact"/>
        <w:ind w:firstLine="480" w:firstLineChars="200"/>
        <w:jc w:val="left"/>
      </w:pPr>
      <w:r>
        <w:rPr>
          <w:color w:val="000000"/>
          <w:kern w:val="0"/>
          <w:sz w:val="24"/>
        </w:rPr>
        <w:t xml:space="preserve">3.3 </w:t>
      </w:r>
      <w:r>
        <w:rPr>
          <w:rFonts w:ascii="黑体" w:hAnsi="宋体" w:eastAsia="黑体" w:cs="黑体"/>
          <w:color w:val="000000"/>
          <w:kern w:val="0"/>
          <w:sz w:val="24"/>
        </w:rPr>
        <w:t xml:space="preserve">买方扣款的权利 </w:t>
      </w:r>
    </w:p>
    <w:p>
      <w:pPr>
        <w:widowControl/>
        <w:spacing w:line="480" w:lineRule="exact"/>
        <w:ind w:firstLine="420" w:firstLineChars="200"/>
        <w:jc w:val="left"/>
      </w:pPr>
      <w:r>
        <w:rPr>
          <w:rFonts w:hint="eastAsia" w:ascii="宋体" w:hAnsi="宋体" w:cs="宋体"/>
          <w:color w:val="000000"/>
          <w:kern w:val="0"/>
          <w:szCs w:val="21"/>
        </w:rPr>
        <w:t xml:space="preserve">当卖方应向买方支付合同项下的违约金或赔偿金时，买方有权从上述任何一笔应付款中予以直接扣除和（或）兑付履约保证金。 </w:t>
      </w:r>
    </w:p>
    <w:p>
      <w:pPr>
        <w:widowControl/>
        <w:spacing w:line="480" w:lineRule="exact"/>
        <w:ind w:firstLine="622" w:firstLineChars="200"/>
        <w:jc w:val="left"/>
      </w:pPr>
      <w:r>
        <w:rPr>
          <w:b/>
          <w:bCs/>
          <w:color w:val="000000"/>
          <w:kern w:val="0"/>
          <w:sz w:val="31"/>
          <w:szCs w:val="31"/>
        </w:rPr>
        <w:t xml:space="preserve">4. </w:t>
      </w:r>
      <w:r>
        <w:rPr>
          <w:rFonts w:hint="eastAsia" w:ascii="宋体" w:hAnsi="宋体" w:cs="宋体"/>
          <w:b/>
          <w:bCs/>
          <w:color w:val="000000"/>
          <w:kern w:val="0"/>
          <w:sz w:val="31"/>
          <w:szCs w:val="31"/>
        </w:rPr>
        <w:t xml:space="preserve">监造及交货前检验 </w:t>
      </w:r>
    </w:p>
    <w:p>
      <w:pPr>
        <w:widowControl/>
        <w:spacing w:line="480" w:lineRule="exact"/>
        <w:ind w:firstLine="480" w:firstLineChars="200"/>
        <w:jc w:val="left"/>
      </w:pPr>
      <w:r>
        <w:rPr>
          <w:color w:val="000000"/>
          <w:kern w:val="0"/>
          <w:sz w:val="24"/>
        </w:rPr>
        <w:t xml:space="preserve">4.1 </w:t>
      </w:r>
      <w:r>
        <w:rPr>
          <w:rFonts w:hint="eastAsia" w:ascii="黑体" w:hAnsi="宋体" w:eastAsia="黑体" w:cs="黑体"/>
          <w:color w:val="000000"/>
          <w:kern w:val="0"/>
          <w:sz w:val="24"/>
        </w:rPr>
        <w:t xml:space="preserve">监造 </w:t>
      </w:r>
    </w:p>
    <w:p>
      <w:pPr>
        <w:widowControl/>
        <w:spacing w:line="480" w:lineRule="exact"/>
        <w:ind w:firstLine="420" w:firstLineChars="200"/>
        <w:jc w:val="left"/>
      </w:pPr>
      <w:r>
        <w:rPr>
          <w:rFonts w:hint="eastAsia" w:ascii="宋体" w:hAnsi="宋体" w:cs="宋体"/>
          <w:color w:val="000000"/>
          <w:kern w:val="0"/>
          <w:szCs w:val="21"/>
        </w:rPr>
        <w:t xml:space="preserve">专用合同条款约定买方对合同设备进行监造的，双方应按本款及专用合同条款约定履行。 </w:t>
      </w:r>
    </w:p>
    <w:p>
      <w:pPr>
        <w:widowControl/>
        <w:spacing w:line="480" w:lineRule="exact"/>
        <w:ind w:firstLine="420" w:firstLineChars="200"/>
        <w:jc w:val="left"/>
      </w:pPr>
      <w:r>
        <w:rPr>
          <w:color w:val="000000"/>
          <w:kern w:val="0"/>
          <w:szCs w:val="21"/>
        </w:rPr>
        <w:t xml:space="preserve">4.1.1 </w:t>
      </w:r>
      <w:r>
        <w:rPr>
          <w:rFonts w:hint="eastAsia" w:ascii="宋体" w:hAnsi="宋体" w:cs="宋体"/>
          <w:color w:val="000000"/>
          <w:kern w:val="0"/>
          <w:szCs w:val="21"/>
        </w:rPr>
        <w:t xml:space="preserve">在合同设备的制造过程中，买方可派出监造人员，对合同设备的生产制造进行监造，监督合同设备制造、检验等情况。监造的范围、方式等应符合专用合同条款和（或）供货要求等合同文件的约定。 </w:t>
      </w:r>
    </w:p>
    <w:p>
      <w:pPr>
        <w:widowControl/>
        <w:spacing w:line="480" w:lineRule="exact"/>
        <w:ind w:firstLine="420" w:firstLineChars="200"/>
        <w:jc w:val="left"/>
      </w:pPr>
      <w:r>
        <w:rPr>
          <w:color w:val="000000"/>
          <w:kern w:val="0"/>
          <w:szCs w:val="21"/>
        </w:rPr>
        <w:t xml:space="preserve">4.1.2 </w:t>
      </w:r>
      <w:r>
        <w:rPr>
          <w:rFonts w:hint="eastAsia" w:ascii="宋体" w:hAnsi="宋体" w:cs="宋体"/>
          <w:color w:val="000000"/>
          <w:kern w:val="0"/>
          <w:szCs w:val="21"/>
        </w:rPr>
        <w:t xml:space="preserve">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 </w:t>
      </w:r>
    </w:p>
    <w:p>
      <w:pPr>
        <w:widowControl/>
        <w:spacing w:line="480" w:lineRule="exact"/>
        <w:ind w:firstLine="420" w:firstLineChars="200"/>
        <w:jc w:val="left"/>
      </w:pPr>
      <w:r>
        <w:rPr>
          <w:color w:val="000000"/>
          <w:kern w:val="0"/>
          <w:szCs w:val="21"/>
        </w:rPr>
        <w:t xml:space="preserve">4.1.3 </w:t>
      </w:r>
      <w:r>
        <w:rPr>
          <w:rFonts w:hint="eastAsia" w:ascii="宋体" w:hAnsi="宋体" w:cs="宋体"/>
          <w:color w:val="000000"/>
          <w:kern w:val="0"/>
          <w:szCs w:val="21"/>
        </w:rPr>
        <w:t xml:space="preserve">卖方制订生产制造合同设备的进度计划时，应将买方监造纳入计划安排，并提前通知买方；买方进行监造不应影响合同设备的正常生产。除专用合同条款和（或）供货要求等合同文件另有约定外，卖方应提前 </w:t>
      </w:r>
      <w:r>
        <w:rPr>
          <w:color w:val="000000"/>
          <w:kern w:val="0"/>
          <w:szCs w:val="21"/>
        </w:rPr>
        <w:t xml:space="preserve">7 </w:t>
      </w:r>
      <w:r>
        <w:rPr>
          <w:rFonts w:hint="eastAsia" w:ascii="宋体" w:hAnsi="宋体" w:cs="宋体"/>
          <w:color w:val="000000"/>
          <w:kern w:val="0"/>
          <w:szCs w:val="21"/>
        </w:rPr>
        <w:t xml:space="preserve">日将需要买方监造人员现场监造事项通知买方；如买方监造人员未按通知出席，不影响合同设备及其关键部件的制造或检验，但买方监造人员有权事后了解、查阅、复制相关制造或检验记录。 </w:t>
      </w:r>
    </w:p>
    <w:p>
      <w:pPr>
        <w:widowControl/>
        <w:spacing w:line="480" w:lineRule="exact"/>
        <w:ind w:firstLine="420" w:firstLineChars="200"/>
        <w:jc w:val="left"/>
      </w:pPr>
      <w:r>
        <w:rPr>
          <w:color w:val="000000"/>
          <w:kern w:val="0"/>
          <w:szCs w:val="21"/>
        </w:rPr>
        <w:t xml:space="preserve">4.1.4 </w:t>
      </w:r>
      <w:r>
        <w:rPr>
          <w:rFonts w:hint="eastAsia" w:ascii="宋体" w:hAnsi="宋体" w:cs="宋体"/>
          <w:color w:val="000000"/>
          <w:kern w:val="0"/>
          <w:szCs w:val="21"/>
        </w:rPr>
        <w:t xml:space="preserve">买方监造人员在监造中如发现合同设备及其关键部件不符合合同约定的标准，则有权提出意见和建议。卖方应采取必要措施消除合同设备的不符，由此增加的费用和（或）造成的延误由卖方负责。 </w:t>
      </w:r>
    </w:p>
    <w:p>
      <w:pPr>
        <w:widowControl/>
        <w:spacing w:line="480" w:lineRule="exact"/>
        <w:ind w:firstLine="420" w:firstLineChars="200"/>
        <w:jc w:val="left"/>
      </w:pPr>
      <w:r>
        <w:rPr>
          <w:color w:val="000000"/>
          <w:kern w:val="0"/>
          <w:szCs w:val="21"/>
        </w:rPr>
        <w:t xml:space="preserve">4.1.5 </w:t>
      </w:r>
      <w:r>
        <w:rPr>
          <w:rFonts w:hint="eastAsia" w:ascii="宋体" w:hAnsi="宋体" w:cs="宋体"/>
          <w:color w:val="000000"/>
          <w:kern w:val="0"/>
          <w:szCs w:val="21"/>
        </w:rPr>
        <w:t xml:space="preserve">买方监造人员对合同设备的监造，不视为对合同设备质量的确认，不影响卖方交货后买方依照合同约定对合同设备提出质量异议和（或）退货的权利，也不免除卖方依照合同约定对合同设备所应承担的任何义务或责任。 </w:t>
      </w:r>
    </w:p>
    <w:p>
      <w:pPr>
        <w:widowControl/>
        <w:spacing w:line="480" w:lineRule="exact"/>
        <w:ind w:firstLine="480" w:firstLineChars="200"/>
        <w:jc w:val="left"/>
      </w:pPr>
      <w:r>
        <w:rPr>
          <w:color w:val="000000"/>
          <w:kern w:val="0"/>
          <w:sz w:val="24"/>
        </w:rPr>
        <w:t xml:space="preserve">4.2 </w:t>
      </w:r>
      <w:r>
        <w:rPr>
          <w:rFonts w:hint="eastAsia" w:ascii="黑体" w:hAnsi="宋体" w:eastAsia="黑体" w:cs="黑体"/>
          <w:color w:val="000000"/>
          <w:kern w:val="0"/>
          <w:sz w:val="24"/>
        </w:rPr>
        <w:t xml:space="preserve">交货前检验 </w:t>
      </w:r>
    </w:p>
    <w:p>
      <w:pPr>
        <w:widowControl/>
        <w:spacing w:line="480" w:lineRule="exact"/>
        <w:ind w:firstLine="420" w:firstLineChars="200"/>
        <w:jc w:val="left"/>
      </w:pPr>
      <w:r>
        <w:rPr>
          <w:rFonts w:hint="eastAsia" w:ascii="宋体" w:hAnsi="宋体" w:cs="宋体"/>
          <w:color w:val="000000"/>
          <w:kern w:val="0"/>
          <w:szCs w:val="21"/>
        </w:rPr>
        <w:t>专用合同条款约定买方参与交货前检验的，双方应按本款及专用合同条款约定履行。</w:t>
      </w:r>
    </w:p>
    <w:p>
      <w:pPr>
        <w:widowControl/>
        <w:spacing w:line="480" w:lineRule="exact"/>
        <w:ind w:firstLine="420" w:firstLineChars="200"/>
        <w:jc w:val="left"/>
      </w:pPr>
      <w:r>
        <w:rPr>
          <w:color w:val="000000"/>
          <w:kern w:val="0"/>
          <w:szCs w:val="21"/>
        </w:rPr>
        <w:t xml:space="preserve">4.2.1 </w:t>
      </w:r>
      <w:r>
        <w:rPr>
          <w:rFonts w:hint="eastAsia" w:ascii="宋体" w:hAnsi="宋体" w:cs="宋体"/>
          <w:color w:val="000000"/>
          <w:kern w:val="0"/>
          <w:szCs w:val="21"/>
        </w:rPr>
        <w:t xml:space="preserve">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 </w:t>
      </w:r>
    </w:p>
    <w:p>
      <w:pPr>
        <w:widowControl/>
        <w:spacing w:line="480" w:lineRule="exact"/>
        <w:ind w:firstLine="420" w:firstLineChars="200"/>
        <w:jc w:val="left"/>
      </w:pPr>
      <w:r>
        <w:rPr>
          <w:color w:val="000000"/>
          <w:kern w:val="0"/>
          <w:szCs w:val="21"/>
        </w:rPr>
        <w:t xml:space="preserve">4.2.2 </w:t>
      </w:r>
      <w:r>
        <w:rPr>
          <w:rFonts w:hint="eastAsia" w:ascii="宋体" w:hAnsi="宋体" w:cs="宋体"/>
          <w:color w:val="000000"/>
          <w:kern w:val="0"/>
          <w:szCs w:val="21"/>
        </w:rPr>
        <w:t xml:space="preserve">除专用合同条款和（或）供货要求等合同文件另有约定外，卖方应提前 </w:t>
      </w:r>
      <w:r>
        <w:rPr>
          <w:color w:val="000000"/>
          <w:kern w:val="0"/>
          <w:szCs w:val="21"/>
        </w:rPr>
        <w:t xml:space="preserve">7 </w:t>
      </w:r>
      <w:r>
        <w:rPr>
          <w:rFonts w:hint="eastAsia" w:ascii="宋体" w:hAnsi="宋体" w:cs="宋体"/>
          <w:color w:val="000000"/>
          <w:kern w:val="0"/>
          <w:szCs w:val="21"/>
        </w:rPr>
        <w:t xml:space="preserve">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 </w:t>
      </w:r>
    </w:p>
    <w:p>
      <w:pPr>
        <w:widowControl/>
        <w:spacing w:line="480" w:lineRule="exact"/>
        <w:ind w:firstLine="420" w:firstLineChars="200"/>
        <w:jc w:val="left"/>
      </w:pPr>
      <w:r>
        <w:rPr>
          <w:color w:val="000000"/>
          <w:kern w:val="0"/>
          <w:szCs w:val="21"/>
        </w:rPr>
        <w:t xml:space="preserve">4.2.3 </w:t>
      </w:r>
      <w:r>
        <w:rPr>
          <w:rFonts w:hint="eastAsia" w:ascii="宋体" w:hAnsi="宋体" w:cs="宋体"/>
          <w:color w:val="000000"/>
          <w:kern w:val="0"/>
          <w:szCs w:val="21"/>
        </w:rPr>
        <w:t xml:space="preserve">买方代表在检验中如发现合同设备不符合合同约定的标准，则有权提出异议。卖方应采取必要措施消除合同设备的不符，由此增加的费用和（或）造成的延误由卖方负责。 </w:t>
      </w:r>
    </w:p>
    <w:p>
      <w:pPr>
        <w:widowControl/>
        <w:spacing w:line="480" w:lineRule="exact"/>
        <w:ind w:firstLine="420" w:firstLineChars="200"/>
        <w:jc w:val="left"/>
      </w:pPr>
      <w:r>
        <w:rPr>
          <w:color w:val="000000"/>
          <w:kern w:val="0"/>
          <w:szCs w:val="21"/>
        </w:rPr>
        <w:t xml:space="preserve">4.2.4 </w:t>
      </w:r>
      <w:r>
        <w:rPr>
          <w:rFonts w:hint="eastAsia" w:ascii="宋体" w:hAnsi="宋体" w:cs="宋体"/>
          <w:color w:val="000000"/>
          <w:kern w:val="0"/>
          <w:szCs w:val="21"/>
        </w:rPr>
        <w:t xml:space="preserve">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 </w:t>
      </w:r>
    </w:p>
    <w:p>
      <w:pPr>
        <w:widowControl/>
        <w:spacing w:line="480" w:lineRule="exact"/>
        <w:ind w:firstLine="622" w:firstLineChars="200"/>
        <w:jc w:val="left"/>
      </w:pPr>
      <w:r>
        <w:rPr>
          <w:b/>
          <w:bCs/>
          <w:color w:val="000000"/>
          <w:kern w:val="0"/>
          <w:sz w:val="31"/>
          <w:szCs w:val="31"/>
        </w:rPr>
        <w:t xml:space="preserve">5. </w:t>
      </w:r>
      <w:r>
        <w:rPr>
          <w:rFonts w:hint="eastAsia" w:ascii="宋体" w:hAnsi="宋体" w:cs="宋体"/>
          <w:b/>
          <w:bCs/>
          <w:color w:val="000000"/>
          <w:kern w:val="0"/>
          <w:sz w:val="31"/>
          <w:szCs w:val="31"/>
        </w:rPr>
        <w:t xml:space="preserve">包装、标记、运输和交付 </w:t>
      </w:r>
    </w:p>
    <w:p>
      <w:pPr>
        <w:widowControl/>
        <w:spacing w:line="480" w:lineRule="exact"/>
        <w:ind w:firstLine="480" w:firstLineChars="200"/>
        <w:jc w:val="left"/>
      </w:pPr>
      <w:r>
        <w:rPr>
          <w:color w:val="000000"/>
          <w:kern w:val="0"/>
          <w:sz w:val="24"/>
        </w:rPr>
        <w:t xml:space="preserve">5.1 </w:t>
      </w:r>
      <w:r>
        <w:rPr>
          <w:rFonts w:ascii="黑体" w:hAnsi="宋体" w:eastAsia="黑体" w:cs="黑体"/>
          <w:color w:val="000000"/>
          <w:kern w:val="0"/>
          <w:sz w:val="24"/>
        </w:rPr>
        <w:t xml:space="preserve">包装 </w:t>
      </w:r>
    </w:p>
    <w:p>
      <w:pPr>
        <w:widowControl/>
        <w:spacing w:line="480" w:lineRule="exact"/>
        <w:ind w:firstLine="420" w:firstLineChars="200"/>
        <w:jc w:val="left"/>
      </w:pPr>
      <w:r>
        <w:rPr>
          <w:color w:val="000000"/>
          <w:kern w:val="0"/>
          <w:szCs w:val="21"/>
        </w:rPr>
        <w:t xml:space="preserve">5.1.1 </w:t>
      </w:r>
      <w:r>
        <w:rPr>
          <w:rFonts w:hint="eastAsia" w:ascii="宋体" w:hAnsi="宋体" w:cs="宋体"/>
          <w:color w:val="000000"/>
          <w:kern w:val="0"/>
          <w:szCs w:val="21"/>
        </w:rPr>
        <w:t xml:space="preserve">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 </w:t>
      </w:r>
    </w:p>
    <w:p>
      <w:pPr>
        <w:widowControl/>
        <w:spacing w:line="480" w:lineRule="exact"/>
        <w:ind w:firstLine="420" w:firstLineChars="200"/>
        <w:jc w:val="left"/>
      </w:pPr>
      <w:r>
        <w:rPr>
          <w:color w:val="000000"/>
          <w:kern w:val="0"/>
          <w:szCs w:val="21"/>
        </w:rPr>
        <w:t xml:space="preserve">5.1.2 </w:t>
      </w:r>
      <w:r>
        <w:rPr>
          <w:rFonts w:hint="eastAsia" w:ascii="宋体" w:hAnsi="宋体" w:cs="宋体"/>
          <w:color w:val="000000"/>
          <w:kern w:val="0"/>
          <w:szCs w:val="21"/>
        </w:rPr>
        <w:t xml:space="preserve">每个独立包装箱内应附装箱清单、质量合格证、装配图、说明书、操作指南等资料。 </w:t>
      </w:r>
    </w:p>
    <w:p>
      <w:pPr>
        <w:widowControl/>
        <w:spacing w:line="480" w:lineRule="exact"/>
        <w:ind w:firstLine="420" w:firstLineChars="200"/>
        <w:jc w:val="left"/>
      </w:pPr>
      <w:r>
        <w:rPr>
          <w:color w:val="000000"/>
          <w:kern w:val="0"/>
          <w:szCs w:val="21"/>
        </w:rPr>
        <w:t xml:space="preserve">5.1.3 </w:t>
      </w:r>
      <w:r>
        <w:rPr>
          <w:rFonts w:hint="eastAsia" w:ascii="宋体" w:hAnsi="宋体" w:cs="宋体"/>
          <w:color w:val="000000"/>
          <w:kern w:val="0"/>
          <w:szCs w:val="21"/>
        </w:rPr>
        <w:t xml:space="preserve">除专用合同条款另有约定外，买方无需将包装物退还给卖方。 </w:t>
      </w:r>
    </w:p>
    <w:p>
      <w:pPr>
        <w:widowControl/>
        <w:spacing w:line="480" w:lineRule="exact"/>
        <w:ind w:firstLine="480" w:firstLineChars="200"/>
        <w:jc w:val="left"/>
      </w:pPr>
      <w:r>
        <w:rPr>
          <w:color w:val="000000"/>
          <w:kern w:val="0"/>
          <w:sz w:val="24"/>
        </w:rPr>
        <w:t xml:space="preserve">5.2 </w:t>
      </w:r>
      <w:r>
        <w:rPr>
          <w:rFonts w:hint="eastAsia" w:ascii="黑体" w:hAnsi="宋体" w:eastAsia="黑体" w:cs="黑体"/>
          <w:color w:val="000000"/>
          <w:kern w:val="0"/>
          <w:sz w:val="24"/>
        </w:rPr>
        <w:t xml:space="preserve">标记 </w:t>
      </w:r>
    </w:p>
    <w:p>
      <w:pPr>
        <w:widowControl/>
        <w:spacing w:line="480" w:lineRule="exact"/>
        <w:ind w:firstLine="420" w:firstLineChars="200"/>
        <w:jc w:val="left"/>
      </w:pPr>
      <w:r>
        <w:rPr>
          <w:color w:val="000000"/>
          <w:kern w:val="0"/>
          <w:szCs w:val="21"/>
        </w:rPr>
        <w:t xml:space="preserve">5.2.1 </w:t>
      </w:r>
      <w:r>
        <w:rPr>
          <w:rFonts w:hint="eastAsia" w:ascii="宋体" w:hAnsi="宋体" w:cs="宋体"/>
          <w:color w:val="000000"/>
          <w:kern w:val="0"/>
          <w:szCs w:val="21"/>
        </w:rPr>
        <w:t xml:space="preserve">除专用合同条款另有约定外，卖方应在每一包装箱相邻的四个侧面以不可擦除的、明显的方式标记必要的装运信息和标记，以满足合同设备运输和保管的需要。 </w:t>
      </w:r>
    </w:p>
    <w:p>
      <w:pPr>
        <w:widowControl/>
        <w:spacing w:line="480" w:lineRule="exact"/>
        <w:ind w:firstLine="420" w:firstLineChars="200"/>
        <w:jc w:val="left"/>
      </w:pPr>
      <w:r>
        <w:rPr>
          <w:color w:val="000000"/>
          <w:kern w:val="0"/>
          <w:szCs w:val="21"/>
        </w:rPr>
        <w:t xml:space="preserve">5.2.2 </w:t>
      </w:r>
      <w:r>
        <w:rPr>
          <w:rFonts w:hint="eastAsia" w:ascii="宋体" w:hAnsi="宋体" w:cs="宋体"/>
          <w:color w:val="000000"/>
          <w:kern w:val="0"/>
          <w:szCs w:val="21"/>
        </w:rPr>
        <w:t xml:space="preserve">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 </w:t>
      </w:r>
    </w:p>
    <w:p>
      <w:pPr>
        <w:widowControl/>
        <w:spacing w:line="480" w:lineRule="exact"/>
        <w:ind w:firstLine="480" w:firstLineChars="200"/>
        <w:jc w:val="left"/>
      </w:pPr>
      <w:r>
        <w:rPr>
          <w:color w:val="000000"/>
          <w:kern w:val="0"/>
          <w:sz w:val="24"/>
        </w:rPr>
        <w:t xml:space="preserve">5.3 </w:t>
      </w:r>
      <w:r>
        <w:rPr>
          <w:rFonts w:hint="eastAsia" w:ascii="黑体" w:hAnsi="宋体" w:eastAsia="黑体" w:cs="黑体"/>
          <w:color w:val="000000"/>
          <w:kern w:val="0"/>
          <w:sz w:val="24"/>
        </w:rPr>
        <w:t xml:space="preserve">运输 </w:t>
      </w:r>
    </w:p>
    <w:p>
      <w:pPr>
        <w:widowControl/>
        <w:spacing w:line="480" w:lineRule="exact"/>
        <w:ind w:firstLine="420" w:firstLineChars="200"/>
        <w:jc w:val="left"/>
      </w:pPr>
      <w:r>
        <w:rPr>
          <w:color w:val="000000"/>
          <w:kern w:val="0"/>
          <w:szCs w:val="21"/>
        </w:rPr>
        <w:t xml:space="preserve">5.3.1 </w:t>
      </w:r>
      <w:r>
        <w:rPr>
          <w:rFonts w:hint="eastAsia" w:ascii="宋体" w:hAnsi="宋体" w:cs="宋体"/>
          <w:color w:val="000000"/>
          <w:kern w:val="0"/>
          <w:szCs w:val="21"/>
        </w:rPr>
        <w:t xml:space="preserve">卖方应自行选择适宜的运输工具及线路安排合同设备运输。 </w:t>
      </w:r>
    </w:p>
    <w:p>
      <w:pPr>
        <w:widowControl/>
        <w:spacing w:line="480" w:lineRule="exact"/>
        <w:ind w:firstLine="420" w:firstLineChars="200"/>
        <w:jc w:val="left"/>
      </w:pPr>
      <w:r>
        <w:rPr>
          <w:color w:val="000000"/>
          <w:kern w:val="0"/>
          <w:szCs w:val="21"/>
        </w:rPr>
        <w:t xml:space="preserve">5.3.2 </w:t>
      </w:r>
      <w:r>
        <w:rPr>
          <w:rFonts w:hint="eastAsia" w:ascii="宋体" w:hAnsi="宋体" w:cs="宋体"/>
          <w:color w:val="000000"/>
          <w:kern w:val="0"/>
          <w:szCs w:val="21"/>
        </w:rPr>
        <w:t>除专用合同条款另有约定外，每件能够独立运行的设备应整套装运。该设备安装、调试、考核和运行所使用的备品、备件、易损易耗件等应随相关的主机一齐装运。</w:t>
      </w:r>
    </w:p>
    <w:p>
      <w:pPr>
        <w:widowControl/>
        <w:spacing w:line="480" w:lineRule="exact"/>
        <w:ind w:firstLine="420" w:firstLineChars="200"/>
        <w:jc w:val="left"/>
      </w:pPr>
      <w:r>
        <w:rPr>
          <w:color w:val="000000"/>
          <w:kern w:val="0"/>
          <w:szCs w:val="21"/>
        </w:rPr>
        <w:t xml:space="preserve">5.3.3 </w:t>
      </w:r>
      <w:r>
        <w:rPr>
          <w:rFonts w:hint="eastAsia" w:ascii="宋体" w:hAnsi="宋体" w:cs="宋体"/>
          <w:color w:val="000000"/>
          <w:kern w:val="0"/>
          <w:szCs w:val="21"/>
        </w:rPr>
        <w:t xml:space="preserve">除专用合同条款另有约定外，卖方应在合同设备预计启运 </w:t>
      </w:r>
      <w:r>
        <w:rPr>
          <w:color w:val="000000"/>
          <w:kern w:val="0"/>
          <w:szCs w:val="21"/>
        </w:rPr>
        <w:t xml:space="preserve">7 </w:t>
      </w:r>
      <w:r>
        <w:rPr>
          <w:rFonts w:hint="eastAsia" w:ascii="宋体" w:hAnsi="宋体" w:cs="宋体"/>
          <w:color w:val="000000"/>
          <w:kern w:val="0"/>
          <w:szCs w:val="21"/>
        </w:rPr>
        <w:t xml:space="preserve">日前，将合同设备名称、数量、箱数、总毛重、总体积（用 </w:t>
      </w:r>
      <w:r>
        <w:rPr>
          <w:color w:val="000000"/>
          <w:kern w:val="0"/>
          <w:szCs w:val="21"/>
        </w:rPr>
        <w:t>m</w:t>
      </w:r>
      <w:r>
        <w:rPr>
          <w:color w:val="000000"/>
          <w:kern w:val="0"/>
          <w:sz w:val="14"/>
          <w:szCs w:val="14"/>
        </w:rPr>
        <w:t>3</w:t>
      </w:r>
      <w:r>
        <w:rPr>
          <w:rFonts w:hint="eastAsia" w:ascii="宋体" w:hAnsi="宋体" w:cs="宋体"/>
          <w:color w:val="000000"/>
          <w:kern w:val="0"/>
          <w:szCs w:val="21"/>
        </w:rPr>
        <w:t>表示）、每箱尺寸（长</w:t>
      </w:r>
      <w:r>
        <w:rPr>
          <w:color w:val="000000"/>
          <w:kern w:val="0"/>
          <w:szCs w:val="21"/>
        </w:rPr>
        <w:t>×</w:t>
      </w:r>
      <w:r>
        <w:rPr>
          <w:rFonts w:hint="eastAsia" w:ascii="宋体" w:hAnsi="宋体" w:cs="宋体"/>
          <w:color w:val="000000"/>
          <w:kern w:val="0"/>
          <w:szCs w:val="21"/>
        </w:rPr>
        <w:t>宽</w:t>
      </w:r>
      <w:r>
        <w:rPr>
          <w:color w:val="000000"/>
          <w:kern w:val="0"/>
          <w:szCs w:val="21"/>
        </w:rPr>
        <w:t>×</w:t>
      </w:r>
      <w:r>
        <w:rPr>
          <w:rFonts w:hint="eastAsia" w:ascii="宋体" w:hAnsi="宋体" w:cs="宋体"/>
          <w:color w:val="000000"/>
          <w:kern w:val="0"/>
          <w:szCs w:val="21"/>
        </w:rPr>
        <w:t xml:space="preserve">高）、装运合同设备总金额、运输方式、预计交付日期和合同设备在运输、装卸、保管中的注意事项等预通知买方，并在合同设备启运后 </w:t>
      </w:r>
      <w:r>
        <w:rPr>
          <w:color w:val="000000"/>
          <w:kern w:val="0"/>
          <w:szCs w:val="21"/>
        </w:rPr>
        <w:t xml:space="preserve">24 </w:t>
      </w:r>
      <w:r>
        <w:rPr>
          <w:rFonts w:hint="eastAsia" w:ascii="宋体" w:hAnsi="宋体" w:cs="宋体"/>
          <w:color w:val="000000"/>
          <w:kern w:val="0"/>
          <w:szCs w:val="21"/>
        </w:rPr>
        <w:t xml:space="preserve">小时之内正式通知买方。 </w:t>
      </w:r>
    </w:p>
    <w:p>
      <w:pPr>
        <w:widowControl/>
        <w:spacing w:line="480" w:lineRule="exact"/>
        <w:ind w:firstLine="420" w:firstLineChars="200"/>
        <w:jc w:val="left"/>
      </w:pPr>
      <w:r>
        <w:rPr>
          <w:color w:val="000000"/>
          <w:kern w:val="0"/>
          <w:szCs w:val="21"/>
        </w:rPr>
        <w:t xml:space="preserve">5.3.4 </w:t>
      </w:r>
      <w:r>
        <w:rPr>
          <w:rFonts w:hint="eastAsia" w:ascii="宋体" w:hAnsi="宋体" w:cs="宋体"/>
          <w:color w:val="000000"/>
          <w:kern w:val="0"/>
          <w:szCs w:val="21"/>
        </w:rPr>
        <w:t xml:space="preserve">卖方在根据第 </w:t>
      </w:r>
      <w:r>
        <w:rPr>
          <w:color w:val="000000"/>
          <w:kern w:val="0"/>
          <w:szCs w:val="21"/>
        </w:rPr>
        <w:t xml:space="preserve">5.3.3 </w:t>
      </w:r>
      <w:r>
        <w:rPr>
          <w:rFonts w:hint="eastAsia" w:ascii="宋体" w:hAnsi="宋体" w:cs="宋体"/>
          <w:color w:val="000000"/>
          <w:kern w:val="0"/>
          <w:szCs w:val="21"/>
        </w:rPr>
        <w:t xml:space="preserve">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 </w:t>
      </w:r>
    </w:p>
    <w:p>
      <w:pPr>
        <w:widowControl/>
        <w:spacing w:line="480" w:lineRule="exact"/>
        <w:ind w:firstLine="480" w:firstLineChars="200"/>
        <w:jc w:val="left"/>
      </w:pPr>
      <w:r>
        <w:rPr>
          <w:color w:val="000000"/>
          <w:kern w:val="0"/>
          <w:sz w:val="24"/>
        </w:rPr>
        <w:t xml:space="preserve">5.4 </w:t>
      </w:r>
      <w:r>
        <w:rPr>
          <w:rFonts w:ascii="黑体" w:hAnsi="宋体" w:eastAsia="黑体" w:cs="黑体"/>
          <w:color w:val="000000"/>
          <w:kern w:val="0"/>
          <w:sz w:val="24"/>
        </w:rPr>
        <w:t xml:space="preserve">交付 </w:t>
      </w:r>
    </w:p>
    <w:p>
      <w:pPr>
        <w:widowControl/>
        <w:spacing w:line="480" w:lineRule="exact"/>
        <w:ind w:firstLine="420" w:firstLineChars="200"/>
        <w:jc w:val="left"/>
      </w:pPr>
      <w:r>
        <w:rPr>
          <w:color w:val="000000"/>
          <w:kern w:val="0"/>
          <w:szCs w:val="21"/>
        </w:rPr>
        <w:t xml:space="preserve">5.4.1 </w:t>
      </w:r>
      <w:r>
        <w:rPr>
          <w:rFonts w:hint="eastAsia" w:ascii="宋体" w:hAnsi="宋体" w:cs="宋体"/>
          <w:color w:val="000000"/>
          <w:kern w:val="0"/>
          <w:szCs w:val="21"/>
        </w:rPr>
        <w:t>除专用合同条款另有约定外，卖方应根据合同约定的交付时间和批次在施工场地车面上将合同设备交付给买方。买方对卖方交付的包装的合同设备的外观及件数进行清点核验后应签发收货清单</w:t>
      </w:r>
      <w:r>
        <w:rPr>
          <w:rFonts w:hint="eastAsia" w:ascii="宋体" w:hAnsi="宋体" w:cs="宋体"/>
          <w:color w:val="000000"/>
          <w:kern w:val="0"/>
          <w:sz w:val="20"/>
          <w:szCs w:val="20"/>
        </w:rPr>
        <w:t>，</w:t>
      </w:r>
      <w:r>
        <w:rPr>
          <w:rFonts w:hint="eastAsia" w:ascii="宋体" w:hAnsi="宋体" w:cs="宋体"/>
          <w:color w:val="000000"/>
          <w:kern w:val="0"/>
          <w:szCs w:val="21"/>
        </w:rPr>
        <w:t xml:space="preserve">并自负风险和费用进行卸货。买方签发收货清单不代表对合同设备的接受，双方还应按合同约定进行后续的检验和验收。 </w:t>
      </w:r>
    </w:p>
    <w:p>
      <w:pPr>
        <w:widowControl/>
        <w:spacing w:line="480" w:lineRule="exact"/>
        <w:ind w:firstLine="420" w:firstLineChars="200"/>
        <w:jc w:val="left"/>
      </w:pPr>
      <w:r>
        <w:rPr>
          <w:color w:val="000000"/>
          <w:kern w:val="0"/>
          <w:szCs w:val="21"/>
        </w:rPr>
        <w:t xml:space="preserve">5.4.2 </w:t>
      </w:r>
      <w:r>
        <w:rPr>
          <w:rFonts w:hint="eastAsia" w:ascii="宋体" w:hAnsi="宋体" w:cs="宋体"/>
          <w:color w:val="000000"/>
          <w:kern w:val="0"/>
          <w:szCs w:val="21"/>
        </w:rPr>
        <w:t xml:space="preserve">合同设备的所有权和风险自交付时起由卖方转移至买方，合同设备交付给买方之前包括运输在内的所有风险均由卖方承担。 </w:t>
      </w:r>
    </w:p>
    <w:p>
      <w:pPr>
        <w:widowControl/>
        <w:spacing w:line="480" w:lineRule="exact"/>
        <w:ind w:firstLine="420" w:firstLineChars="200"/>
        <w:jc w:val="left"/>
      </w:pPr>
      <w:r>
        <w:rPr>
          <w:color w:val="000000"/>
          <w:kern w:val="0"/>
          <w:szCs w:val="21"/>
        </w:rPr>
        <w:t xml:space="preserve">5.4.3 </w:t>
      </w:r>
      <w:r>
        <w:rPr>
          <w:rFonts w:hint="eastAsia" w:ascii="宋体" w:hAnsi="宋体" w:cs="宋体"/>
          <w:color w:val="000000"/>
          <w:kern w:val="0"/>
          <w:szCs w:val="21"/>
        </w:rPr>
        <w:t xml:space="preserve">除专用合同条款另有约定外，买方如果发现技术资料存在短缺和（或）损坏，卖方应在收到买方的通知后 </w:t>
      </w:r>
      <w:r>
        <w:rPr>
          <w:color w:val="000000"/>
          <w:kern w:val="0"/>
          <w:szCs w:val="21"/>
        </w:rPr>
        <w:t xml:space="preserve">7 </w:t>
      </w:r>
      <w:r>
        <w:rPr>
          <w:rFonts w:hint="eastAsia" w:ascii="宋体" w:hAnsi="宋体" w:cs="宋体"/>
          <w:color w:val="000000"/>
          <w:kern w:val="0"/>
          <w:szCs w:val="21"/>
        </w:rPr>
        <w:t xml:space="preserve">日内免费补齐短缺和（或）损坏的部分。如果买方发现卖方提供的技术资料有误，卖方应在收到买方通知后 </w:t>
      </w:r>
      <w:r>
        <w:rPr>
          <w:color w:val="000000"/>
          <w:kern w:val="0"/>
          <w:szCs w:val="21"/>
        </w:rPr>
        <w:t xml:space="preserve">7 </w:t>
      </w:r>
      <w:r>
        <w:rPr>
          <w:rFonts w:hint="eastAsia" w:ascii="宋体" w:hAnsi="宋体" w:cs="宋体"/>
          <w:color w:val="000000"/>
          <w:kern w:val="0"/>
          <w:szCs w:val="21"/>
        </w:rPr>
        <w:t xml:space="preserve">日内免费替换。如由于买方原因导致技术资料丢失和（或）损坏，卖方应在收到买方的通知后 </w:t>
      </w:r>
      <w:r>
        <w:rPr>
          <w:color w:val="000000"/>
          <w:kern w:val="0"/>
          <w:szCs w:val="21"/>
        </w:rPr>
        <w:t>7</w:t>
      </w:r>
      <w:r>
        <w:rPr>
          <w:rFonts w:hint="eastAsia" w:ascii="宋体" w:hAnsi="宋体" w:cs="宋体"/>
          <w:color w:val="000000"/>
          <w:kern w:val="0"/>
          <w:szCs w:val="21"/>
        </w:rPr>
        <w:t xml:space="preserve">日内补齐丢失和（或）损坏的部分，但买方应向卖方支付合理的复制、 </w:t>
      </w:r>
    </w:p>
    <w:p>
      <w:pPr>
        <w:widowControl/>
        <w:spacing w:line="480" w:lineRule="exact"/>
        <w:ind w:firstLine="420" w:firstLineChars="200"/>
        <w:jc w:val="left"/>
      </w:pPr>
      <w:r>
        <w:rPr>
          <w:rFonts w:hint="eastAsia" w:ascii="宋体" w:hAnsi="宋体" w:cs="宋体"/>
          <w:color w:val="000000"/>
          <w:kern w:val="0"/>
          <w:szCs w:val="21"/>
        </w:rPr>
        <w:t xml:space="preserve">邮寄费用。 </w:t>
      </w:r>
    </w:p>
    <w:p>
      <w:pPr>
        <w:widowControl/>
        <w:spacing w:line="480" w:lineRule="exact"/>
        <w:ind w:firstLine="622" w:firstLineChars="200"/>
        <w:jc w:val="left"/>
      </w:pPr>
      <w:r>
        <w:rPr>
          <w:b/>
          <w:bCs/>
          <w:color w:val="000000"/>
          <w:kern w:val="0"/>
          <w:sz w:val="31"/>
          <w:szCs w:val="31"/>
        </w:rPr>
        <w:t xml:space="preserve">6. </w:t>
      </w:r>
      <w:r>
        <w:rPr>
          <w:rFonts w:hint="eastAsia" w:ascii="宋体" w:hAnsi="宋体" w:cs="宋体"/>
          <w:b/>
          <w:bCs/>
          <w:color w:val="000000"/>
          <w:kern w:val="0"/>
          <w:sz w:val="31"/>
          <w:szCs w:val="31"/>
        </w:rPr>
        <w:t xml:space="preserve">开箱检验、安装、调试、考核、验收 </w:t>
      </w:r>
    </w:p>
    <w:p>
      <w:pPr>
        <w:widowControl/>
        <w:spacing w:line="480" w:lineRule="exact"/>
        <w:ind w:firstLine="480" w:firstLineChars="200"/>
        <w:jc w:val="left"/>
      </w:pPr>
      <w:r>
        <w:rPr>
          <w:color w:val="000000"/>
          <w:kern w:val="0"/>
          <w:sz w:val="24"/>
        </w:rPr>
        <w:t xml:space="preserve">6.1 </w:t>
      </w:r>
      <w:r>
        <w:rPr>
          <w:rFonts w:hint="eastAsia" w:ascii="黑体" w:hAnsi="宋体" w:eastAsia="黑体" w:cs="黑体"/>
          <w:color w:val="000000"/>
          <w:kern w:val="0"/>
          <w:sz w:val="24"/>
        </w:rPr>
        <w:t xml:space="preserve">开箱检验 </w:t>
      </w:r>
    </w:p>
    <w:p>
      <w:pPr>
        <w:widowControl/>
        <w:spacing w:line="480" w:lineRule="exact"/>
        <w:ind w:firstLine="420" w:firstLineChars="200"/>
        <w:jc w:val="left"/>
      </w:pPr>
      <w:r>
        <w:rPr>
          <w:color w:val="000000"/>
          <w:kern w:val="0"/>
          <w:szCs w:val="21"/>
        </w:rPr>
        <w:t xml:space="preserve">6.1.1 </w:t>
      </w:r>
      <w:r>
        <w:rPr>
          <w:rFonts w:hint="eastAsia" w:ascii="宋体" w:hAnsi="宋体" w:cs="宋体"/>
          <w:color w:val="000000"/>
          <w:kern w:val="0"/>
          <w:szCs w:val="21"/>
        </w:rPr>
        <w:t xml:space="preserve">合同设备交付后应进行开箱检验，即合同设备数量及外观检验。开箱检验在专用合同条款约定的下列任一种时间进行：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）合同设备交付时；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）合同设备交付后的一定期限内。 </w:t>
      </w:r>
    </w:p>
    <w:p>
      <w:pPr>
        <w:widowControl/>
        <w:spacing w:line="480" w:lineRule="exact"/>
        <w:ind w:firstLine="420" w:firstLineChars="200"/>
        <w:jc w:val="left"/>
      </w:pPr>
      <w:r>
        <w:rPr>
          <w:rFonts w:hint="eastAsia" w:ascii="宋体" w:hAnsi="宋体" w:cs="宋体"/>
          <w:color w:val="000000"/>
          <w:kern w:val="0"/>
          <w:szCs w:val="21"/>
        </w:rPr>
        <w:t xml:space="preserve">如开箱检验不在合同设备交付时进行，买方应在开箱检验 </w:t>
      </w:r>
      <w:r>
        <w:rPr>
          <w:color w:val="000000"/>
          <w:kern w:val="0"/>
          <w:szCs w:val="21"/>
        </w:rPr>
        <w:t xml:space="preserve">3 </w:t>
      </w:r>
      <w:r>
        <w:rPr>
          <w:rFonts w:hint="eastAsia" w:ascii="宋体" w:hAnsi="宋体" w:cs="宋体"/>
          <w:color w:val="000000"/>
          <w:kern w:val="0"/>
          <w:szCs w:val="21"/>
        </w:rPr>
        <w:t xml:space="preserve">日前将开箱检验的时间和地点通知卖方。 </w:t>
      </w:r>
    </w:p>
    <w:p>
      <w:pPr>
        <w:widowControl/>
        <w:spacing w:line="480" w:lineRule="exact"/>
        <w:ind w:firstLine="420" w:firstLineChars="200"/>
        <w:jc w:val="left"/>
      </w:pPr>
      <w:r>
        <w:rPr>
          <w:color w:val="000000"/>
          <w:kern w:val="0"/>
          <w:szCs w:val="21"/>
        </w:rPr>
        <w:t xml:space="preserve">6.1.2 </w:t>
      </w:r>
      <w:r>
        <w:rPr>
          <w:rFonts w:hint="eastAsia" w:ascii="宋体" w:hAnsi="宋体" w:cs="宋体"/>
          <w:color w:val="000000"/>
          <w:kern w:val="0"/>
          <w:szCs w:val="21"/>
        </w:rPr>
        <w:t xml:space="preserve">除专用合同条款另有约定外，合同设备的开箱检验应在施工场地进行。 </w:t>
      </w:r>
    </w:p>
    <w:p>
      <w:pPr>
        <w:widowControl/>
        <w:spacing w:line="480" w:lineRule="exact"/>
        <w:ind w:firstLine="420" w:firstLineChars="200"/>
        <w:jc w:val="left"/>
      </w:pPr>
      <w:r>
        <w:rPr>
          <w:color w:val="000000"/>
          <w:kern w:val="0"/>
          <w:szCs w:val="21"/>
        </w:rPr>
        <w:t xml:space="preserve">6.1.3 </w:t>
      </w:r>
      <w:r>
        <w:rPr>
          <w:rFonts w:hint="eastAsia" w:ascii="宋体" w:hAnsi="宋体" w:cs="宋体"/>
          <w:color w:val="000000"/>
          <w:kern w:val="0"/>
          <w:szCs w:val="21"/>
        </w:rPr>
        <w:t>开箱检验由买卖双方共同进行，卖方应</w:t>
      </w:r>
      <w:r>
        <w:rPr>
          <w:rFonts w:hint="eastAsia" w:ascii="宋体" w:hAnsi="宋体" w:cs="宋体"/>
          <w:color w:val="000000"/>
          <w:kern w:val="0"/>
          <w:szCs w:val="21"/>
          <w:lang w:eastAsia="zh-CN"/>
        </w:rPr>
        <w:t>自付</w:t>
      </w:r>
      <w:r>
        <w:rPr>
          <w:rFonts w:hint="eastAsia" w:ascii="宋体" w:hAnsi="宋体" w:cs="宋体"/>
          <w:color w:val="000000"/>
          <w:kern w:val="0"/>
          <w:szCs w:val="21"/>
        </w:rPr>
        <w:t xml:space="preserve">费用派遣代表到场参加开箱检验。 </w:t>
      </w:r>
    </w:p>
    <w:p>
      <w:pPr>
        <w:widowControl/>
        <w:spacing w:line="480" w:lineRule="exact"/>
        <w:ind w:firstLine="420" w:firstLineChars="200"/>
        <w:jc w:val="left"/>
      </w:pPr>
      <w:r>
        <w:rPr>
          <w:color w:val="000000"/>
          <w:kern w:val="0"/>
          <w:szCs w:val="21"/>
        </w:rPr>
        <w:t xml:space="preserve">6.1.4 </w:t>
      </w:r>
      <w:r>
        <w:rPr>
          <w:rFonts w:hint="eastAsia" w:ascii="宋体" w:hAnsi="宋体" w:cs="宋体"/>
          <w:color w:val="000000"/>
          <w:kern w:val="0"/>
          <w:szCs w:val="21"/>
        </w:rPr>
        <w:t xml:space="preserve">在开箱检验中，买方和卖方应共同签署数量、外观检验报告，报告应列明检验结果，包括检验合格或发现的任何短缺、损坏或其他与合同约定不符的情形。 </w:t>
      </w:r>
    </w:p>
    <w:p>
      <w:pPr>
        <w:widowControl/>
        <w:spacing w:line="480" w:lineRule="exact"/>
        <w:ind w:firstLine="420" w:firstLineChars="200"/>
        <w:jc w:val="left"/>
      </w:pPr>
      <w:r>
        <w:rPr>
          <w:color w:val="000000"/>
          <w:kern w:val="0"/>
          <w:szCs w:val="21"/>
        </w:rPr>
        <w:t xml:space="preserve">6.1.5 </w:t>
      </w:r>
      <w:r>
        <w:rPr>
          <w:rFonts w:hint="eastAsia" w:ascii="宋体" w:hAnsi="宋体" w:cs="宋体"/>
          <w:color w:val="000000"/>
          <w:kern w:val="0"/>
          <w:szCs w:val="21"/>
        </w:rPr>
        <w:t xml:space="preserve">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 </w:t>
      </w:r>
    </w:p>
    <w:p>
      <w:pPr>
        <w:widowControl/>
        <w:spacing w:line="480" w:lineRule="exact"/>
        <w:ind w:firstLine="420" w:firstLineChars="200"/>
        <w:jc w:val="left"/>
      </w:pPr>
      <w:r>
        <w:rPr>
          <w:color w:val="000000"/>
          <w:kern w:val="0"/>
          <w:szCs w:val="21"/>
        </w:rPr>
        <w:t xml:space="preserve">6.1.6 </w:t>
      </w:r>
      <w:r>
        <w:rPr>
          <w:rFonts w:hint="eastAsia" w:ascii="宋体" w:hAnsi="宋体" w:cs="宋体"/>
          <w:color w:val="000000"/>
          <w:kern w:val="0"/>
          <w:szCs w:val="21"/>
        </w:rPr>
        <w:t xml:space="preserve">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 </w:t>
      </w:r>
    </w:p>
    <w:p>
      <w:pPr>
        <w:widowControl/>
        <w:spacing w:line="480" w:lineRule="exact"/>
        <w:ind w:firstLine="420" w:firstLineChars="200"/>
        <w:jc w:val="left"/>
      </w:pPr>
      <w:r>
        <w:rPr>
          <w:color w:val="000000"/>
          <w:kern w:val="0"/>
          <w:szCs w:val="21"/>
        </w:rPr>
        <w:t xml:space="preserve">6.1.7 </w:t>
      </w:r>
      <w:r>
        <w:rPr>
          <w:rFonts w:hint="eastAsia" w:ascii="宋体" w:hAnsi="宋体" w:cs="宋体"/>
          <w:color w:val="000000"/>
          <w:kern w:val="0"/>
          <w:szCs w:val="21"/>
        </w:rPr>
        <w:t xml:space="preserve">如双方在专用合同条款和（或）供货要求等合同文件中约定由第三方检测机构对合同设备进行开箱检验或在开箱检验过程中另行约定由第三方检验的，则第三方检测机构的检验结果对双方均具有约束力。 </w:t>
      </w:r>
    </w:p>
    <w:p>
      <w:pPr>
        <w:widowControl/>
        <w:spacing w:line="480" w:lineRule="exact"/>
        <w:ind w:firstLine="420" w:firstLineChars="200"/>
        <w:jc w:val="left"/>
      </w:pPr>
      <w:r>
        <w:rPr>
          <w:color w:val="000000"/>
          <w:kern w:val="0"/>
          <w:szCs w:val="21"/>
        </w:rPr>
        <w:t xml:space="preserve">6.1.8 </w:t>
      </w:r>
      <w:r>
        <w:rPr>
          <w:rFonts w:hint="eastAsia" w:ascii="宋体" w:hAnsi="宋体" w:cs="宋体"/>
          <w:color w:val="000000"/>
          <w:kern w:val="0"/>
          <w:szCs w:val="21"/>
        </w:rPr>
        <w:t xml:space="preserve">开箱检验的检验结果不能对抗在合同设备的安装、调试、考核、验收中及质量保证期内发现的合同设备质量问题，也不能免除或影响卖方依照合同约定对买方负有的包括合同设备质量在内的任何义务或责任。 </w:t>
      </w:r>
    </w:p>
    <w:p>
      <w:pPr>
        <w:widowControl/>
        <w:spacing w:line="480" w:lineRule="exact"/>
        <w:ind w:firstLine="480" w:firstLineChars="200"/>
        <w:jc w:val="left"/>
      </w:pPr>
      <w:r>
        <w:rPr>
          <w:color w:val="000000"/>
          <w:kern w:val="0"/>
          <w:sz w:val="24"/>
        </w:rPr>
        <w:t xml:space="preserve">6.2 </w:t>
      </w:r>
      <w:r>
        <w:rPr>
          <w:rFonts w:ascii="黑体" w:hAnsi="宋体" w:eastAsia="黑体" w:cs="黑体"/>
          <w:color w:val="000000"/>
          <w:kern w:val="0"/>
          <w:sz w:val="24"/>
        </w:rPr>
        <w:t xml:space="preserve">安装、调试 </w:t>
      </w:r>
    </w:p>
    <w:p>
      <w:pPr>
        <w:widowControl/>
        <w:spacing w:line="480" w:lineRule="exact"/>
        <w:ind w:firstLine="420" w:firstLineChars="200"/>
        <w:jc w:val="left"/>
      </w:pPr>
      <w:r>
        <w:rPr>
          <w:color w:val="000000"/>
          <w:kern w:val="0"/>
          <w:szCs w:val="21"/>
        </w:rPr>
        <w:t xml:space="preserve">6.2.1 </w:t>
      </w:r>
      <w:r>
        <w:rPr>
          <w:rFonts w:hint="eastAsia" w:ascii="宋体" w:hAnsi="宋体" w:cs="宋体"/>
          <w:color w:val="000000"/>
          <w:kern w:val="0"/>
          <w:szCs w:val="21"/>
        </w:rPr>
        <w:t xml:space="preserve">开箱检验完成后，双方应对合同设备进行安装、调试，以使其具备考核的状态。安装、调试应按照专用合同条款约定的下列任一种方式进行：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）卖方按照合同约定完成合同设备的安装、调试工作；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）买方或买方安排第三方负责合同设备的安装、调试工作，卖方提供技术服务。 </w:t>
      </w:r>
    </w:p>
    <w:p>
      <w:pPr>
        <w:widowControl/>
        <w:spacing w:line="480" w:lineRule="exact"/>
        <w:ind w:firstLine="420" w:firstLineChars="200"/>
        <w:jc w:val="left"/>
      </w:pPr>
      <w:r>
        <w:rPr>
          <w:color w:val="000000"/>
          <w:kern w:val="0"/>
          <w:szCs w:val="21"/>
        </w:rPr>
        <w:t xml:space="preserve">6.2.2 </w:t>
      </w:r>
      <w:r>
        <w:rPr>
          <w:rFonts w:hint="eastAsia" w:ascii="宋体" w:hAnsi="宋体" w:cs="宋体"/>
          <w:color w:val="000000"/>
          <w:kern w:val="0"/>
          <w:szCs w:val="21"/>
        </w:rPr>
        <w:t xml:space="preserve">调试程序 </w:t>
      </w:r>
    </w:p>
    <w:p>
      <w:pPr>
        <w:widowControl/>
        <w:spacing w:line="480" w:lineRule="exact"/>
        <w:ind w:firstLine="420" w:firstLineChars="200"/>
        <w:jc w:val="left"/>
      </w:pPr>
      <w:r>
        <w:rPr>
          <w:rFonts w:hint="eastAsia" w:ascii="宋体" w:hAnsi="宋体" w:cs="宋体"/>
          <w:color w:val="000000"/>
          <w:kern w:val="0"/>
          <w:szCs w:val="21"/>
        </w:rPr>
        <w:t>设备安装完成后需要调试的，除专用合同条款另有约定外，调试内容应与卖方供货范围相一致，调试费用</w:t>
      </w:r>
      <w:r>
        <w:rPr>
          <w:color w:val="000000"/>
          <w:kern w:val="0"/>
          <w:szCs w:val="21"/>
        </w:rPr>
        <w:t>[</w:t>
      </w:r>
      <w:r>
        <w:rPr>
          <w:rFonts w:hint="eastAsia" w:ascii="宋体" w:hAnsi="宋体" w:cs="宋体"/>
          <w:color w:val="000000"/>
          <w:kern w:val="0"/>
          <w:szCs w:val="21"/>
        </w:rPr>
        <w:t>用水、用电、其他动力和原材料（如需要）等</w:t>
      </w:r>
      <w:r>
        <w:rPr>
          <w:color w:val="000000"/>
          <w:kern w:val="0"/>
          <w:szCs w:val="21"/>
        </w:rPr>
        <w:t>]</w:t>
      </w:r>
      <w:r>
        <w:rPr>
          <w:rFonts w:hint="eastAsia" w:ascii="宋体" w:hAnsi="宋体" w:cs="宋体"/>
          <w:color w:val="000000"/>
          <w:kern w:val="0"/>
          <w:szCs w:val="21"/>
        </w:rPr>
        <w:t xml:space="preserve">由卖方承担。调试应按如下程序进行：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）具备单机调试条件，卖方组织调试，并在调试前 </w:t>
      </w:r>
      <w:r>
        <w:rPr>
          <w:color w:val="000000"/>
          <w:kern w:val="0"/>
          <w:szCs w:val="21"/>
        </w:rPr>
        <w:t xml:space="preserve">48 </w:t>
      </w:r>
      <w:r>
        <w:rPr>
          <w:rFonts w:hint="eastAsia" w:ascii="宋体" w:hAnsi="宋体" w:cs="宋体"/>
          <w:color w:val="000000"/>
          <w:kern w:val="0"/>
          <w:szCs w:val="21"/>
        </w:rPr>
        <w:t>小时书面通知买方</w:t>
      </w:r>
      <w:r>
        <w:rPr>
          <w:color w:val="000000"/>
          <w:kern w:val="0"/>
          <w:szCs w:val="21"/>
        </w:rPr>
        <w:t>/</w:t>
      </w:r>
      <w:r>
        <w:rPr>
          <w:rFonts w:hint="eastAsia" w:ascii="宋体" w:hAnsi="宋体" w:cs="宋体"/>
          <w:color w:val="000000"/>
          <w:kern w:val="0"/>
          <w:szCs w:val="21"/>
        </w:rPr>
        <w:t>监理人（如有），通知中应载明调试内容、时间、地点。卖方准备调试记录，买方根据卖方要求为调试提供必要条件。调试合格的，买方</w:t>
      </w:r>
      <w:r>
        <w:rPr>
          <w:color w:val="000000"/>
          <w:kern w:val="0"/>
          <w:szCs w:val="21"/>
        </w:rPr>
        <w:t>/</w:t>
      </w:r>
      <w:r>
        <w:rPr>
          <w:rFonts w:hint="eastAsia" w:ascii="宋体" w:hAnsi="宋体" w:cs="宋体"/>
          <w:color w:val="000000"/>
          <w:kern w:val="0"/>
          <w:szCs w:val="21"/>
        </w:rPr>
        <w:t>监理人（如有）在调试记录上签字。买方</w:t>
      </w:r>
      <w:r>
        <w:rPr>
          <w:color w:val="000000"/>
          <w:kern w:val="0"/>
          <w:szCs w:val="21"/>
        </w:rPr>
        <w:t>/</w:t>
      </w:r>
      <w:r>
        <w:rPr>
          <w:rFonts w:hint="eastAsia" w:ascii="宋体" w:hAnsi="宋体" w:cs="宋体"/>
          <w:color w:val="000000"/>
          <w:kern w:val="0"/>
          <w:szCs w:val="21"/>
        </w:rPr>
        <w:t xml:space="preserve">监理人（如有）在调试合格后不在调试记录上签字，自调试结束满 </w:t>
      </w:r>
      <w:r>
        <w:rPr>
          <w:color w:val="000000"/>
          <w:kern w:val="0"/>
          <w:szCs w:val="21"/>
        </w:rPr>
        <w:t xml:space="preserve">24 </w:t>
      </w:r>
      <w:r>
        <w:rPr>
          <w:rFonts w:hint="eastAsia" w:ascii="宋体" w:hAnsi="宋体" w:cs="宋体"/>
          <w:color w:val="000000"/>
          <w:kern w:val="0"/>
          <w:szCs w:val="21"/>
        </w:rPr>
        <w:t>小时后视为买方</w:t>
      </w:r>
      <w:r>
        <w:rPr>
          <w:color w:val="000000"/>
          <w:kern w:val="0"/>
          <w:szCs w:val="21"/>
        </w:rPr>
        <w:t>/</w:t>
      </w:r>
      <w:r>
        <w:rPr>
          <w:rFonts w:hint="eastAsia" w:ascii="宋体" w:hAnsi="宋体" w:cs="宋体"/>
          <w:color w:val="000000"/>
          <w:kern w:val="0"/>
          <w:szCs w:val="21"/>
        </w:rPr>
        <w:t xml:space="preserve">监理人（如有）已经认可调试记录，卖方可继续实施安装或办理交付验收手续。 </w:t>
      </w:r>
    </w:p>
    <w:p>
      <w:pPr>
        <w:widowControl/>
        <w:spacing w:line="480" w:lineRule="exact"/>
        <w:ind w:firstLine="420" w:firstLineChars="200"/>
        <w:jc w:val="left"/>
      </w:pPr>
      <w:r>
        <w:rPr>
          <w:rFonts w:hint="eastAsia" w:ascii="宋体" w:hAnsi="宋体" w:cs="宋体"/>
          <w:color w:val="000000"/>
          <w:kern w:val="0"/>
          <w:szCs w:val="21"/>
        </w:rPr>
        <w:t>买方</w:t>
      </w:r>
      <w:r>
        <w:rPr>
          <w:color w:val="000000"/>
          <w:kern w:val="0"/>
          <w:szCs w:val="21"/>
        </w:rPr>
        <w:t>/</w:t>
      </w:r>
      <w:r>
        <w:rPr>
          <w:rFonts w:hint="eastAsia" w:ascii="宋体" w:hAnsi="宋体" w:cs="宋体"/>
          <w:color w:val="000000"/>
          <w:kern w:val="0"/>
          <w:szCs w:val="21"/>
        </w:rPr>
        <w:t xml:space="preserve">监理人（如有）不能按时参加调试，应在调试前 </w:t>
      </w:r>
      <w:r>
        <w:rPr>
          <w:color w:val="000000"/>
          <w:kern w:val="0"/>
          <w:szCs w:val="21"/>
        </w:rPr>
        <w:t xml:space="preserve">24 </w:t>
      </w:r>
      <w:r>
        <w:rPr>
          <w:rFonts w:hint="eastAsia" w:ascii="宋体" w:hAnsi="宋体" w:cs="宋体"/>
          <w:color w:val="000000"/>
          <w:kern w:val="0"/>
          <w:szCs w:val="21"/>
        </w:rPr>
        <w:t xml:space="preserve">小时以书面形式向卖方提出延期要求，但延期不能超过 </w:t>
      </w:r>
      <w:r>
        <w:rPr>
          <w:color w:val="000000"/>
          <w:kern w:val="0"/>
          <w:szCs w:val="21"/>
        </w:rPr>
        <w:t xml:space="preserve">48 </w:t>
      </w:r>
      <w:r>
        <w:rPr>
          <w:rFonts w:hint="eastAsia" w:ascii="宋体" w:hAnsi="宋体" w:cs="宋体"/>
          <w:color w:val="000000"/>
          <w:kern w:val="0"/>
          <w:szCs w:val="21"/>
        </w:rPr>
        <w:t>小时，由此导致安装周期延误的，安装周期应予以顺延。买方</w:t>
      </w:r>
      <w:r>
        <w:rPr>
          <w:color w:val="000000"/>
          <w:kern w:val="0"/>
          <w:szCs w:val="21"/>
        </w:rPr>
        <w:t>/</w:t>
      </w:r>
      <w:r>
        <w:rPr>
          <w:rFonts w:hint="eastAsia" w:ascii="宋体" w:hAnsi="宋体" w:cs="宋体"/>
          <w:color w:val="000000"/>
          <w:kern w:val="0"/>
          <w:szCs w:val="21"/>
        </w:rPr>
        <w:t>监理人（如有）未能在前述期限内提出延期要求，又不参加调试的，视为认可调试记录。</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）具备系统联机调试条件，买方组织调试，并在调试前 </w:t>
      </w:r>
      <w:r>
        <w:rPr>
          <w:color w:val="000000"/>
          <w:kern w:val="0"/>
          <w:szCs w:val="21"/>
        </w:rPr>
        <w:t xml:space="preserve">48 </w:t>
      </w:r>
      <w:r>
        <w:rPr>
          <w:rFonts w:hint="eastAsia" w:ascii="宋体" w:hAnsi="宋体" w:cs="宋体"/>
          <w:color w:val="000000"/>
          <w:kern w:val="0"/>
          <w:szCs w:val="21"/>
        </w:rPr>
        <w:t xml:space="preserve">小时以书面形式通知卖方。通知中应载明调试内容、时间、地点和对卖方的要求，卖方按要求做好准备工作。调试合格，合同当事人在调试记录上签字。卖方无正当理由不参加调试的，视为认可调试记录。 </w:t>
      </w:r>
    </w:p>
    <w:p>
      <w:pPr>
        <w:widowControl/>
        <w:spacing w:line="480" w:lineRule="exact"/>
        <w:ind w:firstLine="420" w:firstLineChars="200"/>
        <w:jc w:val="left"/>
      </w:pPr>
      <w:r>
        <w:rPr>
          <w:color w:val="000000"/>
          <w:kern w:val="0"/>
          <w:szCs w:val="21"/>
        </w:rPr>
        <w:t xml:space="preserve">6.2.3 </w:t>
      </w:r>
      <w:r>
        <w:rPr>
          <w:rFonts w:hint="eastAsia" w:ascii="宋体" w:hAnsi="宋体" w:cs="宋体"/>
          <w:color w:val="000000"/>
          <w:kern w:val="0"/>
          <w:szCs w:val="21"/>
        </w:rPr>
        <w:t xml:space="preserve">调试中的责任 </w:t>
      </w:r>
    </w:p>
    <w:p>
      <w:pPr>
        <w:widowControl/>
        <w:spacing w:line="48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widowControl/>
        <w:spacing w:line="480" w:lineRule="exact"/>
        <w:ind w:firstLine="420" w:firstLineChars="200"/>
        <w:jc w:val="left"/>
      </w:pPr>
      <w:r>
        <w:rPr>
          <w:rFonts w:hint="eastAsia" w:ascii="宋体" w:hAnsi="宋体" w:cs="宋体"/>
          <w:color w:val="000000"/>
          <w:kern w:val="0"/>
          <w:szCs w:val="21"/>
        </w:rPr>
        <w:t>因设计原因导致调试达不到验收要求，买方应要求设计人修改设计，卖方按修改后的设计重新安装。买方承担修改设计、拆除及重新安装的全部费用，安装周期相应顺延。因卖方原因导致调试达不到验收要求，卖方按买方</w:t>
      </w:r>
      <w:r>
        <w:rPr>
          <w:color w:val="000000"/>
          <w:kern w:val="0"/>
          <w:szCs w:val="21"/>
        </w:rPr>
        <w:t>/</w:t>
      </w:r>
      <w:r>
        <w:rPr>
          <w:rFonts w:hint="eastAsia" w:ascii="宋体" w:hAnsi="宋体" w:cs="宋体"/>
          <w:color w:val="000000"/>
          <w:kern w:val="0"/>
          <w:szCs w:val="21"/>
        </w:rPr>
        <w:t xml:space="preserve">监理人（如有）要求重新安装和调试，并承担重新安装和调试的费用，安装周期不予顺延。 </w:t>
      </w:r>
    </w:p>
    <w:p>
      <w:pPr>
        <w:widowControl/>
        <w:spacing w:line="480" w:lineRule="exact"/>
        <w:ind w:firstLine="420" w:firstLineChars="200"/>
        <w:jc w:val="left"/>
      </w:pPr>
      <w:r>
        <w:rPr>
          <w:rFonts w:hint="eastAsia" w:ascii="宋体" w:hAnsi="宋体" w:cs="宋体"/>
          <w:color w:val="000000"/>
          <w:kern w:val="0"/>
          <w:szCs w:val="21"/>
        </w:rPr>
        <w:t xml:space="preserve">因设备本身原因导致调试达不到验收要求的，由卖方负责重新更换或修理，并负责拆除和重新安装，由此增加的修理、重新更换、拆除及重新安装的费用及延误的安装周期由卖方承担。 </w:t>
      </w:r>
    </w:p>
    <w:p>
      <w:pPr>
        <w:widowControl/>
        <w:spacing w:line="480" w:lineRule="exact"/>
        <w:ind w:firstLine="480" w:firstLineChars="200"/>
        <w:jc w:val="left"/>
      </w:pPr>
      <w:r>
        <w:rPr>
          <w:color w:val="000000"/>
          <w:kern w:val="0"/>
          <w:sz w:val="24"/>
        </w:rPr>
        <w:t xml:space="preserve">6.3 </w:t>
      </w:r>
      <w:r>
        <w:rPr>
          <w:rFonts w:ascii="黑体" w:hAnsi="宋体" w:eastAsia="黑体" w:cs="黑体"/>
          <w:color w:val="000000"/>
          <w:kern w:val="0"/>
          <w:sz w:val="24"/>
        </w:rPr>
        <w:t xml:space="preserve">考核 </w:t>
      </w:r>
    </w:p>
    <w:p>
      <w:pPr>
        <w:widowControl/>
        <w:spacing w:line="480" w:lineRule="exact"/>
        <w:ind w:firstLine="420" w:firstLineChars="200"/>
        <w:jc w:val="left"/>
      </w:pPr>
      <w:r>
        <w:rPr>
          <w:color w:val="000000"/>
          <w:kern w:val="0"/>
          <w:szCs w:val="21"/>
        </w:rPr>
        <w:t xml:space="preserve">6.3.1 </w:t>
      </w:r>
      <w:r>
        <w:rPr>
          <w:rFonts w:hint="eastAsia" w:ascii="宋体" w:hAnsi="宋体" w:cs="宋体"/>
          <w:color w:val="000000"/>
          <w:kern w:val="0"/>
          <w:szCs w:val="21"/>
        </w:rPr>
        <w:t xml:space="preserve">安装、调试完成后，双方应对合同设备进行考核，以确定合同设备是否达到合同约定的技术性能考核指标。除专用合同条款另有约定外，考核中合同设备运行需要的用水、用电、其他动力和原材料（如需要）等均由买方承担。 </w:t>
      </w:r>
    </w:p>
    <w:p>
      <w:pPr>
        <w:widowControl/>
        <w:spacing w:line="480" w:lineRule="exact"/>
        <w:ind w:firstLine="420" w:firstLineChars="200"/>
        <w:jc w:val="left"/>
      </w:pPr>
      <w:r>
        <w:rPr>
          <w:color w:val="000000"/>
          <w:kern w:val="0"/>
          <w:szCs w:val="21"/>
        </w:rPr>
        <w:t xml:space="preserve">6.3.2 </w:t>
      </w:r>
      <w:r>
        <w:rPr>
          <w:rFonts w:hint="eastAsia" w:ascii="宋体" w:hAnsi="宋体" w:cs="宋体"/>
          <w:color w:val="000000"/>
          <w:kern w:val="0"/>
          <w:szCs w:val="21"/>
        </w:rPr>
        <w:t xml:space="preserve">如由于卖方原因合同设备在考核中未能达到合同约定的技术性能考核指标，则卖方应在双方同意的期限内采取措施消除合同设备中存在的缺陷，并在缺陷消除以后，尽快进行再次考核。 </w:t>
      </w:r>
    </w:p>
    <w:p>
      <w:pPr>
        <w:widowControl/>
        <w:spacing w:line="480" w:lineRule="exact"/>
        <w:ind w:firstLine="420" w:firstLineChars="200"/>
        <w:jc w:val="left"/>
      </w:pPr>
      <w:r>
        <w:rPr>
          <w:color w:val="000000"/>
          <w:kern w:val="0"/>
          <w:szCs w:val="21"/>
        </w:rPr>
        <w:t xml:space="preserve">6.3.3 </w:t>
      </w:r>
      <w:r>
        <w:rPr>
          <w:rFonts w:hint="eastAsia" w:ascii="宋体" w:hAnsi="宋体" w:cs="宋体"/>
          <w:color w:val="000000"/>
          <w:kern w:val="0"/>
          <w:szCs w:val="21"/>
        </w:rPr>
        <w:t xml:space="preserve">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 </w:t>
      </w:r>
    </w:p>
    <w:p>
      <w:pPr>
        <w:widowControl/>
        <w:spacing w:line="480" w:lineRule="exact"/>
        <w:ind w:firstLine="420" w:firstLineChars="200"/>
        <w:jc w:val="left"/>
      </w:pPr>
      <w:r>
        <w:rPr>
          <w:color w:val="000000"/>
          <w:kern w:val="0"/>
          <w:szCs w:val="21"/>
        </w:rPr>
        <w:t xml:space="preserve">6.3.4 </w:t>
      </w:r>
      <w:r>
        <w:rPr>
          <w:rFonts w:hint="eastAsia" w:ascii="宋体" w:hAnsi="宋体" w:cs="宋体"/>
          <w:color w:val="000000"/>
          <w:kern w:val="0"/>
          <w:szCs w:val="21"/>
        </w:rPr>
        <w:t>如由于买方原因合同设备在考核中未能达到合同约定的技术性能考核指标，则卖方应协助买方安排再次考核。由于买方原因未能达到技术性能考核指标时，为买方进行考核的机会不</w:t>
      </w:r>
      <w:r>
        <w:rPr>
          <w:rFonts w:hint="eastAsia" w:ascii="宋体" w:hAnsi="宋体" w:cs="宋体"/>
          <w:color w:val="000000"/>
          <w:kern w:val="0"/>
          <w:szCs w:val="21"/>
          <w:lang w:eastAsia="zh-CN"/>
        </w:rPr>
        <w:t>超过</w:t>
      </w:r>
      <w:r>
        <w:rPr>
          <w:rFonts w:hint="eastAsia" w:ascii="宋体" w:hAnsi="宋体" w:cs="宋体"/>
          <w:color w:val="000000"/>
          <w:kern w:val="0"/>
          <w:szCs w:val="21"/>
        </w:rPr>
        <w:t xml:space="preserve">三次。 </w:t>
      </w:r>
    </w:p>
    <w:p>
      <w:pPr>
        <w:widowControl/>
        <w:spacing w:line="480" w:lineRule="exact"/>
        <w:ind w:firstLine="420" w:firstLineChars="200"/>
        <w:jc w:val="left"/>
      </w:pPr>
      <w:r>
        <w:rPr>
          <w:color w:val="000000"/>
          <w:kern w:val="0"/>
          <w:szCs w:val="21"/>
        </w:rPr>
        <w:t xml:space="preserve">6.3.5 </w:t>
      </w:r>
      <w:r>
        <w:rPr>
          <w:rFonts w:hint="eastAsia" w:ascii="宋体" w:hAnsi="宋体" w:cs="宋体"/>
          <w:color w:val="000000"/>
          <w:kern w:val="0"/>
          <w:szCs w:val="21"/>
        </w:rPr>
        <w:t>考核期间，双方应及时共同记录合同设备的用水、用电、其他动力和原材料（如有）的使用及设备考核情况。对于未达到技术性能考核指标的，应如实记录设备表现、可能原因及处理情况等。</w:t>
      </w:r>
    </w:p>
    <w:p>
      <w:pPr>
        <w:widowControl/>
        <w:spacing w:line="480" w:lineRule="exact"/>
        <w:ind w:firstLine="480" w:firstLineChars="200"/>
        <w:jc w:val="left"/>
      </w:pPr>
      <w:r>
        <w:rPr>
          <w:color w:val="000000"/>
          <w:kern w:val="0"/>
          <w:sz w:val="24"/>
        </w:rPr>
        <w:t xml:space="preserve">6.4 </w:t>
      </w:r>
      <w:r>
        <w:rPr>
          <w:rFonts w:ascii="黑体" w:hAnsi="宋体" w:eastAsia="黑体" w:cs="黑体"/>
          <w:color w:val="000000"/>
          <w:kern w:val="0"/>
          <w:sz w:val="24"/>
        </w:rPr>
        <w:t xml:space="preserve">验收 </w:t>
      </w:r>
    </w:p>
    <w:p>
      <w:pPr>
        <w:widowControl/>
        <w:spacing w:line="480" w:lineRule="exact"/>
        <w:ind w:firstLine="420" w:firstLineChars="200"/>
        <w:jc w:val="left"/>
      </w:pPr>
      <w:r>
        <w:rPr>
          <w:color w:val="000000"/>
          <w:kern w:val="0"/>
          <w:szCs w:val="21"/>
        </w:rPr>
        <w:t xml:space="preserve">6.4.1 </w:t>
      </w:r>
      <w:r>
        <w:rPr>
          <w:rFonts w:hint="eastAsia" w:ascii="宋体" w:hAnsi="宋体" w:cs="宋体"/>
          <w:color w:val="000000"/>
          <w:kern w:val="0"/>
          <w:szCs w:val="21"/>
        </w:rPr>
        <w:t xml:space="preserve">如合同设备在考核中达到或视为达到技术性能考核指标，则买卖双方应在考核完成后 </w:t>
      </w:r>
      <w:r>
        <w:rPr>
          <w:color w:val="000000"/>
          <w:kern w:val="0"/>
          <w:szCs w:val="21"/>
        </w:rPr>
        <w:t xml:space="preserve">7 </w:t>
      </w:r>
      <w:r>
        <w:rPr>
          <w:rFonts w:hint="eastAsia" w:ascii="宋体" w:hAnsi="宋体" w:cs="宋体"/>
          <w:color w:val="000000"/>
          <w:kern w:val="0"/>
          <w:szCs w:val="21"/>
        </w:rPr>
        <w:t xml:space="preserve">日内或专用合同条款另行约定的时间内签署合同设备验收证书一式二份，双方各持一份。验收日期应为合同设备达到或视为达到技术性能考核指标的日期。 </w:t>
      </w:r>
    </w:p>
    <w:p>
      <w:pPr>
        <w:widowControl/>
        <w:spacing w:line="480" w:lineRule="exact"/>
        <w:ind w:firstLine="420" w:firstLineChars="200"/>
        <w:jc w:val="left"/>
      </w:pPr>
      <w:r>
        <w:rPr>
          <w:color w:val="000000"/>
          <w:kern w:val="0"/>
          <w:szCs w:val="21"/>
        </w:rPr>
        <w:t xml:space="preserve">6.4.2 </w:t>
      </w:r>
      <w:r>
        <w:rPr>
          <w:rFonts w:hint="eastAsia" w:ascii="宋体" w:hAnsi="宋体" w:cs="宋体"/>
          <w:color w:val="000000"/>
          <w:kern w:val="0"/>
          <w:szCs w:val="21"/>
        </w:rPr>
        <w:t xml:space="preserve">如由于买方原因合同设备在三次考核中均未能达到技术性能考核指标，买卖双方应在考核结束后 </w:t>
      </w:r>
      <w:r>
        <w:rPr>
          <w:color w:val="000000"/>
          <w:kern w:val="0"/>
          <w:szCs w:val="21"/>
        </w:rPr>
        <w:t xml:space="preserve">7 </w:t>
      </w:r>
      <w:r>
        <w:rPr>
          <w:rFonts w:hint="eastAsia" w:ascii="宋体" w:hAnsi="宋体" w:cs="宋体"/>
          <w:color w:val="000000"/>
          <w:kern w:val="0"/>
          <w:szCs w:val="21"/>
        </w:rPr>
        <w:t xml:space="preserve">日内或专用合同条款另行约定的时间内签署验收款支付函。除专用合同条款另有约定外，卖方有义务在验收款支付函签署后 </w:t>
      </w:r>
      <w:r>
        <w:rPr>
          <w:color w:val="000000"/>
          <w:kern w:val="0"/>
          <w:szCs w:val="21"/>
        </w:rPr>
        <w:t xml:space="preserve">12 </w:t>
      </w:r>
      <w:r>
        <w:rPr>
          <w:rFonts w:hint="eastAsia" w:ascii="宋体" w:hAnsi="宋体" w:cs="宋体"/>
          <w:color w:val="000000"/>
          <w:kern w:val="0"/>
          <w:szCs w:val="21"/>
        </w:rPr>
        <w:t xml:space="preserve">个月内应买方要求提供相关技术服务，协助买方采取一切必要措施使合同设备达到技术性能考核指标。买方应承担卖方因此产生的全部费用。 </w:t>
      </w:r>
    </w:p>
    <w:p>
      <w:pPr>
        <w:widowControl/>
        <w:spacing w:line="480" w:lineRule="exact"/>
        <w:ind w:firstLine="420" w:firstLineChars="200"/>
        <w:jc w:val="left"/>
      </w:pPr>
      <w:r>
        <w:rPr>
          <w:rFonts w:hint="eastAsia" w:ascii="宋体" w:hAnsi="宋体" w:cs="宋体"/>
          <w:color w:val="000000"/>
          <w:kern w:val="0"/>
          <w:szCs w:val="21"/>
        </w:rPr>
        <w:t xml:space="preserve">在上述 </w:t>
      </w:r>
      <w:r>
        <w:rPr>
          <w:color w:val="000000"/>
          <w:kern w:val="0"/>
          <w:szCs w:val="21"/>
        </w:rPr>
        <w:t xml:space="preserve">12 </w:t>
      </w:r>
      <w:r>
        <w:rPr>
          <w:rFonts w:hint="eastAsia" w:ascii="宋体" w:hAnsi="宋体" w:cs="宋体"/>
          <w:color w:val="000000"/>
          <w:kern w:val="0"/>
          <w:szCs w:val="21"/>
        </w:rPr>
        <w:t xml:space="preserve">个月的期限内，如合同设备经过考核达到或视为达到技术性能考核指标，则买卖双方应按照第 </w:t>
      </w:r>
      <w:r>
        <w:rPr>
          <w:color w:val="000000"/>
          <w:kern w:val="0"/>
          <w:szCs w:val="21"/>
        </w:rPr>
        <w:t xml:space="preserve">6.4.1 </w:t>
      </w:r>
      <w:r>
        <w:rPr>
          <w:rFonts w:hint="eastAsia" w:ascii="宋体" w:hAnsi="宋体" w:cs="宋体"/>
          <w:color w:val="000000"/>
          <w:kern w:val="0"/>
          <w:szCs w:val="21"/>
        </w:rPr>
        <w:t xml:space="preserve">项的约定签署合同设备验收证书。 </w:t>
      </w:r>
    </w:p>
    <w:p>
      <w:pPr>
        <w:widowControl/>
        <w:spacing w:line="480" w:lineRule="exact"/>
        <w:ind w:firstLine="420" w:firstLineChars="200"/>
        <w:jc w:val="left"/>
      </w:pPr>
      <w:r>
        <w:rPr>
          <w:color w:val="000000"/>
          <w:kern w:val="0"/>
          <w:szCs w:val="21"/>
        </w:rPr>
        <w:t xml:space="preserve">6.4.3 </w:t>
      </w:r>
      <w:r>
        <w:rPr>
          <w:rFonts w:hint="eastAsia" w:ascii="宋体" w:hAnsi="宋体" w:cs="宋体"/>
          <w:color w:val="000000"/>
          <w:kern w:val="0"/>
          <w:szCs w:val="21"/>
        </w:rPr>
        <w:t xml:space="preserve">除专用合同条款另有约定外，如由于买方原因在最后一批合同设备交货后 </w:t>
      </w:r>
      <w:r>
        <w:rPr>
          <w:color w:val="000000"/>
          <w:kern w:val="0"/>
          <w:szCs w:val="21"/>
        </w:rPr>
        <w:t xml:space="preserve">6 </w:t>
      </w:r>
      <w:r>
        <w:rPr>
          <w:rFonts w:hint="eastAsia" w:ascii="宋体" w:hAnsi="宋体" w:cs="宋体"/>
          <w:color w:val="000000"/>
          <w:kern w:val="0"/>
          <w:szCs w:val="21"/>
        </w:rPr>
        <w:t xml:space="preserve">个月内未能开始考核，则买卖双方应在上述期限届满后 </w:t>
      </w:r>
      <w:r>
        <w:rPr>
          <w:color w:val="000000"/>
          <w:kern w:val="0"/>
          <w:szCs w:val="21"/>
        </w:rPr>
        <w:t xml:space="preserve">7 </w:t>
      </w:r>
      <w:r>
        <w:rPr>
          <w:rFonts w:hint="eastAsia" w:ascii="宋体" w:hAnsi="宋体" w:cs="宋体"/>
          <w:color w:val="000000"/>
          <w:kern w:val="0"/>
          <w:szCs w:val="21"/>
        </w:rPr>
        <w:t xml:space="preserve">日内或专用合同条款另行约定的时间内签署验收款支付函。 </w:t>
      </w:r>
    </w:p>
    <w:p>
      <w:pPr>
        <w:widowControl/>
        <w:spacing w:line="480" w:lineRule="exact"/>
        <w:ind w:firstLine="420" w:firstLineChars="200"/>
        <w:jc w:val="left"/>
      </w:pPr>
      <w:r>
        <w:rPr>
          <w:rFonts w:hint="eastAsia" w:ascii="宋体" w:hAnsi="宋体" w:cs="宋体"/>
          <w:color w:val="000000"/>
          <w:kern w:val="0"/>
          <w:szCs w:val="21"/>
        </w:rPr>
        <w:t xml:space="preserve">除专用合同条款另有约定外，卖方有义务在验收款支付函签署后 </w:t>
      </w:r>
      <w:r>
        <w:rPr>
          <w:color w:val="000000"/>
          <w:kern w:val="0"/>
          <w:szCs w:val="21"/>
        </w:rPr>
        <w:t xml:space="preserve">6 </w:t>
      </w:r>
      <w:r>
        <w:rPr>
          <w:rFonts w:hint="eastAsia" w:ascii="宋体" w:hAnsi="宋体" w:cs="宋体"/>
          <w:color w:val="000000"/>
          <w:kern w:val="0"/>
          <w:szCs w:val="21"/>
        </w:rPr>
        <w:t xml:space="preserve">个月内应买方要求提供不超出合同范围的技术服务，协助买方采取一切必要措施使合同设备达到技术性能考核指标，且买方无需因此向卖方支付费用。 </w:t>
      </w:r>
    </w:p>
    <w:p>
      <w:pPr>
        <w:widowControl/>
        <w:spacing w:line="480" w:lineRule="exact"/>
        <w:ind w:firstLine="420" w:firstLineChars="200"/>
        <w:jc w:val="left"/>
      </w:pPr>
      <w:r>
        <w:rPr>
          <w:rFonts w:hint="eastAsia" w:ascii="宋体" w:hAnsi="宋体" w:cs="宋体"/>
          <w:color w:val="000000"/>
          <w:kern w:val="0"/>
          <w:szCs w:val="21"/>
        </w:rPr>
        <w:t xml:space="preserve">在上述 </w:t>
      </w:r>
      <w:r>
        <w:rPr>
          <w:color w:val="000000"/>
          <w:kern w:val="0"/>
          <w:szCs w:val="21"/>
        </w:rPr>
        <w:t xml:space="preserve">6 </w:t>
      </w:r>
      <w:r>
        <w:rPr>
          <w:rFonts w:hint="eastAsia" w:ascii="宋体" w:hAnsi="宋体" w:cs="宋体"/>
          <w:color w:val="000000"/>
          <w:kern w:val="0"/>
          <w:szCs w:val="21"/>
        </w:rPr>
        <w:t xml:space="preserve">个月的期限内，如合同设备经过考核达到或视为达到技术性能考核指标，则买卖双方应按照第 </w:t>
      </w:r>
      <w:r>
        <w:rPr>
          <w:color w:val="000000"/>
          <w:kern w:val="0"/>
          <w:szCs w:val="21"/>
        </w:rPr>
        <w:t xml:space="preserve">6.4.1 </w:t>
      </w:r>
      <w:r>
        <w:rPr>
          <w:rFonts w:hint="eastAsia" w:ascii="宋体" w:hAnsi="宋体" w:cs="宋体"/>
          <w:color w:val="000000"/>
          <w:kern w:val="0"/>
          <w:szCs w:val="21"/>
        </w:rPr>
        <w:t xml:space="preserve">项的约定签署合同设备验收证书。 </w:t>
      </w:r>
    </w:p>
    <w:p>
      <w:pPr>
        <w:widowControl/>
        <w:spacing w:line="480" w:lineRule="exact"/>
        <w:ind w:firstLine="420" w:firstLineChars="200"/>
        <w:jc w:val="left"/>
      </w:pPr>
      <w:r>
        <w:rPr>
          <w:color w:val="000000"/>
          <w:kern w:val="0"/>
          <w:szCs w:val="21"/>
        </w:rPr>
        <w:t xml:space="preserve">6.4.4 </w:t>
      </w:r>
      <w:r>
        <w:rPr>
          <w:rFonts w:hint="eastAsia" w:ascii="宋体" w:hAnsi="宋体" w:cs="宋体"/>
          <w:color w:val="000000"/>
          <w:kern w:val="0"/>
          <w:szCs w:val="21"/>
        </w:rPr>
        <w:t xml:space="preserve">在第 </w:t>
      </w:r>
      <w:r>
        <w:rPr>
          <w:color w:val="000000"/>
          <w:kern w:val="0"/>
          <w:szCs w:val="21"/>
        </w:rPr>
        <w:t xml:space="preserve">6.4.2 </w:t>
      </w:r>
      <w:r>
        <w:rPr>
          <w:rFonts w:hint="eastAsia" w:ascii="宋体" w:hAnsi="宋体" w:cs="宋体"/>
          <w:color w:val="000000"/>
          <w:kern w:val="0"/>
          <w:szCs w:val="21"/>
        </w:rPr>
        <w:t xml:space="preserve">项和第 </w:t>
      </w:r>
      <w:r>
        <w:rPr>
          <w:color w:val="000000"/>
          <w:kern w:val="0"/>
          <w:szCs w:val="21"/>
        </w:rPr>
        <w:t xml:space="preserve">6.4.3 </w:t>
      </w:r>
      <w:r>
        <w:rPr>
          <w:rFonts w:hint="eastAsia" w:ascii="宋体" w:hAnsi="宋体" w:cs="宋体"/>
          <w:color w:val="000000"/>
          <w:kern w:val="0"/>
          <w:szCs w:val="21"/>
        </w:rPr>
        <w:t xml:space="preserve">项情形下，卖方也可单方签署验收款支付函提交买方，如果买方在收到卖方签署的验收款支付函后 </w:t>
      </w:r>
      <w:r>
        <w:rPr>
          <w:color w:val="000000"/>
          <w:kern w:val="0"/>
          <w:szCs w:val="21"/>
        </w:rPr>
        <w:t xml:space="preserve">14 </w:t>
      </w:r>
      <w:r>
        <w:rPr>
          <w:rFonts w:hint="eastAsia" w:ascii="宋体" w:hAnsi="宋体" w:cs="宋体"/>
          <w:color w:val="000000"/>
          <w:kern w:val="0"/>
          <w:szCs w:val="21"/>
        </w:rPr>
        <w:t xml:space="preserve">日内未向卖方提出书面异议，则验收款支付函自签署之日起生效。 </w:t>
      </w:r>
    </w:p>
    <w:p>
      <w:pPr>
        <w:widowControl/>
        <w:spacing w:line="480" w:lineRule="exact"/>
        <w:ind w:firstLine="420" w:firstLineChars="200"/>
        <w:jc w:val="left"/>
      </w:pPr>
      <w:r>
        <w:rPr>
          <w:color w:val="000000"/>
          <w:kern w:val="0"/>
          <w:szCs w:val="21"/>
        </w:rPr>
        <w:t xml:space="preserve">6.4.5 </w:t>
      </w:r>
      <w:r>
        <w:rPr>
          <w:rFonts w:hint="eastAsia" w:ascii="宋体" w:hAnsi="宋体" w:cs="宋体"/>
          <w:color w:val="000000"/>
          <w:kern w:val="0"/>
          <w:szCs w:val="21"/>
        </w:rPr>
        <w:t xml:space="preserve">合同设备验收证书的签署不能免除卖方在质量保证期内对合同设备应承担的保证责任。 </w:t>
      </w:r>
    </w:p>
    <w:p>
      <w:pPr>
        <w:widowControl/>
        <w:spacing w:line="480" w:lineRule="exact"/>
        <w:ind w:firstLine="622" w:firstLineChars="200"/>
        <w:jc w:val="left"/>
      </w:pPr>
      <w:r>
        <w:rPr>
          <w:b/>
          <w:bCs/>
          <w:color w:val="000000"/>
          <w:kern w:val="0"/>
          <w:sz w:val="31"/>
          <w:szCs w:val="31"/>
        </w:rPr>
        <w:t xml:space="preserve">7. </w:t>
      </w:r>
      <w:r>
        <w:rPr>
          <w:rFonts w:hint="eastAsia" w:ascii="宋体" w:hAnsi="宋体" w:cs="宋体"/>
          <w:b/>
          <w:bCs/>
          <w:color w:val="000000"/>
          <w:kern w:val="0"/>
          <w:sz w:val="31"/>
          <w:szCs w:val="31"/>
        </w:rPr>
        <w:t xml:space="preserve">技术服务 </w:t>
      </w:r>
    </w:p>
    <w:p>
      <w:pPr>
        <w:widowControl/>
        <w:spacing w:line="480" w:lineRule="exact"/>
        <w:ind w:firstLine="420" w:firstLineChars="200"/>
        <w:jc w:val="left"/>
      </w:pPr>
      <w:r>
        <w:rPr>
          <w:color w:val="000000"/>
          <w:kern w:val="0"/>
          <w:szCs w:val="21"/>
        </w:rPr>
        <w:t xml:space="preserve">7.1 </w:t>
      </w:r>
      <w:r>
        <w:rPr>
          <w:rFonts w:hint="eastAsia" w:ascii="宋体" w:hAnsi="宋体" w:cs="宋体"/>
          <w:color w:val="000000"/>
          <w:kern w:val="0"/>
          <w:szCs w:val="21"/>
        </w:rPr>
        <w:t xml:space="preserve">卖方应派遣技术熟练、称职的技术人员到施工场地为买方提供技术服务。卖方的技术服务应符合合同的约定。 </w:t>
      </w:r>
    </w:p>
    <w:p>
      <w:pPr>
        <w:widowControl/>
        <w:spacing w:line="480" w:lineRule="exact"/>
        <w:ind w:firstLine="420" w:firstLineChars="200"/>
        <w:jc w:val="left"/>
      </w:pPr>
      <w:r>
        <w:rPr>
          <w:color w:val="000000"/>
          <w:kern w:val="0"/>
          <w:szCs w:val="21"/>
        </w:rPr>
        <w:t xml:space="preserve">7.2 </w:t>
      </w:r>
      <w:r>
        <w:rPr>
          <w:rFonts w:hint="eastAsia" w:ascii="宋体" w:hAnsi="宋体" w:cs="宋体"/>
          <w:color w:val="000000"/>
          <w:kern w:val="0"/>
          <w:szCs w:val="21"/>
        </w:rPr>
        <w:t xml:space="preserve">买方应免费为卖方技术人员提供工作条件及便利，包括但不限于必要的办公场所、技术资料及出入许可等。除专用合同条款另有约定外，卖方技术人员的交通、食宿费用由卖方承担。 </w:t>
      </w:r>
    </w:p>
    <w:p>
      <w:pPr>
        <w:widowControl/>
        <w:spacing w:line="480" w:lineRule="exact"/>
        <w:ind w:firstLine="420" w:firstLineChars="200"/>
        <w:jc w:val="left"/>
      </w:pPr>
      <w:r>
        <w:rPr>
          <w:color w:val="000000"/>
          <w:kern w:val="0"/>
          <w:szCs w:val="21"/>
        </w:rPr>
        <w:t xml:space="preserve">7.3 </w:t>
      </w:r>
      <w:r>
        <w:rPr>
          <w:rFonts w:hint="eastAsia" w:ascii="宋体" w:hAnsi="宋体" w:cs="宋体"/>
          <w:color w:val="000000"/>
          <w:kern w:val="0"/>
          <w:szCs w:val="21"/>
        </w:rPr>
        <w:t xml:space="preserve">卖方技术人员应遵守买方施工现场的各项规章制度和安全操作规程，并服从买方的现场管理。 </w:t>
      </w:r>
    </w:p>
    <w:p>
      <w:pPr>
        <w:widowControl/>
        <w:spacing w:line="480" w:lineRule="exact"/>
        <w:ind w:firstLine="420" w:firstLineChars="200"/>
        <w:jc w:val="left"/>
      </w:pPr>
      <w:r>
        <w:rPr>
          <w:color w:val="000000"/>
          <w:kern w:val="0"/>
          <w:szCs w:val="21"/>
        </w:rPr>
        <w:t xml:space="preserve">7.4 </w:t>
      </w:r>
      <w:r>
        <w:rPr>
          <w:rFonts w:hint="eastAsia" w:ascii="宋体" w:hAnsi="宋体" w:cs="宋体"/>
          <w:color w:val="000000"/>
          <w:kern w:val="0"/>
          <w:szCs w:val="21"/>
        </w:rPr>
        <w:t>如果任何技术人员不合格，买方有权要求卖方撤换，因撤换而产生的费用应由卖方承担。在不影响技术服务并且征得买方同意的条件下，卖方也可自负费用更换其技术人员。</w:t>
      </w:r>
    </w:p>
    <w:p>
      <w:pPr>
        <w:widowControl/>
        <w:spacing w:line="480" w:lineRule="exact"/>
        <w:ind w:firstLine="622" w:firstLineChars="200"/>
        <w:jc w:val="left"/>
      </w:pPr>
      <w:r>
        <w:rPr>
          <w:b/>
          <w:bCs/>
          <w:color w:val="000000"/>
          <w:kern w:val="0"/>
          <w:sz w:val="31"/>
          <w:szCs w:val="31"/>
        </w:rPr>
        <w:t xml:space="preserve">8. </w:t>
      </w:r>
      <w:r>
        <w:rPr>
          <w:rFonts w:hint="eastAsia" w:ascii="宋体" w:hAnsi="宋体" w:cs="宋体"/>
          <w:b/>
          <w:bCs/>
          <w:color w:val="000000"/>
          <w:kern w:val="0"/>
          <w:sz w:val="31"/>
          <w:szCs w:val="31"/>
        </w:rPr>
        <w:t xml:space="preserve">质量保证期 </w:t>
      </w:r>
    </w:p>
    <w:p>
      <w:pPr>
        <w:widowControl/>
        <w:spacing w:line="480" w:lineRule="exact"/>
        <w:ind w:firstLine="420" w:firstLineChars="200"/>
        <w:jc w:val="left"/>
      </w:pPr>
      <w:r>
        <w:rPr>
          <w:color w:val="000000"/>
          <w:kern w:val="0"/>
          <w:szCs w:val="21"/>
        </w:rPr>
        <w:t xml:space="preserve">8.1 </w:t>
      </w:r>
      <w:r>
        <w:rPr>
          <w:rFonts w:hint="eastAsia" w:ascii="宋体" w:hAnsi="宋体" w:cs="宋体"/>
          <w:color w:val="000000"/>
          <w:kern w:val="0"/>
          <w:szCs w:val="21"/>
        </w:rPr>
        <w:t xml:space="preserve">除专用合同条款和（或）供货要求等合同文件另有约定外，合同设备整体质量保证期为验收之日起 </w:t>
      </w:r>
      <w:r>
        <w:rPr>
          <w:color w:val="000000"/>
          <w:kern w:val="0"/>
          <w:szCs w:val="21"/>
        </w:rPr>
        <w:t xml:space="preserve">12 </w:t>
      </w:r>
      <w:r>
        <w:rPr>
          <w:rFonts w:hint="eastAsia" w:ascii="宋体" w:hAnsi="宋体" w:cs="宋体"/>
          <w:color w:val="000000"/>
          <w:kern w:val="0"/>
          <w:szCs w:val="21"/>
        </w:rPr>
        <w:t xml:space="preserve">个月。如对合同设备中关键部件的质量保证期有特殊要求的，买卖双方可在专用合同条款中约定。在合同第 </w:t>
      </w:r>
      <w:r>
        <w:rPr>
          <w:color w:val="000000"/>
          <w:kern w:val="0"/>
          <w:szCs w:val="21"/>
        </w:rPr>
        <w:t xml:space="preserve">6.4.2 </w:t>
      </w:r>
      <w:r>
        <w:rPr>
          <w:rFonts w:hint="eastAsia" w:ascii="宋体" w:hAnsi="宋体" w:cs="宋体"/>
          <w:color w:val="000000"/>
          <w:kern w:val="0"/>
          <w:szCs w:val="21"/>
        </w:rPr>
        <w:t xml:space="preserve">项情形下，无论合同设备何时验收，其质量保证期最长为签署验收款支付函后 </w:t>
      </w:r>
      <w:r>
        <w:rPr>
          <w:color w:val="000000"/>
          <w:kern w:val="0"/>
          <w:szCs w:val="21"/>
        </w:rPr>
        <w:t xml:space="preserve">12 </w:t>
      </w:r>
      <w:r>
        <w:rPr>
          <w:rFonts w:hint="eastAsia" w:ascii="宋体" w:hAnsi="宋体" w:cs="宋体"/>
          <w:color w:val="000000"/>
          <w:kern w:val="0"/>
          <w:szCs w:val="21"/>
        </w:rPr>
        <w:t xml:space="preserve">个月。在合同第 </w:t>
      </w:r>
      <w:r>
        <w:rPr>
          <w:color w:val="000000"/>
          <w:kern w:val="0"/>
          <w:szCs w:val="21"/>
        </w:rPr>
        <w:t xml:space="preserve">6.4.3 </w:t>
      </w:r>
      <w:r>
        <w:rPr>
          <w:rFonts w:hint="eastAsia" w:ascii="宋体" w:hAnsi="宋体" w:cs="宋体"/>
          <w:color w:val="000000"/>
          <w:kern w:val="0"/>
          <w:szCs w:val="21"/>
        </w:rPr>
        <w:t xml:space="preserve">项情形下，无论合同设备何时验收，其质量保证期最长为签署验收款支付函后 </w:t>
      </w:r>
      <w:r>
        <w:rPr>
          <w:color w:val="000000"/>
          <w:kern w:val="0"/>
          <w:szCs w:val="21"/>
        </w:rPr>
        <w:t xml:space="preserve">6 </w:t>
      </w:r>
      <w:r>
        <w:rPr>
          <w:rFonts w:hint="eastAsia" w:ascii="宋体" w:hAnsi="宋体" w:cs="宋体"/>
          <w:color w:val="000000"/>
          <w:kern w:val="0"/>
          <w:szCs w:val="21"/>
        </w:rPr>
        <w:t xml:space="preserve">个月。 </w:t>
      </w:r>
    </w:p>
    <w:p>
      <w:pPr>
        <w:widowControl/>
        <w:spacing w:line="480" w:lineRule="exact"/>
        <w:ind w:firstLine="420" w:firstLineChars="200"/>
        <w:jc w:val="left"/>
      </w:pPr>
      <w:r>
        <w:rPr>
          <w:color w:val="000000"/>
          <w:kern w:val="0"/>
          <w:szCs w:val="21"/>
        </w:rPr>
        <w:t xml:space="preserve">8.2 </w:t>
      </w:r>
      <w:r>
        <w:rPr>
          <w:rFonts w:hint="eastAsia" w:ascii="宋体" w:hAnsi="宋体" w:cs="宋体"/>
          <w:color w:val="000000"/>
          <w:kern w:val="0"/>
          <w:szCs w:val="21"/>
        </w:rPr>
        <w:t>在质量保证期内如果合同设备出现故障，卖方应</w:t>
      </w:r>
      <w:r>
        <w:rPr>
          <w:rFonts w:hint="eastAsia" w:ascii="宋体" w:hAnsi="宋体" w:cs="宋体"/>
          <w:color w:val="000000"/>
          <w:kern w:val="0"/>
          <w:szCs w:val="21"/>
          <w:lang w:eastAsia="zh-CN"/>
        </w:rPr>
        <w:t>自付</w:t>
      </w:r>
      <w:r>
        <w:rPr>
          <w:rFonts w:hint="eastAsia" w:ascii="宋体" w:hAnsi="宋体" w:cs="宋体"/>
          <w:color w:val="000000"/>
          <w:kern w:val="0"/>
          <w:szCs w:val="21"/>
        </w:rPr>
        <w:t xml:space="preserve">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 </w:t>
      </w:r>
    </w:p>
    <w:p>
      <w:pPr>
        <w:widowControl/>
        <w:spacing w:line="480" w:lineRule="exact"/>
        <w:ind w:firstLine="420" w:firstLineChars="200"/>
        <w:jc w:val="left"/>
      </w:pPr>
      <w:r>
        <w:rPr>
          <w:color w:val="000000"/>
          <w:kern w:val="0"/>
          <w:szCs w:val="21"/>
        </w:rPr>
        <w:t xml:space="preserve">8.3 </w:t>
      </w:r>
      <w:r>
        <w:rPr>
          <w:rFonts w:hint="eastAsia" w:ascii="宋体" w:hAnsi="宋体" w:cs="宋体"/>
          <w:color w:val="000000"/>
          <w:kern w:val="0"/>
          <w:szCs w:val="21"/>
        </w:rPr>
        <w:t xml:space="preserve">质量保证期届满后，买方应在 </w:t>
      </w:r>
      <w:r>
        <w:rPr>
          <w:color w:val="000000"/>
          <w:kern w:val="0"/>
          <w:szCs w:val="21"/>
        </w:rPr>
        <w:t xml:space="preserve">7 </w:t>
      </w:r>
      <w:r>
        <w:rPr>
          <w:rFonts w:hint="eastAsia" w:ascii="宋体" w:hAnsi="宋体" w:cs="宋体"/>
          <w:color w:val="000000"/>
          <w:kern w:val="0"/>
          <w:szCs w:val="21"/>
        </w:rPr>
        <w:t xml:space="preserve">日内或专用合同条款另行约定的时间内向卖方出具合同设备的质量保证期届满证书。 </w:t>
      </w:r>
    </w:p>
    <w:p>
      <w:pPr>
        <w:widowControl/>
        <w:spacing w:line="480" w:lineRule="exact"/>
        <w:ind w:firstLine="420" w:firstLineChars="200"/>
        <w:jc w:val="left"/>
      </w:pPr>
      <w:r>
        <w:rPr>
          <w:color w:val="000000"/>
          <w:kern w:val="0"/>
          <w:szCs w:val="21"/>
        </w:rPr>
        <w:t xml:space="preserve">8.4 </w:t>
      </w:r>
      <w:r>
        <w:rPr>
          <w:rFonts w:hint="eastAsia" w:ascii="宋体" w:hAnsi="宋体" w:cs="宋体"/>
          <w:color w:val="000000"/>
          <w:kern w:val="0"/>
          <w:szCs w:val="21"/>
        </w:rPr>
        <w:t xml:space="preserve">在合同第 </w:t>
      </w:r>
      <w:r>
        <w:rPr>
          <w:color w:val="000000"/>
          <w:kern w:val="0"/>
          <w:szCs w:val="21"/>
        </w:rPr>
        <w:t xml:space="preserve">6.4.2 </w:t>
      </w:r>
      <w:r>
        <w:rPr>
          <w:rFonts w:hint="eastAsia" w:ascii="宋体" w:hAnsi="宋体" w:cs="宋体"/>
          <w:color w:val="000000"/>
          <w:kern w:val="0"/>
          <w:szCs w:val="21"/>
        </w:rPr>
        <w:t xml:space="preserve">项情形下，如在验收款支付函签署后 </w:t>
      </w:r>
      <w:r>
        <w:rPr>
          <w:color w:val="000000"/>
          <w:kern w:val="0"/>
          <w:szCs w:val="21"/>
        </w:rPr>
        <w:t xml:space="preserve">12 </w:t>
      </w:r>
      <w:r>
        <w:rPr>
          <w:rFonts w:hint="eastAsia" w:ascii="宋体" w:hAnsi="宋体" w:cs="宋体"/>
          <w:color w:val="000000"/>
          <w:kern w:val="0"/>
          <w:szCs w:val="21"/>
        </w:rPr>
        <w:t xml:space="preserve">个月内由于买方原因合同设备仍未能达到技术性能考核指标，则买卖双方应在该 </w:t>
      </w:r>
      <w:r>
        <w:rPr>
          <w:color w:val="000000"/>
          <w:kern w:val="0"/>
          <w:szCs w:val="21"/>
        </w:rPr>
        <w:t xml:space="preserve">12 </w:t>
      </w:r>
      <w:r>
        <w:rPr>
          <w:rFonts w:hint="eastAsia" w:ascii="宋体" w:hAnsi="宋体" w:cs="宋体"/>
          <w:color w:val="000000"/>
          <w:kern w:val="0"/>
          <w:szCs w:val="21"/>
        </w:rPr>
        <w:t xml:space="preserve">个月届满后 </w:t>
      </w:r>
      <w:r>
        <w:rPr>
          <w:color w:val="000000"/>
          <w:kern w:val="0"/>
          <w:szCs w:val="21"/>
        </w:rPr>
        <w:t xml:space="preserve">7 </w:t>
      </w:r>
      <w:r>
        <w:rPr>
          <w:rFonts w:hint="eastAsia" w:ascii="宋体" w:hAnsi="宋体" w:cs="宋体"/>
          <w:color w:val="000000"/>
          <w:kern w:val="0"/>
          <w:szCs w:val="21"/>
        </w:rPr>
        <w:t xml:space="preserve">日内或专用合同条款另行约定的时间内签署结清款支付函。 </w:t>
      </w:r>
    </w:p>
    <w:p>
      <w:pPr>
        <w:widowControl/>
        <w:spacing w:line="480" w:lineRule="exact"/>
        <w:ind w:firstLine="420" w:firstLineChars="200"/>
        <w:jc w:val="left"/>
      </w:pPr>
      <w:r>
        <w:rPr>
          <w:color w:val="000000"/>
          <w:kern w:val="0"/>
          <w:szCs w:val="21"/>
        </w:rPr>
        <w:t xml:space="preserve">8.5 </w:t>
      </w:r>
      <w:r>
        <w:rPr>
          <w:rFonts w:hint="eastAsia" w:ascii="宋体" w:hAnsi="宋体" w:cs="宋体"/>
          <w:color w:val="000000"/>
          <w:kern w:val="0"/>
          <w:szCs w:val="21"/>
        </w:rPr>
        <w:t xml:space="preserve">在合同第 </w:t>
      </w:r>
      <w:r>
        <w:rPr>
          <w:color w:val="000000"/>
          <w:kern w:val="0"/>
          <w:szCs w:val="21"/>
        </w:rPr>
        <w:t xml:space="preserve">6.4.3 </w:t>
      </w:r>
      <w:r>
        <w:rPr>
          <w:rFonts w:hint="eastAsia" w:ascii="宋体" w:hAnsi="宋体" w:cs="宋体"/>
          <w:color w:val="000000"/>
          <w:kern w:val="0"/>
          <w:szCs w:val="21"/>
        </w:rPr>
        <w:t xml:space="preserve">项情形下，如在验收款支付函签署后 </w:t>
      </w:r>
      <w:r>
        <w:rPr>
          <w:color w:val="000000"/>
          <w:kern w:val="0"/>
          <w:szCs w:val="21"/>
        </w:rPr>
        <w:t xml:space="preserve">6 </w:t>
      </w:r>
      <w:r>
        <w:rPr>
          <w:rFonts w:hint="eastAsia" w:ascii="宋体" w:hAnsi="宋体" w:cs="宋体"/>
          <w:color w:val="000000"/>
          <w:kern w:val="0"/>
          <w:szCs w:val="21"/>
        </w:rPr>
        <w:t xml:space="preserve">个月内由于买方原因合同设备仍未进行考核或仍未达到技术性能考核指标，则买卖双方应在该 </w:t>
      </w:r>
      <w:r>
        <w:rPr>
          <w:color w:val="000000"/>
          <w:kern w:val="0"/>
          <w:szCs w:val="21"/>
        </w:rPr>
        <w:t>6</w:t>
      </w:r>
      <w:r>
        <w:rPr>
          <w:rFonts w:hint="eastAsia" w:ascii="宋体" w:hAnsi="宋体" w:cs="宋体"/>
          <w:color w:val="000000"/>
          <w:kern w:val="0"/>
          <w:szCs w:val="21"/>
        </w:rPr>
        <w:t xml:space="preserve">个月届满后 </w:t>
      </w:r>
      <w:r>
        <w:rPr>
          <w:color w:val="000000"/>
          <w:kern w:val="0"/>
          <w:szCs w:val="21"/>
        </w:rPr>
        <w:t xml:space="preserve">7 </w:t>
      </w:r>
      <w:r>
        <w:rPr>
          <w:rFonts w:hint="eastAsia" w:ascii="宋体" w:hAnsi="宋体" w:cs="宋体"/>
          <w:color w:val="000000"/>
          <w:kern w:val="0"/>
          <w:szCs w:val="21"/>
        </w:rPr>
        <w:t xml:space="preserve">日内或专用合同条款另行约定的时间内签署结清款支付函。 </w:t>
      </w:r>
    </w:p>
    <w:p>
      <w:pPr>
        <w:widowControl/>
        <w:spacing w:line="480" w:lineRule="exact"/>
        <w:ind w:firstLine="420" w:firstLineChars="200"/>
        <w:jc w:val="left"/>
      </w:pPr>
      <w:r>
        <w:rPr>
          <w:color w:val="000000"/>
          <w:kern w:val="0"/>
          <w:szCs w:val="21"/>
        </w:rPr>
        <w:t xml:space="preserve">8.6 </w:t>
      </w:r>
      <w:r>
        <w:rPr>
          <w:rFonts w:hint="eastAsia" w:ascii="宋体" w:hAnsi="宋体" w:cs="宋体"/>
          <w:color w:val="000000"/>
          <w:kern w:val="0"/>
          <w:szCs w:val="21"/>
        </w:rPr>
        <w:t xml:space="preserve">在第 </w:t>
      </w:r>
      <w:r>
        <w:rPr>
          <w:color w:val="000000"/>
          <w:kern w:val="0"/>
          <w:szCs w:val="21"/>
        </w:rPr>
        <w:t xml:space="preserve">8.4 </w:t>
      </w:r>
      <w:r>
        <w:rPr>
          <w:rFonts w:hint="eastAsia" w:ascii="宋体" w:hAnsi="宋体" w:cs="宋体"/>
          <w:color w:val="000000"/>
          <w:kern w:val="0"/>
          <w:szCs w:val="21"/>
        </w:rPr>
        <w:t xml:space="preserve">款和第 </w:t>
      </w:r>
      <w:r>
        <w:rPr>
          <w:color w:val="000000"/>
          <w:kern w:val="0"/>
          <w:szCs w:val="21"/>
        </w:rPr>
        <w:t xml:space="preserve">8.5 </w:t>
      </w:r>
      <w:r>
        <w:rPr>
          <w:rFonts w:hint="eastAsia" w:ascii="宋体" w:hAnsi="宋体" w:cs="宋体"/>
          <w:color w:val="000000"/>
          <w:kern w:val="0"/>
          <w:szCs w:val="21"/>
        </w:rPr>
        <w:t xml:space="preserve">款情形下，卖方也可单方签署结清款支付函提交买方，如果买方在收到卖方签署的结清款支付函后 </w:t>
      </w:r>
      <w:r>
        <w:rPr>
          <w:color w:val="000000"/>
          <w:kern w:val="0"/>
          <w:szCs w:val="21"/>
        </w:rPr>
        <w:t xml:space="preserve">14 </w:t>
      </w:r>
      <w:r>
        <w:rPr>
          <w:rFonts w:hint="eastAsia" w:ascii="宋体" w:hAnsi="宋体" w:cs="宋体"/>
          <w:color w:val="000000"/>
          <w:kern w:val="0"/>
          <w:szCs w:val="21"/>
        </w:rPr>
        <w:t xml:space="preserve">日内未向卖方提出书面异议，则结清款支付函自签署之日起生效。 </w:t>
      </w:r>
    </w:p>
    <w:p>
      <w:pPr>
        <w:widowControl/>
        <w:spacing w:line="480" w:lineRule="exact"/>
        <w:ind w:firstLine="622" w:firstLineChars="200"/>
        <w:jc w:val="left"/>
      </w:pPr>
      <w:r>
        <w:rPr>
          <w:b/>
          <w:bCs/>
          <w:color w:val="000000"/>
          <w:kern w:val="0"/>
          <w:sz w:val="31"/>
          <w:szCs w:val="31"/>
        </w:rPr>
        <w:t xml:space="preserve">9. </w:t>
      </w:r>
      <w:r>
        <w:rPr>
          <w:rFonts w:hint="eastAsia" w:ascii="宋体" w:hAnsi="宋体" w:cs="宋体"/>
          <w:b/>
          <w:bCs/>
          <w:color w:val="000000"/>
          <w:kern w:val="0"/>
          <w:sz w:val="31"/>
          <w:szCs w:val="31"/>
        </w:rPr>
        <w:t xml:space="preserve">质保期服务 </w:t>
      </w:r>
    </w:p>
    <w:p>
      <w:pPr>
        <w:widowControl/>
        <w:spacing w:line="480" w:lineRule="exact"/>
        <w:ind w:firstLine="420" w:firstLineChars="200"/>
        <w:jc w:val="left"/>
      </w:pPr>
      <w:r>
        <w:rPr>
          <w:color w:val="000000"/>
          <w:kern w:val="0"/>
          <w:szCs w:val="21"/>
        </w:rPr>
        <w:t xml:space="preserve">9.1 </w:t>
      </w:r>
      <w:r>
        <w:rPr>
          <w:rFonts w:hint="eastAsia" w:ascii="宋体" w:hAnsi="宋体" w:cs="宋体"/>
          <w:color w:val="000000"/>
          <w:kern w:val="0"/>
          <w:szCs w:val="21"/>
        </w:rPr>
        <w:t xml:space="preserve">卖方应为质保期服务配备充足的技术人员、工具和备件并保证提供的联系方式畅通。除专用合同条款和（或）供货要求等合同文件另有约定外，卖方应在收到买方通知后 </w:t>
      </w:r>
      <w:r>
        <w:rPr>
          <w:color w:val="000000"/>
          <w:kern w:val="0"/>
          <w:szCs w:val="21"/>
        </w:rPr>
        <w:t xml:space="preserve">24 </w:t>
      </w:r>
      <w:r>
        <w:rPr>
          <w:rFonts w:hint="eastAsia" w:ascii="宋体" w:hAnsi="宋体" w:cs="宋体"/>
          <w:color w:val="000000"/>
          <w:kern w:val="0"/>
          <w:szCs w:val="21"/>
        </w:rPr>
        <w:t xml:space="preserve">小时内做出响应，如需卖方到合同设备现场，卖方应在收到买方通知后 </w:t>
      </w:r>
      <w:r>
        <w:rPr>
          <w:color w:val="000000"/>
          <w:kern w:val="0"/>
          <w:szCs w:val="21"/>
        </w:rPr>
        <w:t xml:space="preserve">48 </w:t>
      </w:r>
      <w:r>
        <w:rPr>
          <w:rFonts w:hint="eastAsia" w:ascii="宋体" w:hAnsi="宋体" w:cs="宋体"/>
          <w:color w:val="000000"/>
          <w:kern w:val="0"/>
          <w:szCs w:val="21"/>
        </w:rPr>
        <w:t xml:space="preserve">小时内到达，并在到达后 </w:t>
      </w:r>
      <w:r>
        <w:rPr>
          <w:color w:val="000000"/>
          <w:kern w:val="0"/>
          <w:szCs w:val="21"/>
        </w:rPr>
        <w:t xml:space="preserve">7 </w:t>
      </w:r>
      <w:r>
        <w:rPr>
          <w:rFonts w:hint="eastAsia" w:ascii="宋体" w:hAnsi="宋体" w:cs="宋体"/>
          <w:color w:val="000000"/>
          <w:kern w:val="0"/>
          <w:szCs w:val="21"/>
        </w:rPr>
        <w:t xml:space="preserve">日内解决合同设备的故障（重大故障除外）。如果卖方未在上述时间内作出响应，则买方有权自行或委托他人解决相关问题或查找和解决合同设备的故障，卖方应承担由此发生的全部费用。 </w:t>
      </w:r>
    </w:p>
    <w:p>
      <w:pPr>
        <w:widowControl/>
        <w:spacing w:line="480" w:lineRule="exact"/>
        <w:ind w:firstLine="420" w:firstLineChars="200"/>
        <w:jc w:val="left"/>
      </w:pPr>
      <w:r>
        <w:rPr>
          <w:color w:val="000000"/>
          <w:kern w:val="0"/>
          <w:szCs w:val="21"/>
        </w:rPr>
        <w:t xml:space="preserve">9.2 </w:t>
      </w:r>
      <w:r>
        <w:rPr>
          <w:rFonts w:hint="eastAsia" w:ascii="宋体" w:hAnsi="宋体" w:cs="宋体"/>
          <w:color w:val="000000"/>
          <w:kern w:val="0"/>
          <w:szCs w:val="21"/>
        </w:rPr>
        <w:t xml:space="preserve">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 </w:t>
      </w:r>
    </w:p>
    <w:p>
      <w:pPr>
        <w:widowControl/>
        <w:spacing w:line="480" w:lineRule="exact"/>
        <w:ind w:firstLine="420" w:firstLineChars="200"/>
        <w:jc w:val="left"/>
      </w:pPr>
      <w:r>
        <w:rPr>
          <w:color w:val="000000"/>
          <w:kern w:val="0"/>
          <w:szCs w:val="21"/>
        </w:rPr>
        <w:t xml:space="preserve">9.3 </w:t>
      </w:r>
      <w:r>
        <w:rPr>
          <w:rFonts w:hint="eastAsia" w:ascii="宋体" w:hAnsi="宋体" w:cs="宋体"/>
          <w:color w:val="000000"/>
          <w:kern w:val="0"/>
          <w:szCs w:val="21"/>
        </w:rPr>
        <w:t xml:space="preserve">如果任何技术人员不合格，买方有权要求卖方撤换，因撤换而产生的费用应由卖方承担。在不影响质保期服务并且征得买方同意的条件下，卖方也可自负费用更换其技术人员。 </w:t>
      </w:r>
    </w:p>
    <w:p>
      <w:pPr>
        <w:widowControl/>
        <w:spacing w:line="480" w:lineRule="exact"/>
        <w:ind w:firstLine="420" w:firstLineChars="200"/>
        <w:jc w:val="left"/>
      </w:pPr>
      <w:r>
        <w:rPr>
          <w:color w:val="000000"/>
          <w:kern w:val="0"/>
          <w:szCs w:val="21"/>
        </w:rPr>
        <w:t xml:space="preserve">9.4 </w:t>
      </w:r>
      <w:r>
        <w:rPr>
          <w:rFonts w:hint="eastAsia" w:ascii="宋体" w:hAnsi="宋体" w:cs="宋体"/>
          <w:color w:val="000000"/>
          <w:kern w:val="0"/>
          <w:szCs w:val="21"/>
        </w:rPr>
        <w:t xml:space="preserve">除专用合同条款另有约定外，卖方应就在施工现场进行质保期服务的情况进行记录，记载合同设备故障发生的时间、原因及解决情况等，由买方签字确认，并在质量保证期结束后提交给买方。 </w:t>
      </w:r>
    </w:p>
    <w:p>
      <w:pPr>
        <w:widowControl/>
        <w:spacing w:line="480" w:lineRule="exact"/>
        <w:ind w:firstLine="622" w:firstLineChars="200"/>
        <w:jc w:val="left"/>
      </w:pPr>
      <w:r>
        <w:rPr>
          <w:b/>
          <w:bCs/>
          <w:color w:val="000000"/>
          <w:kern w:val="0"/>
          <w:sz w:val="31"/>
          <w:szCs w:val="31"/>
        </w:rPr>
        <w:t xml:space="preserve">10. </w:t>
      </w:r>
      <w:r>
        <w:rPr>
          <w:rFonts w:hint="eastAsia" w:ascii="宋体" w:hAnsi="宋体" w:cs="宋体"/>
          <w:b/>
          <w:bCs/>
          <w:color w:val="000000"/>
          <w:kern w:val="0"/>
          <w:sz w:val="31"/>
          <w:szCs w:val="31"/>
        </w:rPr>
        <w:t xml:space="preserve">履约保证金 </w:t>
      </w:r>
    </w:p>
    <w:p>
      <w:pPr>
        <w:widowControl/>
        <w:spacing w:line="480" w:lineRule="exact"/>
        <w:ind w:firstLine="420" w:firstLineChars="200"/>
        <w:jc w:val="left"/>
      </w:pPr>
      <w:r>
        <w:rPr>
          <w:rFonts w:hint="eastAsia" w:ascii="宋体" w:hAnsi="宋体" w:cs="宋体"/>
          <w:color w:val="000000"/>
          <w:kern w:val="0"/>
          <w:szCs w:val="21"/>
        </w:rPr>
        <w:t xml:space="preserve">除专用合同条款另有约定外，履约保证金自合同生效之日起生效，在合同设备验收证书或验收款支付函签署之日起 </w:t>
      </w:r>
      <w:r>
        <w:rPr>
          <w:color w:val="000000"/>
          <w:kern w:val="0"/>
          <w:szCs w:val="21"/>
        </w:rPr>
        <w:t xml:space="preserve">28 </w:t>
      </w:r>
      <w:r>
        <w:rPr>
          <w:rFonts w:hint="eastAsia" w:ascii="宋体" w:hAnsi="宋体" w:cs="宋体"/>
          <w:color w:val="000000"/>
          <w:kern w:val="0"/>
          <w:szCs w:val="21"/>
        </w:rPr>
        <w:t xml:space="preserve">日后失效。如果卖方不履行合同约定的义务或其履行不符合合同的约定，买方有权扣划相应金额的履约保证金。 </w:t>
      </w:r>
    </w:p>
    <w:p>
      <w:pPr>
        <w:widowControl/>
        <w:spacing w:line="480" w:lineRule="exact"/>
        <w:ind w:firstLine="622" w:firstLineChars="200"/>
        <w:jc w:val="left"/>
      </w:pPr>
      <w:r>
        <w:rPr>
          <w:b/>
          <w:bCs/>
          <w:color w:val="000000"/>
          <w:kern w:val="0"/>
          <w:sz w:val="31"/>
          <w:szCs w:val="31"/>
        </w:rPr>
        <w:t xml:space="preserve">11. </w:t>
      </w:r>
      <w:r>
        <w:rPr>
          <w:rFonts w:hint="eastAsia" w:ascii="宋体" w:hAnsi="宋体" w:cs="宋体"/>
          <w:b/>
          <w:bCs/>
          <w:color w:val="000000"/>
          <w:kern w:val="0"/>
          <w:sz w:val="31"/>
          <w:szCs w:val="31"/>
        </w:rPr>
        <w:t xml:space="preserve">保证 </w:t>
      </w:r>
    </w:p>
    <w:p>
      <w:pPr>
        <w:widowControl/>
        <w:spacing w:line="480" w:lineRule="exact"/>
        <w:ind w:firstLine="420" w:firstLineChars="200"/>
        <w:jc w:val="left"/>
      </w:pPr>
      <w:r>
        <w:rPr>
          <w:color w:val="000000"/>
          <w:kern w:val="0"/>
          <w:szCs w:val="21"/>
        </w:rPr>
        <w:t xml:space="preserve">11.1 </w:t>
      </w:r>
      <w:r>
        <w:rPr>
          <w:rFonts w:hint="eastAsia" w:ascii="宋体" w:hAnsi="宋体" w:cs="宋体"/>
          <w:color w:val="000000"/>
          <w:kern w:val="0"/>
          <w:szCs w:val="21"/>
        </w:rPr>
        <w:t xml:space="preserve">卖方保证其具有完全的能力履行本合同项下的全部义务。 </w:t>
      </w:r>
    </w:p>
    <w:p>
      <w:pPr>
        <w:widowControl/>
        <w:spacing w:line="480" w:lineRule="exact"/>
        <w:ind w:firstLine="420" w:firstLineChars="200"/>
        <w:jc w:val="left"/>
      </w:pPr>
      <w:r>
        <w:rPr>
          <w:color w:val="000000"/>
          <w:kern w:val="0"/>
          <w:szCs w:val="21"/>
        </w:rPr>
        <w:t xml:space="preserve">11.2 </w:t>
      </w:r>
      <w:r>
        <w:rPr>
          <w:rFonts w:hint="eastAsia" w:ascii="宋体" w:hAnsi="宋体" w:cs="宋体"/>
          <w:color w:val="000000"/>
          <w:kern w:val="0"/>
          <w:szCs w:val="21"/>
        </w:rPr>
        <w:t xml:space="preserve">卖方保证其所提供的合同设备及对合同的履行符合所有应适用的法律、行政法规、地方性法规、自治条例和单行条例、规章及其他规范性文件的强制性规定。 </w:t>
      </w:r>
    </w:p>
    <w:p>
      <w:pPr>
        <w:widowControl/>
        <w:spacing w:line="480" w:lineRule="exact"/>
        <w:ind w:firstLine="420" w:firstLineChars="200"/>
        <w:jc w:val="left"/>
      </w:pPr>
      <w:r>
        <w:rPr>
          <w:color w:val="000000"/>
          <w:kern w:val="0"/>
          <w:szCs w:val="21"/>
        </w:rPr>
        <w:t xml:space="preserve">11.3 </w:t>
      </w:r>
      <w:r>
        <w:rPr>
          <w:rFonts w:hint="eastAsia" w:ascii="宋体" w:hAnsi="宋体" w:cs="宋体"/>
          <w:color w:val="000000"/>
          <w:kern w:val="0"/>
          <w:szCs w:val="21"/>
        </w:rPr>
        <w:t xml:space="preserve">卖方保证其对合同设备的销售不损害任何第三方的合法权益和社会公众利益。任何第三方不会因卖方原因而基于所有权、抵押权、留置权或其他任何权利或事由对合同设备主张权利。 </w:t>
      </w:r>
    </w:p>
    <w:p>
      <w:pPr>
        <w:widowControl/>
        <w:spacing w:line="480" w:lineRule="exact"/>
        <w:ind w:firstLine="420" w:firstLineChars="200"/>
        <w:jc w:val="left"/>
      </w:pPr>
      <w:r>
        <w:rPr>
          <w:color w:val="000000"/>
          <w:kern w:val="0"/>
          <w:szCs w:val="21"/>
        </w:rPr>
        <w:t xml:space="preserve">11.4 </w:t>
      </w:r>
      <w:r>
        <w:rPr>
          <w:rFonts w:hint="eastAsia" w:ascii="宋体" w:hAnsi="宋体" w:cs="宋体"/>
          <w:color w:val="000000"/>
          <w:kern w:val="0"/>
          <w:szCs w:val="21"/>
        </w:rPr>
        <w:t xml:space="preserve">卖方保证合同设备符合合同约定的规格、标准、技术性能考核指标等，能够安全和稳定地运行，且合同设备（包括全部部件）全新、完整、未使用过，除非专用合同条款和（或）供货要求等合同文件另有约定。 </w:t>
      </w:r>
    </w:p>
    <w:p>
      <w:pPr>
        <w:widowControl/>
        <w:spacing w:line="480" w:lineRule="exact"/>
        <w:ind w:firstLine="420" w:firstLineChars="200"/>
        <w:jc w:val="left"/>
      </w:pPr>
      <w:r>
        <w:rPr>
          <w:color w:val="000000"/>
          <w:kern w:val="0"/>
          <w:szCs w:val="21"/>
        </w:rPr>
        <w:t xml:space="preserve">11.5 </w:t>
      </w:r>
      <w:r>
        <w:rPr>
          <w:rFonts w:hint="eastAsia" w:ascii="宋体" w:hAnsi="宋体" w:cs="宋体"/>
          <w:color w:val="000000"/>
          <w:kern w:val="0"/>
          <w:szCs w:val="21"/>
        </w:rPr>
        <w:t xml:space="preserve">卖方保证，卖方所提供的技术资料完整、清晰、准确，符合合同约定并且能够满足合同设备的安装、调试、考核、操作以及维修和保养的需要。 </w:t>
      </w:r>
    </w:p>
    <w:p>
      <w:pPr>
        <w:widowControl/>
        <w:spacing w:line="480" w:lineRule="exact"/>
        <w:ind w:firstLine="420" w:firstLineChars="200"/>
        <w:jc w:val="left"/>
      </w:pPr>
      <w:r>
        <w:rPr>
          <w:color w:val="000000"/>
          <w:kern w:val="0"/>
          <w:szCs w:val="21"/>
        </w:rPr>
        <w:t xml:space="preserve">11.6 </w:t>
      </w:r>
      <w:r>
        <w:rPr>
          <w:rFonts w:hint="eastAsia" w:ascii="宋体" w:hAnsi="宋体" w:cs="宋体"/>
          <w:color w:val="000000"/>
          <w:kern w:val="0"/>
          <w:szCs w:val="21"/>
        </w:rPr>
        <w:t xml:space="preserve">卖方保证合同范围内提供的备品备件能够满足合同设备在质量保证期结束前正常运行及维修的需要，如在质量保证期结束前因卖方原因出现备品备件短缺影响合同设备正常运行的，卖方应免费提供。 </w:t>
      </w:r>
    </w:p>
    <w:p>
      <w:pPr>
        <w:widowControl/>
        <w:spacing w:line="480" w:lineRule="exact"/>
        <w:ind w:firstLine="420" w:firstLineChars="200"/>
        <w:jc w:val="left"/>
      </w:pPr>
      <w:r>
        <w:rPr>
          <w:color w:val="000000"/>
          <w:kern w:val="0"/>
          <w:szCs w:val="21"/>
        </w:rPr>
        <w:t xml:space="preserve">11.7 </w:t>
      </w:r>
      <w:r>
        <w:rPr>
          <w:rFonts w:hint="eastAsia" w:ascii="宋体" w:hAnsi="宋体" w:cs="宋体"/>
          <w:color w:val="000000"/>
          <w:kern w:val="0"/>
          <w:szCs w:val="21"/>
        </w:rPr>
        <w:t xml:space="preserve">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）以不高于同期市场价格或其向任何第三方销售同类产品的价格提供合同设备正常运行所需的全部备品备件；或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widowControl/>
        <w:spacing w:line="480" w:lineRule="exact"/>
        <w:ind w:firstLine="420" w:firstLineChars="200"/>
        <w:jc w:val="left"/>
      </w:pPr>
      <w:r>
        <w:rPr>
          <w:color w:val="000000"/>
          <w:kern w:val="0"/>
          <w:szCs w:val="21"/>
        </w:rPr>
        <w:t xml:space="preserve">11.8 </w:t>
      </w:r>
      <w:r>
        <w:rPr>
          <w:rFonts w:hint="eastAsia" w:ascii="宋体" w:hAnsi="宋体" w:cs="宋体"/>
          <w:color w:val="000000"/>
          <w:kern w:val="0"/>
          <w:szCs w:val="21"/>
        </w:rPr>
        <w:t xml:space="preserve">卖方保证，在合同设备设计使用寿命期内，如果卖方发现合同设备由于设计、制造、标识等原因存在足以危及人身、财产安全的缺陷，卖方将及时通知买方并及时采取修正或者补充标识、修理、更换等措施消除缺陷。 </w:t>
      </w:r>
    </w:p>
    <w:p>
      <w:pPr>
        <w:widowControl/>
        <w:spacing w:line="480" w:lineRule="exact"/>
        <w:ind w:firstLine="622" w:firstLineChars="200"/>
        <w:jc w:val="left"/>
      </w:pPr>
      <w:r>
        <w:rPr>
          <w:b/>
          <w:bCs/>
          <w:color w:val="000000"/>
          <w:kern w:val="0"/>
          <w:sz w:val="31"/>
          <w:szCs w:val="31"/>
        </w:rPr>
        <w:t xml:space="preserve">12. </w:t>
      </w:r>
      <w:r>
        <w:rPr>
          <w:rFonts w:hint="eastAsia" w:ascii="宋体" w:hAnsi="宋体" w:cs="宋体"/>
          <w:b/>
          <w:bCs/>
          <w:color w:val="000000"/>
          <w:kern w:val="0"/>
          <w:sz w:val="31"/>
          <w:szCs w:val="31"/>
        </w:rPr>
        <w:t xml:space="preserve">知识产权 </w:t>
      </w:r>
    </w:p>
    <w:p>
      <w:pPr>
        <w:widowControl/>
        <w:spacing w:line="480" w:lineRule="exact"/>
        <w:ind w:firstLine="420" w:firstLineChars="200"/>
        <w:jc w:val="left"/>
      </w:pPr>
      <w:r>
        <w:rPr>
          <w:color w:val="000000"/>
          <w:kern w:val="0"/>
          <w:szCs w:val="21"/>
        </w:rPr>
        <w:t xml:space="preserve">12.1 </w:t>
      </w:r>
      <w:r>
        <w:rPr>
          <w:rFonts w:hint="eastAsia" w:ascii="宋体" w:hAnsi="宋体" w:cs="宋体"/>
          <w:color w:val="000000"/>
          <w:kern w:val="0"/>
          <w:szCs w:val="21"/>
        </w:rPr>
        <w:t xml:space="preserve">买方在履行合同过程中提供给卖方的全部图纸、文件和其他含有数据和信息的资料，其知识产权属于买方。 </w:t>
      </w:r>
    </w:p>
    <w:p>
      <w:pPr>
        <w:widowControl/>
        <w:spacing w:line="480" w:lineRule="exact"/>
        <w:ind w:firstLine="420" w:firstLineChars="200"/>
        <w:jc w:val="left"/>
      </w:pPr>
      <w:r>
        <w:rPr>
          <w:color w:val="000000"/>
          <w:kern w:val="0"/>
          <w:szCs w:val="21"/>
        </w:rPr>
        <w:t xml:space="preserve">12.2 </w:t>
      </w:r>
      <w:r>
        <w:rPr>
          <w:rFonts w:hint="eastAsia" w:ascii="宋体" w:hAnsi="宋体" w:cs="宋体"/>
          <w:color w:val="000000"/>
          <w:kern w:val="0"/>
          <w:szCs w:val="21"/>
        </w:rPr>
        <w:t xml:space="preserve">除专用合同条款另有约定外，买方不因签署和履行合同而享有卖方在履行合同过程中提供给买方的图纸、文件、配套软件、电子辅助程序和其他含有数据和信息的资料的知识产权。 </w:t>
      </w:r>
    </w:p>
    <w:p>
      <w:pPr>
        <w:widowControl/>
        <w:spacing w:line="480" w:lineRule="exact"/>
        <w:ind w:firstLine="420" w:firstLineChars="200"/>
        <w:jc w:val="left"/>
      </w:pPr>
      <w:r>
        <w:rPr>
          <w:color w:val="000000"/>
          <w:kern w:val="0"/>
          <w:szCs w:val="21"/>
        </w:rPr>
        <w:t xml:space="preserve">12.3 </w:t>
      </w:r>
      <w:r>
        <w:rPr>
          <w:rFonts w:hint="eastAsia" w:ascii="宋体" w:hAnsi="宋体" w:cs="宋体"/>
          <w:color w:val="000000"/>
          <w:kern w:val="0"/>
          <w:szCs w:val="21"/>
        </w:rPr>
        <w:t xml:space="preserve">如合同设备涉及知识产权，则卖方保证买方在使用合同设备过程中免于受到第三方提出的有关知识产权侵权的主张、索赔或诉讼的伤害。 </w:t>
      </w:r>
    </w:p>
    <w:p>
      <w:pPr>
        <w:widowControl/>
        <w:spacing w:line="480" w:lineRule="exact"/>
        <w:ind w:firstLine="420" w:firstLineChars="200"/>
        <w:jc w:val="left"/>
      </w:pPr>
      <w:r>
        <w:rPr>
          <w:color w:val="000000"/>
          <w:kern w:val="0"/>
          <w:szCs w:val="21"/>
        </w:rPr>
        <w:t xml:space="preserve">12.4 </w:t>
      </w:r>
      <w:r>
        <w:rPr>
          <w:rFonts w:hint="eastAsia" w:ascii="宋体" w:hAnsi="宋体" w:cs="宋体"/>
          <w:color w:val="000000"/>
          <w:kern w:val="0"/>
          <w:szCs w:val="21"/>
        </w:rPr>
        <w:t xml:space="preserve">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 </w:t>
      </w:r>
      <w:r>
        <w:rPr>
          <w:color w:val="000000"/>
          <w:kern w:val="0"/>
          <w:szCs w:val="21"/>
        </w:rPr>
        <w:t xml:space="preserve">28 </w:t>
      </w:r>
      <w:r>
        <w:rPr>
          <w:rFonts w:hint="eastAsia" w:ascii="宋体" w:hAnsi="宋体" w:cs="宋体"/>
          <w:color w:val="000000"/>
          <w:kern w:val="0"/>
          <w:szCs w:val="21"/>
        </w:rPr>
        <w:t xml:space="preserve">日内未作表示，买方可以自己的名义进行这些索赔或诉讼，因此发生的费用和遭受的损失均应由卖方承担。 </w:t>
      </w:r>
    </w:p>
    <w:p>
      <w:pPr>
        <w:widowControl/>
        <w:spacing w:line="480" w:lineRule="exact"/>
        <w:ind w:firstLine="622" w:firstLineChars="200"/>
        <w:jc w:val="left"/>
      </w:pPr>
      <w:r>
        <w:rPr>
          <w:b/>
          <w:bCs/>
          <w:color w:val="000000"/>
          <w:kern w:val="0"/>
          <w:sz w:val="31"/>
          <w:szCs w:val="31"/>
        </w:rPr>
        <w:t xml:space="preserve">13. </w:t>
      </w:r>
      <w:r>
        <w:rPr>
          <w:rFonts w:hint="eastAsia" w:ascii="宋体" w:hAnsi="宋体" w:cs="宋体"/>
          <w:b/>
          <w:bCs/>
          <w:color w:val="000000"/>
          <w:kern w:val="0"/>
          <w:sz w:val="31"/>
          <w:szCs w:val="31"/>
        </w:rPr>
        <w:t xml:space="preserve">保密 </w:t>
      </w:r>
    </w:p>
    <w:p>
      <w:pPr>
        <w:widowControl/>
        <w:spacing w:line="480" w:lineRule="exact"/>
        <w:ind w:firstLine="420" w:firstLineChars="200"/>
        <w:jc w:val="left"/>
      </w:pPr>
      <w:r>
        <w:rPr>
          <w:rFonts w:hint="eastAsia" w:ascii="宋体" w:hAnsi="宋体" w:cs="宋体"/>
          <w:color w:val="000000"/>
          <w:kern w:val="0"/>
          <w:szCs w:val="21"/>
        </w:rPr>
        <w:t xml:space="preserve">合同双方应对因履行合同而取得的另一方当事人的信息、资料等予以保密。未经另一方当事人书面同意，任何一方均不得为与履行合同无关的目的使用或向第三方披露另一方当事人提供的信息、资料。 </w:t>
      </w:r>
    </w:p>
    <w:p>
      <w:pPr>
        <w:widowControl/>
        <w:spacing w:line="480" w:lineRule="exact"/>
        <w:ind w:firstLine="420" w:firstLineChars="200"/>
        <w:jc w:val="left"/>
      </w:pPr>
      <w:r>
        <w:rPr>
          <w:rFonts w:hint="eastAsia" w:ascii="宋体" w:hAnsi="宋体" w:cs="宋体"/>
          <w:color w:val="000000"/>
          <w:kern w:val="0"/>
          <w:szCs w:val="21"/>
        </w:rPr>
        <w:t xml:space="preserve">合同当事人的保密义务不适用于下列信息：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）非因接受信息一方的过失现在或以后进入公共领域的信息；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w:t>
      </w:r>
      <w:r>
        <w:rPr>
          <w:rFonts w:hint="eastAsia" w:ascii="宋体" w:hAnsi="宋体" w:cs="宋体"/>
          <w:color w:val="000000"/>
          <w:kern w:val="0"/>
          <w:szCs w:val="21"/>
          <w:lang w:eastAsia="zh-CN"/>
        </w:rPr>
        <w:t>接收信息</w:t>
      </w:r>
      <w:r>
        <w:rPr>
          <w:rFonts w:hint="eastAsia" w:ascii="宋体" w:hAnsi="宋体" w:cs="宋体"/>
          <w:color w:val="000000"/>
          <w:kern w:val="0"/>
          <w:szCs w:val="21"/>
        </w:rPr>
        <w:t>一方当事人合法地从第三方获得并且据其善意了解第三方也不对此承担保密</w:t>
      </w:r>
      <w:r>
        <w:rPr>
          <w:rFonts w:hint="eastAsia" w:ascii="宋体" w:hAnsi="宋体" w:cs="宋体"/>
          <w:color w:val="000000"/>
          <w:kern w:val="0"/>
          <w:szCs w:val="21"/>
          <w:lang w:eastAsia="zh-CN"/>
        </w:rPr>
        <w:t>义务</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 xml:space="preserve">务的信息；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）法律或法律的执行要求披露的信息。 </w:t>
      </w:r>
    </w:p>
    <w:p>
      <w:pPr>
        <w:widowControl/>
        <w:spacing w:line="480" w:lineRule="exact"/>
        <w:ind w:firstLine="622" w:firstLineChars="200"/>
        <w:jc w:val="left"/>
      </w:pPr>
      <w:r>
        <w:rPr>
          <w:b/>
          <w:bCs/>
          <w:color w:val="000000"/>
          <w:kern w:val="0"/>
          <w:sz w:val="31"/>
          <w:szCs w:val="31"/>
        </w:rPr>
        <w:t xml:space="preserve">14. </w:t>
      </w:r>
      <w:r>
        <w:rPr>
          <w:rFonts w:hint="eastAsia" w:ascii="宋体" w:hAnsi="宋体" w:cs="宋体"/>
          <w:b/>
          <w:bCs/>
          <w:color w:val="000000"/>
          <w:kern w:val="0"/>
          <w:sz w:val="31"/>
          <w:szCs w:val="31"/>
        </w:rPr>
        <w:t xml:space="preserve">违约责任 </w:t>
      </w:r>
    </w:p>
    <w:p>
      <w:pPr>
        <w:widowControl/>
        <w:spacing w:line="480" w:lineRule="exact"/>
        <w:ind w:firstLine="420" w:firstLineChars="200"/>
        <w:jc w:val="left"/>
      </w:pPr>
      <w:r>
        <w:rPr>
          <w:color w:val="000000"/>
          <w:kern w:val="0"/>
          <w:szCs w:val="21"/>
        </w:rPr>
        <w:t xml:space="preserve">14.1 </w:t>
      </w:r>
      <w:r>
        <w:rPr>
          <w:rFonts w:hint="eastAsia" w:ascii="宋体" w:hAnsi="宋体" w:cs="宋体"/>
          <w:color w:val="000000"/>
          <w:kern w:val="0"/>
          <w:szCs w:val="21"/>
        </w:rPr>
        <w:t xml:space="preserve">合同一方不履行合同义务、履行合同义务不符合约定或者违反合同项下所作保证的，应向对方承担继续履行、采取修理、更换、退货等补救措施或者赔偿损失等违约责任。 </w:t>
      </w:r>
    </w:p>
    <w:p>
      <w:pPr>
        <w:widowControl/>
        <w:spacing w:line="480" w:lineRule="exact"/>
        <w:ind w:firstLine="420" w:firstLineChars="200"/>
        <w:jc w:val="left"/>
      </w:pPr>
      <w:r>
        <w:rPr>
          <w:color w:val="000000"/>
          <w:kern w:val="0"/>
          <w:szCs w:val="21"/>
        </w:rPr>
        <w:t xml:space="preserve">14.2 </w:t>
      </w:r>
      <w:r>
        <w:rPr>
          <w:rFonts w:hint="eastAsia" w:ascii="宋体" w:hAnsi="宋体" w:cs="宋体"/>
          <w:color w:val="000000"/>
          <w:kern w:val="0"/>
          <w:szCs w:val="21"/>
        </w:rPr>
        <w:t xml:space="preserve">卖方未能按时交付合同设备（包括仅迟延交付技术资料但足以导致合同设备安装、调试、考核、验收工作推迟的）的，应向买方支付迟延交付违约金。除专用合同条款另有约定外，迟延交付违约金的计算方法如下：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）从迟交的第一周到第四周，每周迟延交付违约金为迟交合同设备价格的 </w:t>
      </w:r>
      <w:r>
        <w:rPr>
          <w:color w:val="000000"/>
          <w:kern w:val="0"/>
          <w:szCs w:val="21"/>
        </w:rPr>
        <w:t>0.5%</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）从迟交的第五周到第八周，每周迟延交付违约金为迟交合同设备价格的 </w:t>
      </w:r>
      <w:r>
        <w:rPr>
          <w:color w:val="000000"/>
          <w:kern w:val="0"/>
          <w:szCs w:val="21"/>
        </w:rPr>
        <w:t>1%</w:t>
      </w:r>
      <w:r>
        <w:rPr>
          <w:rFonts w:hint="eastAsia" w:ascii="宋体" w:hAnsi="宋体" w:cs="宋体"/>
          <w:color w:val="000000"/>
          <w:kern w:val="0"/>
          <w:szCs w:val="21"/>
        </w:rPr>
        <w:t xml:space="preserve">； </w:t>
      </w:r>
    </w:p>
    <w:p>
      <w:pPr>
        <w:widowControl/>
        <w:spacing w:line="48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）从迟交第九周起，每周迟延交付违约金为迟交合同设备价格的 </w:t>
      </w:r>
      <w:r>
        <w:rPr>
          <w:color w:val="000000"/>
          <w:kern w:val="0"/>
          <w:szCs w:val="21"/>
        </w:rPr>
        <w:t>1.5%</w:t>
      </w:r>
      <w:r>
        <w:rPr>
          <w:rFonts w:hint="eastAsia" w:ascii="宋体" w:hAnsi="宋体" w:cs="宋体"/>
          <w:color w:val="000000"/>
          <w:kern w:val="0"/>
          <w:szCs w:val="21"/>
        </w:rPr>
        <w:t>。</w:t>
      </w:r>
    </w:p>
    <w:p>
      <w:pPr>
        <w:widowControl/>
        <w:spacing w:line="480" w:lineRule="exact"/>
        <w:ind w:firstLine="420" w:firstLineChars="200"/>
        <w:jc w:val="left"/>
      </w:pPr>
      <w:r>
        <w:rPr>
          <w:rFonts w:hint="eastAsia" w:ascii="宋体" w:hAnsi="宋体" w:cs="宋体"/>
          <w:color w:val="000000"/>
          <w:kern w:val="0"/>
          <w:szCs w:val="21"/>
        </w:rPr>
        <w:t xml:space="preserve"> 在计算迟延交付违约金时，迟交不足一周的按一周计算。迟延交付违约金的总额不得超过合同价格的 </w:t>
      </w:r>
      <w:r>
        <w:rPr>
          <w:color w:val="000000"/>
          <w:kern w:val="0"/>
          <w:szCs w:val="21"/>
        </w:rPr>
        <w:t>10%</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 xml:space="preserve">迟延交付违约金的支付不能免除卖方继续交付相关合同设备的义务，但如迟延交付必然导致合同设备安装、调试、考核、验收工作推迟的，相关工作应相应顺延。 </w:t>
      </w:r>
    </w:p>
    <w:p>
      <w:pPr>
        <w:widowControl/>
        <w:spacing w:line="480" w:lineRule="exact"/>
        <w:ind w:firstLine="420" w:firstLineChars="200"/>
        <w:jc w:val="left"/>
      </w:pPr>
      <w:r>
        <w:rPr>
          <w:color w:val="000000"/>
          <w:kern w:val="0"/>
          <w:szCs w:val="21"/>
        </w:rPr>
        <w:t xml:space="preserve">14.3 </w:t>
      </w:r>
      <w:r>
        <w:rPr>
          <w:rFonts w:hint="eastAsia" w:ascii="宋体" w:hAnsi="宋体" w:cs="宋体"/>
          <w:color w:val="000000"/>
          <w:kern w:val="0"/>
          <w:szCs w:val="21"/>
        </w:rPr>
        <w:t xml:space="preserve">买方未能按合同约定支付合同价款的，应向卖方支付延迟付款违约金。除专用合同条款另有约定外，迟延付款违约金的计算方法如下：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）从迟付的第一周到第四周，每周迟延付款违约金为迟延付款金额的 </w:t>
      </w:r>
      <w:r>
        <w:rPr>
          <w:color w:val="000000"/>
          <w:kern w:val="0"/>
          <w:szCs w:val="21"/>
        </w:rPr>
        <w:t>0.5%</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）从迟付的第五周到第八周，每周迟延付款违约金为迟延付款金额的 </w:t>
      </w:r>
      <w:r>
        <w:rPr>
          <w:color w:val="000000"/>
          <w:kern w:val="0"/>
          <w:szCs w:val="21"/>
        </w:rPr>
        <w:t>1%</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）从迟付第九周起，每周迟延付款违约金为迟延付款金额的 </w:t>
      </w:r>
      <w:r>
        <w:rPr>
          <w:color w:val="000000"/>
          <w:kern w:val="0"/>
          <w:szCs w:val="21"/>
        </w:rPr>
        <w:t>1.5%</w:t>
      </w:r>
      <w:r>
        <w:rPr>
          <w:rFonts w:hint="eastAsia" w:ascii="宋体" w:hAnsi="宋体" w:cs="宋体"/>
          <w:color w:val="000000"/>
          <w:kern w:val="0"/>
          <w:szCs w:val="21"/>
        </w:rPr>
        <w:t xml:space="preserve">。 </w:t>
      </w:r>
    </w:p>
    <w:p>
      <w:pPr>
        <w:widowControl/>
        <w:spacing w:line="480" w:lineRule="exact"/>
        <w:ind w:firstLine="420" w:firstLineChars="200"/>
        <w:jc w:val="left"/>
      </w:pPr>
      <w:r>
        <w:rPr>
          <w:rFonts w:hint="eastAsia" w:ascii="宋体" w:hAnsi="宋体" w:cs="宋体"/>
          <w:color w:val="000000"/>
          <w:kern w:val="0"/>
          <w:szCs w:val="21"/>
        </w:rPr>
        <w:t xml:space="preserve">在计算迟延付款违约金时，迟付不足一周的按一周计算。迟延付款违约金的总额不得超过合同价格的 </w:t>
      </w:r>
      <w:r>
        <w:rPr>
          <w:color w:val="000000"/>
          <w:kern w:val="0"/>
          <w:szCs w:val="21"/>
        </w:rPr>
        <w:t>10%</w:t>
      </w:r>
      <w:r>
        <w:rPr>
          <w:rFonts w:hint="eastAsia" w:ascii="宋体" w:hAnsi="宋体" w:cs="宋体"/>
          <w:color w:val="000000"/>
          <w:kern w:val="0"/>
          <w:szCs w:val="21"/>
        </w:rPr>
        <w:t xml:space="preserve">。 </w:t>
      </w:r>
    </w:p>
    <w:p>
      <w:pPr>
        <w:widowControl/>
        <w:spacing w:line="480" w:lineRule="exact"/>
        <w:ind w:firstLine="622" w:firstLineChars="200"/>
        <w:jc w:val="left"/>
      </w:pPr>
      <w:r>
        <w:rPr>
          <w:b/>
          <w:bCs/>
          <w:color w:val="000000"/>
          <w:kern w:val="0"/>
          <w:sz w:val="31"/>
          <w:szCs w:val="31"/>
        </w:rPr>
        <w:t xml:space="preserve">15. </w:t>
      </w:r>
      <w:r>
        <w:rPr>
          <w:rFonts w:hint="eastAsia" w:ascii="宋体" w:hAnsi="宋体" w:cs="宋体"/>
          <w:b/>
          <w:bCs/>
          <w:color w:val="000000"/>
          <w:kern w:val="0"/>
          <w:sz w:val="31"/>
          <w:szCs w:val="31"/>
        </w:rPr>
        <w:t xml:space="preserve">合同的解除 </w:t>
      </w:r>
    </w:p>
    <w:p>
      <w:pPr>
        <w:widowControl/>
        <w:spacing w:line="480" w:lineRule="exact"/>
        <w:ind w:firstLine="420" w:firstLineChars="200"/>
        <w:jc w:val="left"/>
      </w:pPr>
      <w:r>
        <w:rPr>
          <w:rFonts w:hint="eastAsia" w:ascii="宋体" w:hAnsi="宋体" w:cs="宋体"/>
          <w:color w:val="000000"/>
          <w:kern w:val="0"/>
          <w:szCs w:val="21"/>
        </w:rPr>
        <w:t xml:space="preserve">除专用合同条款另有约定外，有下述情形之一，当事人可发出书面通知全部或部分地解除合同，合同自通知到达对方时全部或部分地解除：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）卖方迟延交付合同设备超过 </w:t>
      </w:r>
      <w:r>
        <w:rPr>
          <w:color w:val="000000"/>
          <w:kern w:val="0"/>
          <w:szCs w:val="21"/>
        </w:rPr>
        <w:t xml:space="preserve">3 </w:t>
      </w:r>
      <w:r>
        <w:rPr>
          <w:rFonts w:hint="eastAsia" w:ascii="宋体" w:hAnsi="宋体" w:cs="宋体"/>
          <w:color w:val="000000"/>
          <w:kern w:val="0"/>
          <w:szCs w:val="21"/>
        </w:rPr>
        <w:t xml:space="preserve">个月；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 xml:space="preserve">）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3</w:t>
      </w:r>
      <w:r>
        <w:rPr>
          <w:rFonts w:hint="eastAsia" w:ascii="宋体" w:hAnsi="宋体" w:cs="宋体"/>
          <w:color w:val="000000"/>
          <w:kern w:val="0"/>
          <w:szCs w:val="21"/>
        </w:rPr>
        <w:t xml:space="preserve">）买方迟延付款超过 </w:t>
      </w:r>
      <w:r>
        <w:rPr>
          <w:color w:val="000000"/>
          <w:kern w:val="0"/>
          <w:szCs w:val="21"/>
        </w:rPr>
        <w:t xml:space="preserve">3 </w:t>
      </w:r>
      <w:r>
        <w:rPr>
          <w:rFonts w:hint="eastAsia" w:ascii="宋体" w:hAnsi="宋体" w:cs="宋体"/>
          <w:color w:val="000000"/>
          <w:kern w:val="0"/>
          <w:szCs w:val="21"/>
        </w:rPr>
        <w:t xml:space="preserve">个月；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4</w:t>
      </w:r>
      <w:r>
        <w:rPr>
          <w:rFonts w:hint="eastAsia" w:ascii="宋体" w:hAnsi="宋体" w:cs="宋体"/>
          <w:color w:val="000000"/>
          <w:kern w:val="0"/>
          <w:szCs w:val="21"/>
        </w:rPr>
        <w:t xml:space="preserve">）合同一方当事人未能履行合同项下任何其他义务（细微义务除外），或在未事先征得另一方当事人同意的情况下，从事任何可能在实质上不利影响其履行合同能力的活动，经另一方当事人书面通知后 </w:t>
      </w:r>
      <w:r>
        <w:rPr>
          <w:color w:val="000000"/>
          <w:kern w:val="0"/>
          <w:szCs w:val="21"/>
        </w:rPr>
        <w:t xml:space="preserve">14 </w:t>
      </w:r>
      <w:r>
        <w:rPr>
          <w:rFonts w:hint="eastAsia" w:ascii="宋体" w:hAnsi="宋体" w:cs="宋体"/>
          <w:color w:val="000000"/>
          <w:kern w:val="0"/>
          <w:szCs w:val="21"/>
        </w:rPr>
        <w:t xml:space="preserve">日内或在专用合同条款约定的其他期限内未能对其行为作出补救；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5</w:t>
      </w:r>
      <w:r>
        <w:rPr>
          <w:rFonts w:hint="eastAsia" w:ascii="宋体" w:hAnsi="宋体" w:cs="宋体"/>
          <w:color w:val="000000"/>
          <w:kern w:val="0"/>
          <w:szCs w:val="21"/>
        </w:rPr>
        <w:t>）合同一方当事人出现破产、清算、资不抵债、成为失信被执行人等可能丧失履约能力的情形，且未能提供令对方满意的履约保证金。</w:t>
      </w:r>
    </w:p>
    <w:p>
      <w:pPr>
        <w:widowControl/>
        <w:spacing w:line="480" w:lineRule="exact"/>
        <w:ind w:firstLine="420" w:firstLineChars="200"/>
        <w:jc w:val="left"/>
      </w:pPr>
    </w:p>
    <w:p>
      <w:pPr>
        <w:widowControl/>
        <w:spacing w:line="480" w:lineRule="exact"/>
        <w:ind w:firstLine="622" w:firstLineChars="200"/>
        <w:jc w:val="left"/>
      </w:pPr>
      <w:r>
        <w:rPr>
          <w:b/>
          <w:bCs/>
          <w:color w:val="000000"/>
          <w:kern w:val="0"/>
          <w:sz w:val="31"/>
          <w:szCs w:val="31"/>
        </w:rPr>
        <w:t xml:space="preserve">16. </w:t>
      </w:r>
      <w:r>
        <w:rPr>
          <w:rFonts w:hint="eastAsia" w:ascii="宋体" w:hAnsi="宋体" w:cs="宋体"/>
          <w:b/>
          <w:bCs/>
          <w:color w:val="000000"/>
          <w:kern w:val="0"/>
          <w:sz w:val="31"/>
          <w:szCs w:val="31"/>
        </w:rPr>
        <w:t xml:space="preserve">不可抗力 </w:t>
      </w:r>
    </w:p>
    <w:p>
      <w:pPr>
        <w:widowControl/>
        <w:spacing w:line="480" w:lineRule="exact"/>
        <w:ind w:firstLine="420" w:firstLineChars="200"/>
        <w:jc w:val="left"/>
      </w:pPr>
      <w:r>
        <w:rPr>
          <w:color w:val="000000"/>
          <w:kern w:val="0"/>
          <w:szCs w:val="21"/>
        </w:rPr>
        <w:t xml:space="preserve">16.1 </w:t>
      </w:r>
      <w:r>
        <w:rPr>
          <w:rFonts w:hint="eastAsia" w:ascii="宋体" w:hAnsi="宋体" w:cs="宋体"/>
          <w:color w:val="000000"/>
          <w:kern w:val="0"/>
          <w:szCs w:val="21"/>
        </w:rPr>
        <w:t xml:space="preserve">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w:t>
      </w:r>
      <w:r>
        <w:rPr>
          <w:color w:val="000000"/>
          <w:kern w:val="0"/>
          <w:szCs w:val="21"/>
        </w:rPr>
        <w:t xml:space="preserve">28 </w:t>
      </w:r>
      <w:r>
        <w:rPr>
          <w:rFonts w:hint="eastAsia" w:ascii="宋体" w:hAnsi="宋体" w:cs="宋体"/>
          <w:color w:val="000000"/>
          <w:kern w:val="0"/>
          <w:szCs w:val="21"/>
        </w:rPr>
        <w:t xml:space="preserve">日内将有关当局或机构出具的证明文件提交给另一方当事人。 </w:t>
      </w:r>
    </w:p>
    <w:p>
      <w:pPr>
        <w:widowControl/>
        <w:spacing w:line="480" w:lineRule="exact"/>
        <w:ind w:firstLine="420" w:firstLineChars="200"/>
        <w:jc w:val="left"/>
      </w:pPr>
      <w:r>
        <w:rPr>
          <w:color w:val="000000"/>
          <w:kern w:val="0"/>
          <w:szCs w:val="21"/>
        </w:rPr>
        <w:t xml:space="preserve">16.2 </w:t>
      </w:r>
      <w:r>
        <w:rPr>
          <w:rFonts w:hint="eastAsia" w:ascii="宋体" w:hAnsi="宋体" w:cs="宋体"/>
          <w:color w:val="000000"/>
          <w:kern w:val="0"/>
          <w:szCs w:val="21"/>
        </w:rPr>
        <w:t xml:space="preserve">受不可抗力事件影响的一方当事人对于不可抗力事件导致的任何合同义务的迟延履行或不能履行不承担违约责任。但该方当事人应尽快将不可抗力事件结束或消除的情况通知另一方当事人。 </w:t>
      </w:r>
    </w:p>
    <w:p>
      <w:pPr>
        <w:widowControl/>
        <w:spacing w:line="480" w:lineRule="exact"/>
        <w:ind w:firstLine="420" w:firstLineChars="200"/>
        <w:jc w:val="left"/>
      </w:pPr>
      <w:r>
        <w:rPr>
          <w:color w:val="000000"/>
          <w:kern w:val="0"/>
          <w:szCs w:val="21"/>
        </w:rPr>
        <w:t xml:space="preserve">16.3 </w:t>
      </w:r>
      <w:r>
        <w:rPr>
          <w:rFonts w:hint="eastAsia" w:ascii="宋体" w:hAnsi="宋体" w:cs="宋体"/>
          <w:color w:val="000000"/>
          <w:kern w:val="0"/>
          <w:szCs w:val="21"/>
        </w:rPr>
        <w:t xml:space="preserve">双方当事人应在不可抗力事件结束或其影响消除后立即继续履行其合同义务，合同期限也应相应顺延。除专用合同条款另有约定外，如果不可抗力事件的影响持续超过 </w:t>
      </w:r>
      <w:r>
        <w:rPr>
          <w:color w:val="000000"/>
          <w:kern w:val="0"/>
          <w:szCs w:val="21"/>
        </w:rPr>
        <w:t xml:space="preserve">140 </w:t>
      </w:r>
      <w:r>
        <w:rPr>
          <w:rFonts w:hint="eastAsia" w:ascii="宋体" w:hAnsi="宋体" w:cs="宋体"/>
          <w:color w:val="000000"/>
          <w:kern w:val="0"/>
          <w:szCs w:val="21"/>
        </w:rPr>
        <w:t xml:space="preserve">日，则任何一方当事人均有权以书面通知解除合同。 </w:t>
      </w:r>
    </w:p>
    <w:p>
      <w:pPr>
        <w:widowControl/>
        <w:spacing w:line="480" w:lineRule="exact"/>
        <w:ind w:firstLine="622" w:firstLineChars="200"/>
        <w:jc w:val="left"/>
      </w:pPr>
      <w:r>
        <w:rPr>
          <w:b/>
          <w:bCs/>
          <w:color w:val="000000"/>
          <w:kern w:val="0"/>
          <w:sz w:val="31"/>
          <w:szCs w:val="31"/>
        </w:rPr>
        <w:t xml:space="preserve">17. </w:t>
      </w:r>
      <w:r>
        <w:rPr>
          <w:rFonts w:hint="eastAsia" w:ascii="宋体" w:hAnsi="宋体" w:cs="宋体"/>
          <w:b/>
          <w:bCs/>
          <w:color w:val="000000"/>
          <w:kern w:val="0"/>
          <w:sz w:val="31"/>
          <w:szCs w:val="31"/>
        </w:rPr>
        <w:t xml:space="preserve">争议的解决 </w:t>
      </w:r>
    </w:p>
    <w:p>
      <w:pPr>
        <w:widowControl/>
        <w:spacing w:line="480" w:lineRule="exact"/>
        <w:ind w:firstLine="420" w:firstLineChars="200"/>
        <w:jc w:val="left"/>
      </w:pPr>
      <w:r>
        <w:rPr>
          <w:rFonts w:hint="eastAsia" w:ascii="宋体" w:hAnsi="宋体" w:cs="宋体"/>
          <w:color w:val="000000"/>
          <w:kern w:val="0"/>
          <w:szCs w:val="21"/>
        </w:rPr>
        <w:t>因本合同引起的或与本合同有关的任何争议</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双方可通过友好协商解决。友好协商解决不成的，可在专用合同条款中约定下列一种方式解决：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 xml:space="preserve">）向约定的仲裁委员会申请仲裁； </w:t>
      </w:r>
    </w:p>
    <w:p>
      <w:pPr>
        <w:widowControl/>
        <w:spacing w:line="480" w:lineRule="exact"/>
        <w:ind w:firstLine="420" w:firstLineChars="200"/>
        <w:jc w:val="left"/>
      </w:pPr>
      <w:r>
        <w:rPr>
          <w:rFonts w:hint="eastAsia" w:ascii="宋体" w:hAnsi="宋体" w:cs="宋体"/>
          <w:color w:val="000000"/>
          <w:kern w:val="0"/>
          <w:szCs w:val="21"/>
        </w:rPr>
        <w:t>（</w:t>
      </w:r>
      <w:r>
        <w:rPr>
          <w:color w:val="000000"/>
          <w:kern w:val="0"/>
          <w:szCs w:val="21"/>
        </w:rPr>
        <w:t>2</w:t>
      </w:r>
      <w:r>
        <w:rPr>
          <w:rFonts w:hint="eastAsia" w:ascii="宋体" w:hAnsi="宋体" w:cs="宋体"/>
          <w:color w:val="000000"/>
          <w:kern w:val="0"/>
          <w:szCs w:val="21"/>
        </w:rPr>
        <w:t>）向有管辖权的人民法院提起诉讼。</w:t>
      </w:r>
    </w:p>
    <w:p>
      <w:pPr>
        <w:spacing w:line="360" w:lineRule="auto"/>
        <w:ind w:firstLine="420" w:firstLineChars="200"/>
        <w:rPr>
          <w:szCs w:val="21"/>
        </w:rPr>
      </w:pPr>
    </w:p>
    <w:p>
      <w:pPr>
        <w:spacing w:line="360" w:lineRule="auto"/>
        <w:rPr>
          <w:rFonts w:hint="eastAsia" w:eastAsia="楷体"/>
          <w:color w:val="548DD4"/>
          <w:shd w:val="clear" w:color="auto" w:fill="FFFFFF"/>
        </w:rPr>
      </w:pPr>
    </w:p>
    <w:p>
      <w:pPr>
        <w:pStyle w:val="3"/>
        <w:ind w:firstLine="643" w:firstLineChars="200"/>
        <w:jc w:val="center"/>
        <w:rPr>
          <w:rFonts w:hint="eastAsia" w:ascii="Times New Roman" w:hAnsi="Times New Roman"/>
          <w:color w:val="000000"/>
        </w:rPr>
      </w:pPr>
      <w:bookmarkStart w:id="399" w:name="_Toc15928659"/>
      <w:bookmarkStart w:id="400" w:name="_Toc501460712"/>
      <w:r>
        <w:rPr>
          <w:rFonts w:ascii="Times New Roman" w:hAnsi="Times New Roman"/>
          <w:color w:val="000000"/>
        </w:rPr>
        <w:br w:type="page"/>
      </w:r>
      <w:bookmarkStart w:id="401" w:name="_Toc26781098"/>
      <w:r>
        <w:rPr>
          <w:rFonts w:ascii="Times New Roman" w:hAnsi="Times New Roman"/>
          <w:color w:val="000000"/>
        </w:rPr>
        <w:t>第二节</w:t>
      </w:r>
      <w:r>
        <w:rPr>
          <w:rFonts w:hint="eastAsia" w:ascii="Times New Roman" w:hAnsi="Times New Roman"/>
          <w:color w:val="000000"/>
        </w:rPr>
        <w:t xml:space="preserve">  </w:t>
      </w:r>
      <w:r>
        <w:rPr>
          <w:rFonts w:ascii="Times New Roman" w:hAnsi="Times New Roman"/>
          <w:color w:val="000000"/>
        </w:rPr>
        <w:t>专用合同条款</w:t>
      </w:r>
      <w:bookmarkEnd w:id="399"/>
      <w:bookmarkEnd w:id="400"/>
      <w:bookmarkEnd w:id="401"/>
    </w:p>
    <w:p>
      <w:pPr>
        <w:spacing w:line="440" w:lineRule="exact"/>
        <w:ind w:firstLine="442" w:firstLineChars="200"/>
        <w:rPr>
          <w:b/>
          <w:bCs/>
          <w:sz w:val="22"/>
          <w:szCs w:val="22"/>
        </w:rPr>
      </w:pPr>
      <w:r>
        <w:rPr>
          <w:b/>
          <w:bCs/>
          <w:sz w:val="22"/>
          <w:szCs w:val="22"/>
        </w:rPr>
        <w:t>招标人（甲方）：</w:t>
      </w:r>
    </w:p>
    <w:p>
      <w:pPr>
        <w:spacing w:line="440" w:lineRule="exact"/>
        <w:ind w:firstLine="442" w:firstLineChars="200"/>
        <w:rPr>
          <w:b/>
          <w:bCs/>
          <w:sz w:val="22"/>
          <w:szCs w:val="22"/>
          <w:u w:val="single"/>
        </w:rPr>
      </w:pPr>
      <w:r>
        <w:rPr>
          <w:b/>
          <w:bCs/>
          <w:sz w:val="22"/>
          <w:szCs w:val="22"/>
        </w:rPr>
        <w:t>供货人（乙方）：</w:t>
      </w:r>
    </w:p>
    <w:p>
      <w:pPr>
        <w:spacing w:line="440" w:lineRule="exact"/>
        <w:ind w:firstLine="442" w:firstLineChars="200"/>
        <w:rPr>
          <w:b/>
          <w:bCs/>
          <w:sz w:val="22"/>
          <w:szCs w:val="22"/>
          <w:u w:val="single"/>
        </w:rPr>
      </w:pPr>
      <w:r>
        <w:rPr>
          <w:b/>
          <w:bCs/>
          <w:sz w:val="22"/>
          <w:szCs w:val="22"/>
        </w:rPr>
        <w:t>签订地点：</w:t>
      </w:r>
    </w:p>
    <w:p>
      <w:pPr>
        <w:spacing w:line="440" w:lineRule="exact"/>
        <w:ind w:firstLine="442" w:firstLineChars="200"/>
        <w:rPr>
          <w:b/>
          <w:bCs/>
          <w:sz w:val="22"/>
          <w:szCs w:val="22"/>
        </w:rPr>
      </w:pPr>
      <w:r>
        <w:rPr>
          <w:b/>
          <w:bCs/>
          <w:sz w:val="22"/>
          <w:szCs w:val="22"/>
        </w:rPr>
        <w:t xml:space="preserve">项目名称： </w:t>
      </w:r>
    </w:p>
    <w:p>
      <w:pPr>
        <w:spacing w:line="440" w:lineRule="exact"/>
        <w:ind w:firstLine="442" w:firstLineChars="200"/>
        <w:rPr>
          <w:b/>
          <w:bCs/>
          <w:sz w:val="22"/>
          <w:szCs w:val="22"/>
          <w:u w:val="single"/>
        </w:rPr>
      </w:pPr>
      <w:r>
        <w:rPr>
          <w:b/>
          <w:bCs/>
          <w:sz w:val="22"/>
          <w:szCs w:val="22"/>
        </w:rPr>
        <w:t>项目编号：</w:t>
      </w:r>
    </w:p>
    <w:p>
      <w:pPr>
        <w:spacing w:line="440" w:lineRule="exact"/>
        <w:ind w:firstLine="422" w:firstLineChars="192"/>
        <w:rPr>
          <w:sz w:val="22"/>
          <w:szCs w:val="22"/>
        </w:rPr>
      </w:pPr>
      <w:r>
        <w:rPr>
          <w:sz w:val="22"/>
          <w:szCs w:val="22"/>
        </w:rPr>
        <w:t>本项目采用</w:t>
      </w:r>
      <w:r>
        <w:rPr>
          <w:color w:val="FF0000"/>
          <w:sz w:val="22"/>
          <w:szCs w:val="22"/>
          <w:u w:val="single"/>
        </w:rPr>
        <w:t>公开招标</w:t>
      </w:r>
      <w:r>
        <w:rPr>
          <w:sz w:val="22"/>
          <w:szCs w:val="22"/>
        </w:rPr>
        <w:t>方式，经本项目评审委员会认真评审，决定将合同授予乙方。为进一步明确双方的责任，确保合同的顺利履行，根据《中华人民共和国</w:t>
      </w:r>
      <w:r>
        <w:rPr>
          <w:rFonts w:hint="eastAsia"/>
          <w:sz w:val="22"/>
          <w:szCs w:val="22"/>
        </w:rPr>
        <w:t>民法典</w:t>
      </w:r>
      <w:r>
        <w:rPr>
          <w:sz w:val="22"/>
          <w:szCs w:val="22"/>
        </w:rPr>
        <w:t>》之规定及招标文件、中标（成交）通知书等相关资料的要求，经甲乙双方充分协商，特订立本合同，以便共同遵守。</w:t>
      </w:r>
    </w:p>
    <w:p>
      <w:pPr>
        <w:spacing w:line="440" w:lineRule="exact"/>
        <w:rPr>
          <w:color w:val="FF0000"/>
          <w:sz w:val="22"/>
          <w:szCs w:val="22"/>
          <w:u w:val="single"/>
        </w:rPr>
      </w:pPr>
      <w:r>
        <w:rPr>
          <w:b/>
          <w:bCs/>
          <w:sz w:val="22"/>
          <w:szCs w:val="22"/>
        </w:rPr>
        <w:t>第一条</w:t>
      </w:r>
      <w:r>
        <w:rPr>
          <w:sz w:val="22"/>
          <w:szCs w:val="22"/>
        </w:rPr>
        <w:t xml:space="preserve">  </w:t>
      </w:r>
      <w:r>
        <w:rPr>
          <w:b/>
          <w:bCs/>
          <w:sz w:val="22"/>
          <w:szCs w:val="22"/>
        </w:rPr>
        <w:t>设备名称、品牌、型号、规格、数量（详见供货一览表）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881"/>
        <w:gridCol w:w="861"/>
        <w:gridCol w:w="1108"/>
        <w:gridCol w:w="1058"/>
        <w:gridCol w:w="984"/>
        <w:gridCol w:w="78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jc w:val="center"/>
              <w:rPr>
                <w:sz w:val="22"/>
                <w:szCs w:val="22"/>
              </w:rPr>
            </w:pPr>
            <w:r>
              <w:rPr>
                <w:sz w:val="22"/>
                <w:szCs w:val="22"/>
              </w:rPr>
              <w:t>设备名称</w:t>
            </w:r>
          </w:p>
        </w:tc>
        <w:tc>
          <w:tcPr>
            <w:tcW w:w="2881" w:type="dxa"/>
          </w:tcPr>
          <w:p>
            <w:pPr>
              <w:spacing w:line="400" w:lineRule="exact"/>
              <w:jc w:val="center"/>
              <w:rPr>
                <w:sz w:val="22"/>
                <w:szCs w:val="22"/>
              </w:rPr>
            </w:pPr>
            <w:r>
              <w:rPr>
                <w:sz w:val="22"/>
                <w:szCs w:val="22"/>
              </w:rPr>
              <w:t>规格型号</w:t>
            </w:r>
          </w:p>
        </w:tc>
        <w:tc>
          <w:tcPr>
            <w:tcW w:w="861" w:type="dxa"/>
          </w:tcPr>
          <w:p>
            <w:pPr>
              <w:spacing w:line="400" w:lineRule="exact"/>
              <w:jc w:val="center"/>
              <w:rPr>
                <w:sz w:val="22"/>
                <w:szCs w:val="22"/>
              </w:rPr>
            </w:pPr>
            <w:r>
              <w:rPr>
                <w:sz w:val="22"/>
                <w:szCs w:val="22"/>
              </w:rPr>
              <w:t>单位</w:t>
            </w:r>
          </w:p>
        </w:tc>
        <w:tc>
          <w:tcPr>
            <w:tcW w:w="1108" w:type="dxa"/>
          </w:tcPr>
          <w:p>
            <w:pPr>
              <w:spacing w:line="400" w:lineRule="exact"/>
              <w:jc w:val="center"/>
              <w:rPr>
                <w:sz w:val="22"/>
                <w:szCs w:val="22"/>
              </w:rPr>
            </w:pPr>
            <w:r>
              <w:rPr>
                <w:sz w:val="22"/>
                <w:szCs w:val="22"/>
              </w:rPr>
              <w:t>数量</w:t>
            </w:r>
          </w:p>
        </w:tc>
        <w:tc>
          <w:tcPr>
            <w:tcW w:w="1058" w:type="dxa"/>
          </w:tcPr>
          <w:p>
            <w:pPr>
              <w:spacing w:line="400" w:lineRule="exact"/>
              <w:jc w:val="center"/>
              <w:rPr>
                <w:sz w:val="22"/>
                <w:szCs w:val="22"/>
              </w:rPr>
            </w:pPr>
            <w:r>
              <w:rPr>
                <w:sz w:val="22"/>
                <w:szCs w:val="22"/>
              </w:rPr>
              <w:t>单价</w:t>
            </w:r>
          </w:p>
        </w:tc>
        <w:tc>
          <w:tcPr>
            <w:tcW w:w="984" w:type="dxa"/>
          </w:tcPr>
          <w:p>
            <w:pPr>
              <w:spacing w:line="400" w:lineRule="exact"/>
              <w:jc w:val="center"/>
              <w:rPr>
                <w:sz w:val="22"/>
                <w:szCs w:val="22"/>
              </w:rPr>
            </w:pPr>
            <w:r>
              <w:rPr>
                <w:sz w:val="22"/>
                <w:szCs w:val="22"/>
              </w:rPr>
              <w:t>小计</w:t>
            </w:r>
          </w:p>
        </w:tc>
        <w:tc>
          <w:tcPr>
            <w:tcW w:w="787" w:type="dxa"/>
          </w:tcPr>
          <w:p>
            <w:pPr>
              <w:spacing w:line="400" w:lineRule="exact"/>
              <w:jc w:val="center"/>
              <w:rPr>
                <w:sz w:val="22"/>
                <w:szCs w:val="22"/>
              </w:rPr>
            </w:pPr>
            <w:r>
              <w:rPr>
                <w:sz w:val="22"/>
                <w:szCs w:val="22"/>
              </w:rPr>
              <w:t>品牌</w:t>
            </w:r>
          </w:p>
        </w:tc>
        <w:tc>
          <w:tcPr>
            <w:tcW w:w="787" w:type="dxa"/>
          </w:tcPr>
          <w:p>
            <w:pPr>
              <w:spacing w:line="400" w:lineRule="exact"/>
              <w:jc w:val="center"/>
              <w:rPr>
                <w:sz w:val="22"/>
                <w:szCs w:val="22"/>
              </w:rPr>
            </w:pPr>
            <w:r>
              <w:rPr>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rPr>
                <w:sz w:val="22"/>
                <w:szCs w:val="22"/>
              </w:rPr>
            </w:pPr>
          </w:p>
        </w:tc>
        <w:tc>
          <w:tcPr>
            <w:tcW w:w="2881" w:type="dxa"/>
          </w:tcPr>
          <w:p>
            <w:pPr>
              <w:spacing w:line="400" w:lineRule="exact"/>
              <w:rPr>
                <w:sz w:val="22"/>
                <w:szCs w:val="22"/>
              </w:rPr>
            </w:pPr>
          </w:p>
        </w:tc>
        <w:tc>
          <w:tcPr>
            <w:tcW w:w="861" w:type="dxa"/>
          </w:tcPr>
          <w:p>
            <w:pPr>
              <w:spacing w:line="400" w:lineRule="exact"/>
              <w:rPr>
                <w:sz w:val="22"/>
                <w:szCs w:val="22"/>
              </w:rPr>
            </w:pPr>
          </w:p>
        </w:tc>
        <w:tc>
          <w:tcPr>
            <w:tcW w:w="1108" w:type="dxa"/>
          </w:tcPr>
          <w:p>
            <w:pPr>
              <w:spacing w:line="400" w:lineRule="exact"/>
              <w:rPr>
                <w:sz w:val="22"/>
                <w:szCs w:val="22"/>
              </w:rPr>
            </w:pPr>
          </w:p>
        </w:tc>
        <w:tc>
          <w:tcPr>
            <w:tcW w:w="1058" w:type="dxa"/>
          </w:tcPr>
          <w:p>
            <w:pPr>
              <w:spacing w:line="400" w:lineRule="exact"/>
              <w:rPr>
                <w:sz w:val="22"/>
                <w:szCs w:val="22"/>
              </w:rPr>
            </w:pPr>
          </w:p>
        </w:tc>
        <w:tc>
          <w:tcPr>
            <w:tcW w:w="984" w:type="dxa"/>
          </w:tcPr>
          <w:p>
            <w:pPr>
              <w:spacing w:line="400" w:lineRule="exact"/>
              <w:rPr>
                <w:sz w:val="22"/>
                <w:szCs w:val="22"/>
              </w:rPr>
            </w:pPr>
          </w:p>
        </w:tc>
        <w:tc>
          <w:tcPr>
            <w:tcW w:w="787" w:type="dxa"/>
          </w:tcPr>
          <w:p>
            <w:pPr>
              <w:spacing w:line="400" w:lineRule="exact"/>
              <w:rPr>
                <w:sz w:val="22"/>
                <w:szCs w:val="22"/>
              </w:rPr>
            </w:pPr>
          </w:p>
        </w:tc>
        <w:tc>
          <w:tcPr>
            <w:tcW w:w="787" w:type="dxa"/>
          </w:tcPr>
          <w:p>
            <w:pPr>
              <w:spacing w:line="40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rPr>
                <w:sz w:val="22"/>
                <w:szCs w:val="22"/>
              </w:rPr>
            </w:pPr>
          </w:p>
        </w:tc>
        <w:tc>
          <w:tcPr>
            <w:tcW w:w="2881" w:type="dxa"/>
          </w:tcPr>
          <w:p>
            <w:pPr>
              <w:spacing w:line="400" w:lineRule="exact"/>
              <w:rPr>
                <w:sz w:val="22"/>
                <w:szCs w:val="22"/>
              </w:rPr>
            </w:pPr>
          </w:p>
        </w:tc>
        <w:tc>
          <w:tcPr>
            <w:tcW w:w="861" w:type="dxa"/>
          </w:tcPr>
          <w:p>
            <w:pPr>
              <w:spacing w:line="400" w:lineRule="exact"/>
              <w:rPr>
                <w:sz w:val="22"/>
                <w:szCs w:val="22"/>
              </w:rPr>
            </w:pPr>
          </w:p>
        </w:tc>
        <w:tc>
          <w:tcPr>
            <w:tcW w:w="1108" w:type="dxa"/>
          </w:tcPr>
          <w:p>
            <w:pPr>
              <w:spacing w:line="400" w:lineRule="exact"/>
              <w:rPr>
                <w:sz w:val="22"/>
                <w:szCs w:val="22"/>
              </w:rPr>
            </w:pPr>
          </w:p>
        </w:tc>
        <w:tc>
          <w:tcPr>
            <w:tcW w:w="1058" w:type="dxa"/>
          </w:tcPr>
          <w:p>
            <w:pPr>
              <w:spacing w:line="400" w:lineRule="exact"/>
              <w:rPr>
                <w:sz w:val="22"/>
                <w:szCs w:val="22"/>
              </w:rPr>
            </w:pPr>
          </w:p>
        </w:tc>
        <w:tc>
          <w:tcPr>
            <w:tcW w:w="984" w:type="dxa"/>
          </w:tcPr>
          <w:p>
            <w:pPr>
              <w:spacing w:line="400" w:lineRule="exact"/>
              <w:rPr>
                <w:sz w:val="22"/>
                <w:szCs w:val="22"/>
              </w:rPr>
            </w:pPr>
          </w:p>
        </w:tc>
        <w:tc>
          <w:tcPr>
            <w:tcW w:w="787" w:type="dxa"/>
          </w:tcPr>
          <w:p>
            <w:pPr>
              <w:spacing w:line="400" w:lineRule="exact"/>
              <w:rPr>
                <w:sz w:val="22"/>
                <w:szCs w:val="22"/>
              </w:rPr>
            </w:pPr>
          </w:p>
        </w:tc>
        <w:tc>
          <w:tcPr>
            <w:tcW w:w="787" w:type="dxa"/>
          </w:tcPr>
          <w:p>
            <w:pPr>
              <w:spacing w:line="40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rPr>
                <w:sz w:val="22"/>
                <w:szCs w:val="22"/>
              </w:rPr>
            </w:pPr>
          </w:p>
        </w:tc>
        <w:tc>
          <w:tcPr>
            <w:tcW w:w="2881" w:type="dxa"/>
          </w:tcPr>
          <w:p>
            <w:pPr>
              <w:spacing w:line="400" w:lineRule="exact"/>
              <w:rPr>
                <w:sz w:val="22"/>
                <w:szCs w:val="22"/>
              </w:rPr>
            </w:pPr>
          </w:p>
        </w:tc>
        <w:tc>
          <w:tcPr>
            <w:tcW w:w="861" w:type="dxa"/>
          </w:tcPr>
          <w:p>
            <w:pPr>
              <w:spacing w:line="400" w:lineRule="exact"/>
              <w:rPr>
                <w:sz w:val="22"/>
                <w:szCs w:val="22"/>
              </w:rPr>
            </w:pPr>
          </w:p>
        </w:tc>
        <w:tc>
          <w:tcPr>
            <w:tcW w:w="1108" w:type="dxa"/>
          </w:tcPr>
          <w:p>
            <w:pPr>
              <w:spacing w:line="400" w:lineRule="exact"/>
              <w:rPr>
                <w:sz w:val="22"/>
                <w:szCs w:val="22"/>
              </w:rPr>
            </w:pPr>
          </w:p>
        </w:tc>
        <w:tc>
          <w:tcPr>
            <w:tcW w:w="1058" w:type="dxa"/>
          </w:tcPr>
          <w:p>
            <w:pPr>
              <w:spacing w:line="400" w:lineRule="exact"/>
              <w:rPr>
                <w:sz w:val="22"/>
                <w:szCs w:val="22"/>
              </w:rPr>
            </w:pPr>
          </w:p>
        </w:tc>
        <w:tc>
          <w:tcPr>
            <w:tcW w:w="984" w:type="dxa"/>
          </w:tcPr>
          <w:p>
            <w:pPr>
              <w:spacing w:line="400" w:lineRule="exact"/>
              <w:rPr>
                <w:sz w:val="22"/>
                <w:szCs w:val="22"/>
              </w:rPr>
            </w:pPr>
          </w:p>
        </w:tc>
        <w:tc>
          <w:tcPr>
            <w:tcW w:w="787" w:type="dxa"/>
          </w:tcPr>
          <w:p>
            <w:pPr>
              <w:spacing w:line="400" w:lineRule="exact"/>
              <w:rPr>
                <w:sz w:val="22"/>
                <w:szCs w:val="22"/>
              </w:rPr>
            </w:pPr>
          </w:p>
        </w:tc>
        <w:tc>
          <w:tcPr>
            <w:tcW w:w="787" w:type="dxa"/>
          </w:tcPr>
          <w:p>
            <w:pPr>
              <w:spacing w:line="40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rPr>
                <w:sz w:val="22"/>
                <w:szCs w:val="22"/>
              </w:rPr>
            </w:pPr>
          </w:p>
        </w:tc>
        <w:tc>
          <w:tcPr>
            <w:tcW w:w="2881" w:type="dxa"/>
          </w:tcPr>
          <w:p>
            <w:pPr>
              <w:spacing w:line="400" w:lineRule="exact"/>
              <w:rPr>
                <w:sz w:val="22"/>
                <w:szCs w:val="22"/>
              </w:rPr>
            </w:pPr>
          </w:p>
        </w:tc>
        <w:tc>
          <w:tcPr>
            <w:tcW w:w="861" w:type="dxa"/>
          </w:tcPr>
          <w:p>
            <w:pPr>
              <w:spacing w:line="400" w:lineRule="exact"/>
              <w:rPr>
                <w:sz w:val="22"/>
                <w:szCs w:val="22"/>
              </w:rPr>
            </w:pPr>
          </w:p>
        </w:tc>
        <w:tc>
          <w:tcPr>
            <w:tcW w:w="1108" w:type="dxa"/>
          </w:tcPr>
          <w:p>
            <w:pPr>
              <w:spacing w:line="400" w:lineRule="exact"/>
              <w:rPr>
                <w:sz w:val="22"/>
                <w:szCs w:val="22"/>
              </w:rPr>
            </w:pPr>
          </w:p>
        </w:tc>
        <w:tc>
          <w:tcPr>
            <w:tcW w:w="1058" w:type="dxa"/>
          </w:tcPr>
          <w:p>
            <w:pPr>
              <w:spacing w:line="400" w:lineRule="exact"/>
              <w:rPr>
                <w:sz w:val="22"/>
                <w:szCs w:val="22"/>
              </w:rPr>
            </w:pPr>
          </w:p>
        </w:tc>
        <w:tc>
          <w:tcPr>
            <w:tcW w:w="984" w:type="dxa"/>
          </w:tcPr>
          <w:p>
            <w:pPr>
              <w:spacing w:line="400" w:lineRule="exact"/>
              <w:rPr>
                <w:sz w:val="22"/>
                <w:szCs w:val="22"/>
              </w:rPr>
            </w:pPr>
          </w:p>
        </w:tc>
        <w:tc>
          <w:tcPr>
            <w:tcW w:w="787" w:type="dxa"/>
          </w:tcPr>
          <w:p>
            <w:pPr>
              <w:spacing w:line="400" w:lineRule="exact"/>
              <w:rPr>
                <w:sz w:val="22"/>
                <w:szCs w:val="22"/>
              </w:rPr>
            </w:pPr>
          </w:p>
        </w:tc>
        <w:tc>
          <w:tcPr>
            <w:tcW w:w="787" w:type="dxa"/>
          </w:tcPr>
          <w:p>
            <w:pPr>
              <w:spacing w:line="40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97" w:type="dxa"/>
          </w:tcPr>
          <w:p>
            <w:pPr>
              <w:spacing w:line="400" w:lineRule="exact"/>
              <w:rPr>
                <w:sz w:val="22"/>
                <w:szCs w:val="22"/>
              </w:rPr>
            </w:pPr>
          </w:p>
        </w:tc>
        <w:tc>
          <w:tcPr>
            <w:tcW w:w="2881" w:type="dxa"/>
          </w:tcPr>
          <w:p>
            <w:pPr>
              <w:spacing w:line="400" w:lineRule="exact"/>
              <w:rPr>
                <w:sz w:val="22"/>
                <w:szCs w:val="22"/>
              </w:rPr>
            </w:pPr>
          </w:p>
        </w:tc>
        <w:tc>
          <w:tcPr>
            <w:tcW w:w="861" w:type="dxa"/>
          </w:tcPr>
          <w:p>
            <w:pPr>
              <w:spacing w:line="400" w:lineRule="exact"/>
              <w:rPr>
                <w:sz w:val="22"/>
                <w:szCs w:val="22"/>
              </w:rPr>
            </w:pPr>
          </w:p>
        </w:tc>
        <w:tc>
          <w:tcPr>
            <w:tcW w:w="1108" w:type="dxa"/>
          </w:tcPr>
          <w:p>
            <w:pPr>
              <w:spacing w:line="400" w:lineRule="exact"/>
              <w:rPr>
                <w:sz w:val="22"/>
                <w:szCs w:val="22"/>
              </w:rPr>
            </w:pPr>
          </w:p>
        </w:tc>
        <w:tc>
          <w:tcPr>
            <w:tcW w:w="1058" w:type="dxa"/>
          </w:tcPr>
          <w:p>
            <w:pPr>
              <w:spacing w:line="400" w:lineRule="exact"/>
              <w:rPr>
                <w:sz w:val="22"/>
                <w:szCs w:val="22"/>
              </w:rPr>
            </w:pPr>
          </w:p>
        </w:tc>
        <w:tc>
          <w:tcPr>
            <w:tcW w:w="984" w:type="dxa"/>
          </w:tcPr>
          <w:p>
            <w:pPr>
              <w:spacing w:line="400" w:lineRule="exact"/>
              <w:rPr>
                <w:sz w:val="22"/>
                <w:szCs w:val="22"/>
              </w:rPr>
            </w:pPr>
          </w:p>
        </w:tc>
        <w:tc>
          <w:tcPr>
            <w:tcW w:w="787" w:type="dxa"/>
          </w:tcPr>
          <w:p>
            <w:pPr>
              <w:spacing w:line="400" w:lineRule="exact"/>
              <w:rPr>
                <w:sz w:val="22"/>
                <w:szCs w:val="22"/>
              </w:rPr>
            </w:pPr>
          </w:p>
        </w:tc>
        <w:tc>
          <w:tcPr>
            <w:tcW w:w="787" w:type="dxa"/>
          </w:tcPr>
          <w:p>
            <w:pPr>
              <w:spacing w:line="40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97" w:type="dxa"/>
          </w:tcPr>
          <w:p>
            <w:pPr>
              <w:spacing w:line="400" w:lineRule="exact"/>
              <w:rPr>
                <w:sz w:val="22"/>
                <w:szCs w:val="22"/>
              </w:rPr>
            </w:pPr>
            <w:r>
              <w:rPr>
                <w:sz w:val="22"/>
                <w:szCs w:val="22"/>
              </w:rPr>
              <w:t>总合计</w:t>
            </w:r>
          </w:p>
        </w:tc>
        <w:tc>
          <w:tcPr>
            <w:tcW w:w="8466" w:type="dxa"/>
            <w:gridSpan w:val="7"/>
          </w:tcPr>
          <w:p>
            <w:pPr>
              <w:spacing w:line="400" w:lineRule="exact"/>
              <w:rPr>
                <w:sz w:val="22"/>
                <w:szCs w:val="22"/>
                <w:u w:val="single"/>
              </w:rPr>
            </w:pPr>
            <w:r>
              <w:rPr>
                <w:sz w:val="22"/>
                <w:szCs w:val="22"/>
                <w:u w:val="single"/>
              </w:rPr>
              <w:t xml:space="preserve">大写：                        小写：                   </w:t>
            </w:r>
          </w:p>
        </w:tc>
      </w:tr>
    </w:tbl>
    <w:p>
      <w:pPr>
        <w:spacing w:line="440" w:lineRule="exact"/>
        <w:rPr>
          <w:b/>
          <w:bCs/>
          <w:sz w:val="22"/>
          <w:szCs w:val="22"/>
        </w:rPr>
      </w:pPr>
      <w:r>
        <w:rPr>
          <w:b/>
          <w:bCs/>
          <w:sz w:val="22"/>
          <w:szCs w:val="22"/>
        </w:rPr>
        <w:t>第二条  合同总价款</w:t>
      </w:r>
    </w:p>
    <w:p>
      <w:pPr>
        <w:spacing w:line="360" w:lineRule="auto"/>
        <w:ind w:firstLine="442" w:firstLineChars="200"/>
        <w:rPr>
          <w:rFonts w:hint="eastAsia" w:ascii="宋体" w:hAnsi="宋体" w:cs="宋体"/>
          <w:sz w:val="22"/>
          <w:szCs w:val="22"/>
        </w:rPr>
      </w:pPr>
      <w:r>
        <w:rPr>
          <w:rFonts w:hint="eastAsia" w:ascii="宋体" w:hAnsi="宋体" w:cs="宋体"/>
          <w:b/>
          <w:bCs/>
          <w:sz w:val="22"/>
          <w:szCs w:val="22"/>
        </w:rPr>
        <w:t>1、</w:t>
      </w:r>
      <w:r>
        <w:rPr>
          <w:rFonts w:hint="eastAsia" w:ascii="宋体" w:hAnsi="宋体" w:cs="宋体"/>
          <w:sz w:val="22"/>
          <w:szCs w:val="22"/>
        </w:rPr>
        <w:t>合同总价（含税）：（人民币）大写</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增值税税率为：</w:t>
      </w:r>
      <w:r>
        <w:rPr>
          <w:rFonts w:hint="eastAsia" w:ascii="宋体" w:hAnsi="宋体" w:cs="宋体"/>
          <w:sz w:val="22"/>
          <w:szCs w:val="22"/>
          <w:highlight w:val="yellow"/>
          <w:u w:val="single"/>
        </w:rPr>
        <w:t>13%</w:t>
      </w:r>
      <w:r>
        <w:rPr>
          <w:rFonts w:hint="eastAsia" w:ascii="宋体" w:hAnsi="宋体" w:cs="宋体"/>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总价应包括材料（主要及辅助材料）及设备的生产（购买）、包装、运输、装卸、加工（含加工过程中的主要及辅助材料损耗）、施工（含施工过程中的主要及辅助材料损耗）、检测、验收、维保、培训、利润、税金、安全经费、文明施工费、临时设施费、环保费及其他相关施工措施费用和技术措施费用、规费等全部费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3.本项目为总价合同，乙方须完成图纸、清单、答疑等招标范围内的所有内容。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4.结算方式：</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结算价=合同总价-暂列金额+其他</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其他是指增减工程量涉及价款调整、增值税税率调整（执行国家、省市相关文件调整）等。</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5.增减工程量的综合单价确定原则：</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（1）已标价清单中有相同子目的，利用其综合单价；</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（2）已标价清单中有相似子目的，参照其综合单价；</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（3）已标价清单中没有可利用子目的，按施工当期市场价格并结合投标降幅考虑其综合单价。</w:t>
      </w:r>
    </w:p>
    <w:p>
      <w:pPr>
        <w:spacing w:line="360" w:lineRule="auto"/>
        <w:rPr>
          <w:rFonts w:hint="eastAsia" w:ascii="宋体" w:hAnsi="宋体" w:cs="宋体"/>
          <w:b/>
          <w:bCs/>
          <w:sz w:val="22"/>
          <w:szCs w:val="22"/>
        </w:rPr>
      </w:pPr>
      <w:r>
        <w:rPr>
          <w:rFonts w:hint="eastAsia" w:ascii="宋体" w:hAnsi="宋体" w:cs="宋体"/>
          <w:b/>
          <w:bCs/>
          <w:sz w:val="22"/>
          <w:szCs w:val="22"/>
        </w:rPr>
        <w:t>第三条 产品的技术标准（包括质量要求），按下列第（①）项执行：</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①按国家标准执行；②按部颁标准执行；③若无以上标准，则应不低于同行业质量标准；④有特殊要求的，按甲乙双方在合同中商定的技术条件、样品或补充的技术要求执行；乙方提供和交付的货物技术标准应与招标文件规定的技术标准相一致。若技术标准中无相应规定，所投货物应符合相应的国际标准或原产地国家有关部门最新颁布的相应的正式标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进口产品的质量标准为</w:t>
      </w:r>
      <w:r>
        <w:rPr>
          <w:rFonts w:hint="eastAsia" w:ascii="宋体" w:hAnsi="宋体" w:cs="宋体"/>
          <w:sz w:val="22"/>
          <w:szCs w:val="22"/>
          <w:u w:val="single"/>
        </w:rPr>
        <w:t xml:space="preserve"> 合格</w:t>
      </w:r>
      <w:r>
        <w:rPr>
          <w:rFonts w:hint="eastAsia" w:ascii="宋体" w:hAnsi="宋体" w:cs="宋体"/>
          <w:sz w:val="22"/>
          <w:szCs w:val="22"/>
        </w:rPr>
        <w:t xml:space="preserve">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line="360" w:lineRule="auto"/>
        <w:rPr>
          <w:rFonts w:hint="eastAsia" w:ascii="宋体" w:hAnsi="宋体" w:cs="宋体"/>
          <w:b/>
          <w:bCs/>
          <w:sz w:val="22"/>
          <w:szCs w:val="22"/>
        </w:rPr>
      </w:pPr>
      <w:r>
        <w:rPr>
          <w:rFonts w:hint="eastAsia" w:ascii="宋体" w:hAnsi="宋体" w:cs="宋体"/>
          <w:b/>
          <w:bCs/>
          <w:sz w:val="22"/>
          <w:szCs w:val="22"/>
        </w:rPr>
        <w:t>第四条 包装、运输、保险</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1、乙方所供货物的制造商原装出厂包装箱号与设备出厂批号一致。</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2、包装必须与运输方式相适应，包装方式的确定及包装费用均由乙方负责，由于不适当的包装而造成货物在运输过程中有任何损坏、丢失由乙方负责。</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3、包装应足以承受整个过程中的运输、转运、贮存等，并考虑合肥市</w:t>
      </w:r>
      <w:r>
        <w:rPr>
          <w:rFonts w:hint="eastAsia" w:ascii="宋体" w:hAnsi="宋体" w:cs="宋体"/>
          <w:sz w:val="22"/>
          <w:szCs w:val="22"/>
          <w:lang w:eastAsia="zh-CN"/>
        </w:rPr>
        <w:t>地区</w:t>
      </w:r>
      <w:r>
        <w:rPr>
          <w:rFonts w:hint="eastAsia" w:ascii="宋体" w:hAnsi="宋体" w:cs="宋体"/>
          <w:sz w:val="22"/>
          <w:szCs w:val="22"/>
        </w:rPr>
        <w:t>气候特点。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4、每一包装箱两个侧面用不褪色的容易识别的中文字样</w:t>
      </w:r>
      <w:r>
        <w:rPr>
          <w:rFonts w:hint="eastAsia" w:ascii="宋体" w:hAnsi="宋体" w:cs="宋体"/>
          <w:sz w:val="22"/>
          <w:szCs w:val="22"/>
          <w:lang w:eastAsia="zh-CN"/>
        </w:rPr>
        <w:t>做出</w:t>
      </w:r>
      <w:r>
        <w:rPr>
          <w:rFonts w:hint="eastAsia" w:ascii="宋体" w:hAnsi="宋体" w:cs="宋体"/>
          <w:sz w:val="22"/>
          <w:szCs w:val="22"/>
        </w:rPr>
        <w:t>标记：箱号、装运标志、毛重、净重、到货地址、收货人名称、货物名称等。</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5、货物在验收合格前的保险由乙方负责，并负责其派出的现场服务人员人身意外保险。</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【注：合同中约定的包装标准应与乙方在投标文件中承诺的一致，且投标文件应作为合同附件与合同具有同等法律效力。】</w:t>
      </w:r>
    </w:p>
    <w:p>
      <w:pPr>
        <w:spacing w:line="360" w:lineRule="auto"/>
        <w:rPr>
          <w:rFonts w:hint="eastAsia" w:ascii="宋体" w:hAnsi="宋体" w:cs="宋体"/>
          <w:b/>
          <w:bCs/>
          <w:sz w:val="22"/>
          <w:szCs w:val="22"/>
        </w:rPr>
      </w:pPr>
      <w:r>
        <w:rPr>
          <w:rFonts w:hint="eastAsia" w:ascii="宋体" w:hAnsi="宋体" w:cs="宋体"/>
          <w:b/>
          <w:bCs/>
          <w:sz w:val="22"/>
          <w:szCs w:val="22"/>
        </w:rPr>
        <w:t>第五条 产品的交货方法、到货地点和完工期限</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1.交货方法，按下列第（①）项执行：</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①乙方送货上门；②乙方代运；③甲方自提自运。</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2.到货地点：合肥市</w:t>
      </w:r>
      <w:r>
        <w:rPr>
          <w:rFonts w:hint="eastAsia" w:ascii="宋体" w:hAnsi="宋体" w:cs="宋体"/>
          <w:sz w:val="22"/>
          <w:szCs w:val="22"/>
          <w:lang w:eastAsia="zh-CN"/>
        </w:rPr>
        <w:t>（</w:t>
      </w:r>
      <w:r>
        <w:rPr>
          <w:rFonts w:hint="eastAsia" w:ascii="宋体" w:hAnsi="宋体" w:cs="宋体"/>
          <w:sz w:val="22"/>
          <w:szCs w:val="22"/>
        </w:rPr>
        <w:t>甲方指定的任何地点，安装并调试.</w:t>
      </w:r>
      <w:r>
        <w:rPr>
          <w:rFonts w:hint="eastAsia" w:ascii="宋体" w:hAnsi="宋体" w:cs="宋体"/>
          <w:sz w:val="22"/>
          <w:szCs w:val="22"/>
          <w:lang w:eastAsia="zh-CN"/>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3.交货期限：接单个项目所属分子公司书面供货通知书之日起（按总包单位组团进度）30 个日历天内货到现场（单个项目所属分子公司指定地点）</w:t>
      </w:r>
    </w:p>
    <w:p>
      <w:pPr>
        <w:spacing w:line="360" w:lineRule="auto"/>
        <w:rPr>
          <w:rFonts w:hint="eastAsia" w:ascii="宋体" w:hAnsi="宋体" w:cs="宋体"/>
          <w:b/>
          <w:bCs/>
          <w:sz w:val="22"/>
          <w:szCs w:val="22"/>
        </w:rPr>
      </w:pPr>
      <w:r>
        <w:rPr>
          <w:rFonts w:hint="eastAsia" w:ascii="宋体" w:hAnsi="宋体" w:cs="宋体"/>
          <w:b/>
          <w:bCs/>
          <w:sz w:val="22"/>
          <w:szCs w:val="22"/>
        </w:rPr>
        <w:t>第六条 付款条件</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本合同以人民币付款。</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1.货按批次到工地全部安装完毕，经建设单位、总包单位、监理单位验收合格后付至该批次货款的60%；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2.总承包工程竣工验收合格、移交后付至总货款的85%；</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3.总承包工程结算审计且总承包工程备案完成，供货人根据结算金额开具100%全额发票后付至结算价的 97%，余款 3%作为质保金待质保期满后一次性付清（无息）。</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备注：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中标人应按招标人要求出具符合国家税务规定的合法有效的增值税专用发票，并确保开具发票的真实性、合法性、有效性（发票，必须保持票面干净、整洁、无折痕，发票的正反两面均不能留下任何脏、乱及签字的痕迹）；如税率发生变化，结算以中标不含税价款为依据，按国家税收政策计算以及相应造价管理部门的造价管理办法进行结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（2）投标人承诺延长免费质保期时间的，免费质保期以承诺为准。</w:t>
      </w:r>
    </w:p>
    <w:p>
      <w:pPr>
        <w:spacing w:line="360" w:lineRule="auto"/>
        <w:rPr>
          <w:rFonts w:hint="eastAsia" w:ascii="宋体" w:hAnsi="宋体" w:cs="宋体"/>
          <w:b/>
          <w:bCs/>
          <w:sz w:val="22"/>
          <w:szCs w:val="22"/>
        </w:rPr>
      </w:pPr>
      <w:r>
        <w:rPr>
          <w:rFonts w:hint="eastAsia" w:ascii="宋体" w:hAnsi="宋体" w:cs="宋体"/>
          <w:b/>
          <w:bCs/>
          <w:sz w:val="22"/>
          <w:szCs w:val="22"/>
        </w:rPr>
        <w:t>第七条 验收方法</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1.乙方货物进场以后，在 2 天内通知甲方、总包单位、监理单位验收。验收不合格的，乙方应负责重新提供达到本合同约定的质量要求的产品。期间产生的全部费用由乙方承担。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2.总包安装调试后，乙方在 1 天内参加甲方组织的验收。若是乙方责任导致验收不合格的，则乙方负责重新提供达到本合同约定的质量要求的产品。期间产生的全部费用由乙方承担。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3.甲、乙双方应严格履行合同有关条款，如果验收过程中发现乙方在没有征得甲方同意的情况下擅自变更合同标的物，将拒绝通过验收，且甲方有权解除合同，由此引起的一切后果及损失由乙方承担。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甲方验收时，应成立三人以上（由甲方、乙方、监理方、施工总承包方等相关人员组成）验收小组，明确责任，严格依照有关部门对项目的各项批文、国家和省关于建设项目竣工验收的有关规定、施工图及有关说明、国家施工及验收规范和质量检验评定标准，以及招标文件、中标（成交）通知书、合同要求对所提供设备数量、质量、性能和安装等进行验收，形成验收结论，并出具书面验收报告。</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5.涉及安全、消防、环保等其他需要由质检或行业主管部门进行验收的项目，必须邀请相关部门或相关专家参与验收，在此期间发生的所有相关费用由乙方承担。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6.检测、验收费用均由乙方承担。</w:t>
      </w:r>
    </w:p>
    <w:p>
      <w:pPr>
        <w:spacing w:line="360" w:lineRule="auto"/>
        <w:rPr>
          <w:rFonts w:hint="eastAsia" w:ascii="宋体" w:hAnsi="宋体" w:cs="宋体"/>
          <w:b/>
          <w:bCs/>
          <w:sz w:val="22"/>
          <w:szCs w:val="22"/>
        </w:rPr>
      </w:pPr>
      <w:r>
        <w:rPr>
          <w:rFonts w:hint="eastAsia" w:ascii="宋体" w:hAnsi="宋体" w:cs="宋体"/>
          <w:b/>
          <w:bCs/>
          <w:sz w:val="22"/>
          <w:szCs w:val="22"/>
        </w:rPr>
        <w:t>第八条 对产品提出异议的时间和办法</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1.甲方在验收中，如果发现产品不符合合同约定的，应一面妥为保管，一面在</w:t>
      </w:r>
      <w:r>
        <w:rPr>
          <w:rFonts w:hint="eastAsia" w:ascii="宋体" w:hAnsi="宋体" w:cs="宋体"/>
          <w:sz w:val="22"/>
          <w:szCs w:val="22"/>
          <w:u w:val="single"/>
        </w:rPr>
        <w:t xml:space="preserve"> 3 </w:t>
      </w:r>
      <w:r>
        <w:rPr>
          <w:rFonts w:hint="eastAsia" w:ascii="宋体" w:hAnsi="宋体" w:cs="宋体"/>
          <w:sz w:val="22"/>
          <w:szCs w:val="22"/>
        </w:rPr>
        <w:t>工作日内向乙方书面提出异议。具体说明产品不符合规定的内容并附相关验收材料，同时提出不符合规定产品的处理意见。</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2.验收合格后，甲方因使用、保管、保养不善等造成产品质量下降的，不得提出异议。</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3.乙方在接到甲方异议后，应在</w:t>
      </w:r>
      <w:r>
        <w:rPr>
          <w:rFonts w:hint="eastAsia" w:ascii="宋体" w:hAnsi="宋体" w:cs="宋体"/>
          <w:sz w:val="22"/>
          <w:szCs w:val="22"/>
          <w:u w:val="single"/>
        </w:rPr>
        <w:t xml:space="preserve"> 2 </w:t>
      </w:r>
      <w:r>
        <w:rPr>
          <w:rFonts w:hint="eastAsia" w:ascii="宋体" w:hAnsi="宋体" w:cs="宋体"/>
          <w:sz w:val="22"/>
          <w:szCs w:val="22"/>
        </w:rPr>
        <w:t>工作日内负责处理，否则，即视为默认甲方提出的异议和处理意见。</w:t>
      </w:r>
    </w:p>
    <w:p>
      <w:pPr>
        <w:spacing w:line="360" w:lineRule="auto"/>
        <w:rPr>
          <w:rFonts w:hint="eastAsia" w:ascii="宋体" w:hAnsi="宋体" w:cs="宋体"/>
          <w:sz w:val="22"/>
          <w:szCs w:val="22"/>
        </w:rPr>
      </w:pPr>
      <w:r>
        <w:rPr>
          <w:rFonts w:hint="eastAsia" w:ascii="宋体" w:hAnsi="宋体" w:cs="宋体"/>
          <w:b/>
          <w:bCs/>
          <w:sz w:val="22"/>
          <w:szCs w:val="22"/>
        </w:rPr>
        <w:t xml:space="preserve">第九条 </w:t>
      </w:r>
      <w:r>
        <w:rPr>
          <w:rFonts w:hint="eastAsia" w:ascii="宋体" w:hAnsi="宋体" w:cs="宋体"/>
          <w:sz w:val="22"/>
          <w:szCs w:val="22"/>
        </w:rPr>
        <w:t>乙方应提供完善周到的技术支持和售后服务，否则甲方在进行事实调查的基础上，视情节轻重从乙方的履约保证金或质保金中扣除部分或全部补偿甲方。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1.免费质保期</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乙方对其所提供的货物免费质保</w:t>
      </w:r>
      <w:r>
        <w:rPr>
          <w:rFonts w:hint="eastAsia" w:ascii="宋体" w:hAnsi="宋体" w:cs="宋体"/>
          <w:sz w:val="22"/>
          <w:szCs w:val="22"/>
          <w:lang w:eastAsia="zh-CN"/>
        </w:rPr>
        <w:t>期一</w:t>
      </w:r>
      <w:r>
        <w:rPr>
          <w:rFonts w:hint="eastAsia" w:ascii="宋体" w:hAnsi="宋体" w:cs="宋体"/>
          <w:sz w:val="22"/>
          <w:szCs w:val="22"/>
        </w:rPr>
        <w:t xml:space="preserve"> 年，免费质保期从 项目验收合格并移交物业且备案完成之日起 开始。乙方应在接到报修通知后</w:t>
      </w:r>
      <w:r>
        <w:rPr>
          <w:rFonts w:hint="eastAsia" w:ascii="宋体" w:hAnsi="宋体" w:cs="宋体"/>
          <w:sz w:val="22"/>
          <w:szCs w:val="22"/>
          <w:u w:val="single"/>
        </w:rPr>
        <w:t xml:space="preserve"> 1 </w:t>
      </w:r>
      <w:r>
        <w:rPr>
          <w:rFonts w:hint="eastAsia" w:ascii="宋体" w:hAnsi="宋体" w:cs="宋体"/>
          <w:sz w:val="22"/>
          <w:szCs w:val="22"/>
        </w:rPr>
        <w:t>天内上门维修，负责更换有瑕疵的货物、部件或提供相应的免费质保期内的服务。由此造成的损失，甲方保留索赔的权利。如果乙方在收到报修通知后 1 天内没有弥补缺陷，甲方可采取必要的补救措施或委托第三方予以修复，但费用和风险由乙方承担。甲方有权直接从质保金中予以扣除。</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2.维修</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免费质保期届满后，乙方应对其提供的货物负有维修义务，但所涉及的费用由甲方承担。但乙方只收取基本的材料费。</w:t>
      </w:r>
    </w:p>
    <w:p>
      <w:pPr>
        <w:spacing w:line="360" w:lineRule="auto"/>
        <w:rPr>
          <w:rFonts w:hint="eastAsia" w:ascii="宋体" w:hAnsi="宋体" w:cs="宋体"/>
          <w:b/>
          <w:bCs/>
          <w:sz w:val="22"/>
          <w:szCs w:val="22"/>
        </w:rPr>
      </w:pPr>
      <w:r>
        <w:rPr>
          <w:rFonts w:hint="eastAsia" w:ascii="宋体" w:hAnsi="宋体" w:cs="宋体"/>
          <w:b/>
          <w:bCs/>
          <w:sz w:val="22"/>
          <w:szCs w:val="22"/>
        </w:rPr>
        <w:t>第十条 乙方的违约责任</w:t>
      </w:r>
    </w:p>
    <w:p>
      <w:pPr>
        <w:spacing w:line="360" w:lineRule="auto"/>
        <w:ind w:firstLine="440" w:firstLineChars="200"/>
        <w:rPr>
          <w:rFonts w:hint="eastAsia" w:ascii="宋体" w:hAnsi="宋体" w:cs="宋体"/>
          <w:sz w:val="22"/>
          <w:szCs w:val="22"/>
          <w:highlight w:val="yellow"/>
        </w:rPr>
      </w:pPr>
      <w:r>
        <w:rPr>
          <w:rFonts w:hint="eastAsia" w:ascii="宋体" w:hAnsi="宋体" w:cs="宋体"/>
          <w:sz w:val="22"/>
          <w:szCs w:val="22"/>
          <w:highlight w:val="yellow"/>
        </w:rPr>
        <w:t>1.乙方不能按合同约定交货的，须向甲方偿付合同价的 5 %（通用产品的幅度为 1%～5%，专用产品的幅度为 10%～30%）的违约金。</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2.乙方所交产品不符合合同约定的，应根据产品的具体情况，由乙方负责包换或包修，并承担修理、调换或退货而支付的实际费用</w:t>
      </w:r>
      <w:r>
        <w:rPr>
          <w:rFonts w:hint="eastAsia" w:ascii="宋体" w:hAnsi="宋体" w:cs="宋体"/>
          <w:sz w:val="22"/>
          <w:szCs w:val="22"/>
          <w:lang w:eastAsia="zh-CN"/>
        </w:rPr>
        <w:t>，</w:t>
      </w:r>
      <w:r>
        <w:rPr>
          <w:rFonts w:hint="eastAsia" w:ascii="宋体" w:hAnsi="宋体" w:cs="宋体"/>
          <w:sz w:val="22"/>
          <w:szCs w:val="22"/>
        </w:rPr>
        <w:t>同时，乙方应按约定，对更换件相应延长免费质保期，并赔偿甲方相应的损失。乙方不能修理或者不能调换的，按不能交货处理。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3.乙方因产品包装不符合合同约定，必须返修或重新包装的，乙方应负责返修或</w:t>
      </w:r>
      <w:r>
        <w:rPr>
          <w:rFonts w:hint="eastAsia" w:ascii="宋体" w:hAnsi="宋体" w:cs="宋体"/>
          <w:sz w:val="22"/>
          <w:szCs w:val="22"/>
          <w:lang w:eastAsia="zh-CN"/>
        </w:rPr>
        <w:t>重新</w:t>
      </w:r>
      <w:r>
        <w:rPr>
          <w:rFonts w:hint="eastAsia" w:ascii="宋体" w:hAnsi="宋体" w:cs="宋体"/>
          <w:sz w:val="22"/>
          <w:szCs w:val="22"/>
        </w:rPr>
        <w:t>包装，并承担支付的费用。甲方不要求返修或重新包装而要求赔偿损失的，乙方应当偿付甲方该不合格包装物低于合格包装物的价值部分。因包装不符合约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40" w:firstLineChars="200"/>
        <w:rPr>
          <w:rFonts w:hint="eastAsia" w:ascii="宋体" w:hAnsi="宋体" w:cs="宋体"/>
          <w:sz w:val="22"/>
          <w:szCs w:val="22"/>
          <w:highlight w:val="yellow"/>
        </w:rPr>
      </w:pPr>
      <w:r>
        <w:rPr>
          <w:rFonts w:hint="eastAsia" w:ascii="宋体" w:hAnsi="宋体" w:cs="宋体"/>
          <w:sz w:val="22"/>
          <w:szCs w:val="22"/>
        </w:rPr>
        <w:t>4.</w:t>
      </w:r>
      <w:r>
        <w:rPr>
          <w:rFonts w:hint="eastAsia" w:ascii="宋体" w:hAnsi="宋体" w:cs="宋体"/>
          <w:sz w:val="22"/>
          <w:szCs w:val="22"/>
          <w:highlight w:val="yellow"/>
        </w:rPr>
        <w:t>如果乙方没有按照约定的时间交货、完成货物安装和提供服务，须向甲方支付违约金，违约金从货款中扣除，每延迟一日，每日按合同价的0.2%计收迟交货物、未完成安装或未提供服务的违约金。但违约金的最高限额为迟交货物或提供服务合同价的5%。如果达到最高限额，甲方应考虑终止合同，由此给甲方造成的损失由乙方承担。如乙方未按合同约定时间交货、提供服务的期限超过30天的，甲方有权解除合同，并有权要求乙方按前述方式支付违约金，如违约金不足以弥补损失的，甲方有权向乙方追偿。</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5.乙方提前交货的产品、多交的产品和不符合合同约定的产品，甲方在代保管期内实际支付的保管、保养等费用以及非因甲方保管不善而发生的损失，应当由乙方承担。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6.乙方应对其所提供的货物承担所有权担保责任，并应保证甲方在中华人民共和国内使用该货物时不侵犯第三人的知识产权。否则乙方应承担由此引起的一切法律责任及费用。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7.任何一方未经对方同意而单方面终止合同的，应向对方赔偿相当于本合同总价款 20 %违约金。</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8.合同履行期间，乙方应做好安全防护工作，如造成乙方工作人员或第三人人身、财产损害的，全部责任由乙方负责，与甲方无关。如甲方先行支付的，有权向乙方追偿，甲方因此遭受的全部损失由乙方承担（包括但不限于诉讼费用、律师费等）。</w:t>
      </w:r>
    </w:p>
    <w:p>
      <w:pPr>
        <w:spacing w:line="360" w:lineRule="auto"/>
        <w:rPr>
          <w:rFonts w:hint="eastAsia" w:ascii="宋体" w:hAnsi="宋体" w:cs="宋体"/>
          <w:b/>
          <w:bCs/>
          <w:sz w:val="22"/>
          <w:szCs w:val="22"/>
        </w:rPr>
      </w:pPr>
      <w:r>
        <w:rPr>
          <w:rFonts w:hint="eastAsia" w:ascii="宋体" w:hAnsi="宋体" w:cs="宋体"/>
          <w:b/>
          <w:bCs/>
          <w:sz w:val="22"/>
          <w:szCs w:val="22"/>
        </w:rPr>
        <w:t>第十一条 甲方的违约责任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1.甲方中途退货，应向乙方偿付退货部分货款5%（通用产品的幅度为 1%～5%专用产品的幅度为 15%～30%）的违约金。</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2.甲方违反合同约定拒绝接货的，应当承担由此造成的损失。</w:t>
      </w:r>
    </w:p>
    <w:p>
      <w:pPr>
        <w:spacing w:line="360" w:lineRule="auto"/>
        <w:rPr>
          <w:rFonts w:hint="eastAsia" w:ascii="宋体" w:hAnsi="宋体" w:cs="宋体"/>
          <w:b/>
          <w:bCs/>
          <w:sz w:val="22"/>
          <w:szCs w:val="22"/>
        </w:rPr>
      </w:pPr>
      <w:r>
        <w:rPr>
          <w:rFonts w:hint="eastAsia" w:ascii="宋体" w:hAnsi="宋体" w:cs="宋体"/>
          <w:b/>
          <w:bCs/>
          <w:sz w:val="22"/>
          <w:szCs w:val="22"/>
        </w:rPr>
        <w:t>第十二条 不可抗力</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1.如果双方任何一方</w:t>
      </w:r>
      <w:r>
        <w:rPr>
          <w:rFonts w:hint="eastAsia" w:ascii="宋体" w:hAnsi="宋体" w:cs="宋体"/>
          <w:sz w:val="22"/>
          <w:szCs w:val="22"/>
          <w:lang w:eastAsia="zh-CN"/>
        </w:rPr>
        <w:t>由于</w:t>
      </w:r>
      <w:r>
        <w:rPr>
          <w:rFonts w:hint="eastAsia" w:ascii="宋体" w:hAnsi="宋体" w:cs="宋体"/>
          <w:sz w:val="22"/>
          <w:szCs w:val="22"/>
        </w:rPr>
        <w:t>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cs="宋体"/>
          <w:sz w:val="22"/>
          <w:szCs w:val="22"/>
          <w:lang w:eastAsia="zh-CN"/>
        </w:rPr>
        <w:t>免于</w:t>
      </w:r>
      <w:r>
        <w:rPr>
          <w:rFonts w:hint="eastAsia" w:ascii="宋体" w:hAnsi="宋体" w:cs="宋体"/>
          <w:sz w:val="22"/>
          <w:szCs w:val="22"/>
        </w:rPr>
        <w:t>承担违约责任。</w:t>
      </w:r>
    </w:p>
    <w:p>
      <w:pPr>
        <w:spacing w:line="360" w:lineRule="auto"/>
        <w:rPr>
          <w:rFonts w:hint="eastAsia" w:ascii="宋体" w:hAnsi="宋体" w:cs="宋体"/>
          <w:b/>
          <w:bCs/>
          <w:sz w:val="22"/>
          <w:szCs w:val="22"/>
        </w:rPr>
      </w:pPr>
      <w:r>
        <w:rPr>
          <w:rFonts w:hint="eastAsia" w:ascii="宋体" w:hAnsi="宋体" w:cs="宋体"/>
          <w:b/>
          <w:bCs/>
          <w:sz w:val="22"/>
          <w:szCs w:val="22"/>
        </w:rPr>
        <w:t>第十三条 履约保证金</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1.本项目履约保证金为</w:t>
      </w:r>
      <w:r>
        <w:rPr>
          <w:rFonts w:hint="eastAsia" w:ascii="宋体" w:hAnsi="宋体" w:cs="宋体"/>
          <w:sz w:val="22"/>
          <w:szCs w:val="22"/>
          <w:lang w:eastAsia="zh-CN"/>
        </w:rPr>
        <w:t>（</w:t>
      </w:r>
      <w:r>
        <w:rPr>
          <w:rFonts w:hint="eastAsia" w:ascii="宋体" w:hAnsi="宋体" w:cs="宋体"/>
          <w:sz w:val="22"/>
          <w:szCs w:val="22"/>
        </w:rPr>
        <w:t>人民币</w:t>
      </w:r>
      <w:r>
        <w:rPr>
          <w:rFonts w:hint="eastAsia" w:ascii="宋体" w:hAnsi="宋体" w:cs="宋体"/>
          <w:sz w:val="22"/>
          <w:szCs w:val="22"/>
          <w:lang w:eastAsia="zh-CN"/>
        </w:rPr>
        <w:t>），</w:t>
      </w:r>
      <w:r>
        <w:rPr>
          <w:rFonts w:hint="eastAsia" w:ascii="宋体" w:hAnsi="宋体" w:cs="宋体"/>
          <w:sz w:val="22"/>
          <w:szCs w:val="22"/>
        </w:rPr>
        <w:t>收受人为 ：</w:t>
      </w:r>
      <w:r>
        <w:rPr>
          <w:rFonts w:hint="eastAsia" w:ascii="宋体" w:hAnsi="宋体" w:cs="宋体"/>
          <w:sz w:val="22"/>
          <w:szCs w:val="22"/>
          <w:u w:val="single"/>
        </w:rPr>
        <w:t>安徽省第二人民医院</w:t>
      </w:r>
      <w:r>
        <w:rPr>
          <w:rFonts w:hint="eastAsia" w:ascii="宋体" w:hAnsi="宋体" w:cs="宋体"/>
          <w:sz w:val="22"/>
          <w:szCs w:val="22"/>
        </w:rPr>
        <w:t xml:space="preserve"> ，期限至竣工验收合格、履约担保或履约保证金期满之后，由甲方在依据合同约定扣除相应款项后，经乙方书面申请，一次性无息退还至乙方账户。</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2.乙方提供的履约保证金按约定格式以银行保函形式提供的，与此有关的费用由乙方承担。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3.如乙方未能履行其合同约定的任何义务，甲方有权从履约保证金中取得补偿。</w:t>
      </w:r>
    </w:p>
    <w:p>
      <w:pPr>
        <w:spacing w:line="360" w:lineRule="auto"/>
        <w:rPr>
          <w:rFonts w:hint="eastAsia" w:ascii="宋体" w:hAnsi="宋体" w:cs="宋体"/>
          <w:b/>
          <w:bCs/>
          <w:sz w:val="22"/>
          <w:szCs w:val="22"/>
        </w:rPr>
      </w:pPr>
      <w:r>
        <w:rPr>
          <w:rFonts w:hint="eastAsia" w:ascii="宋体" w:hAnsi="宋体" w:cs="宋体"/>
          <w:b/>
          <w:bCs/>
          <w:sz w:val="22"/>
          <w:szCs w:val="22"/>
        </w:rPr>
        <w:t>第十四条 转让与分包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1.除甲方事先书面同意外，乙方不得部分转让或全部转让其应履行的合同义务。</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rPr>
          <w:rFonts w:hint="eastAsia" w:ascii="宋体" w:hAnsi="宋体" w:cs="宋体"/>
          <w:b/>
          <w:bCs/>
          <w:sz w:val="22"/>
          <w:szCs w:val="22"/>
        </w:rPr>
      </w:pPr>
      <w:r>
        <w:rPr>
          <w:rFonts w:hint="eastAsia" w:ascii="宋体" w:hAnsi="宋体" w:cs="宋体"/>
          <w:b/>
          <w:bCs/>
          <w:sz w:val="22"/>
          <w:szCs w:val="22"/>
        </w:rPr>
        <w:t>第十五条 合同文件及资料的使用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1.乙方在未经甲方同意的情况下，不得将合同、合同中的规定、有关计划、图纸、样本或甲方为上述内容向乙方提供的资料透露给任何人。否则，给甲方造成的全部损失由乙方承担。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2.除非执行合同需要，在事先未得到甲方同意的情况下，乙方不得使用前款所列的任何文件和资料。</w:t>
      </w:r>
    </w:p>
    <w:p>
      <w:pPr>
        <w:spacing w:line="360" w:lineRule="auto"/>
        <w:rPr>
          <w:rFonts w:hint="eastAsia" w:ascii="宋体" w:hAnsi="宋体" w:cs="宋体"/>
          <w:b/>
          <w:bCs/>
          <w:sz w:val="22"/>
          <w:szCs w:val="22"/>
        </w:rPr>
      </w:pPr>
      <w:r>
        <w:rPr>
          <w:rFonts w:hint="eastAsia" w:ascii="宋体" w:hAnsi="宋体" w:cs="宋体"/>
          <w:b/>
          <w:bCs/>
          <w:sz w:val="22"/>
          <w:szCs w:val="22"/>
        </w:rPr>
        <w:t>第十六条 其他</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1.按本合同约定应该偿付的违约金、赔偿金、保管保养费和各种经济损失，应当在明确责任后 10 天内，除合同中有约定能从履约保证金或质保金中扣除部分，其他按银行规定的结算办法付清，否则按逾期付款处理。但任何一方不得自行扣发货物或扣付货款来</w:t>
      </w:r>
      <w:r>
        <w:rPr>
          <w:rFonts w:hint="eastAsia" w:ascii="宋体" w:hAnsi="宋体" w:cs="宋体"/>
          <w:sz w:val="22"/>
          <w:szCs w:val="22"/>
          <w:lang w:eastAsia="zh-CN"/>
        </w:rPr>
        <w:t>冲抵</w:t>
      </w:r>
      <w:r>
        <w:rPr>
          <w:rFonts w:hint="eastAsia" w:ascii="宋体" w:hAnsi="宋体" w:cs="宋体"/>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本合同如发生纠纷，当事人双方应当及时协商解决，协商不成时，按以下第（②）项方式处理：①根据《中华人民共和国仲裁法》的规定向合肥仲裁委员会申请仲裁。②向工程所在地有级别管辖权的人民法院起诉。</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第十七条 下列关于安徽诚信项目管理有限公司的招标文件（ ）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本合同一式</w:t>
      </w:r>
      <w:r>
        <w:rPr>
          <w:rFonts w:hint="eastAsia" w:ascii="宋体" w:hAnsi="宋体" w:cs="宋体"/>
          <w:sz w:val="22"/>
          <w:szCs w:val="22"/>
          <w:u w:val="single"/>
        </w:rPr>
        <w:t xml:space="preserve">   </w:t>
      </w:r>
      <w:r>
        <w:rPr>
          <w:rFonts w:hint="eastAsia" w:ascii="宋体" w:hAnsi="宋体" w:cs="宋体"/>
          <w:sz w:val="22"/>
          <w:szCs w:val="22"/>
        </w:rPr>
        <w:t>份，甲乙双方各执</w:t>
      </w:r>
      <w:r>
        <w:rPr>
          <w:rFonts w:hint="eastAsia" w:ascii="宋体" w:hAnsi="宋体" w:cs="宋体"/>
          <w:sz w:val="22"/>
          <w:szCs w:val="22"/>
          <w:u w:val="single"/>
        </w:rPr>
        <w:t xml:space="preserve">   </w:t>
      </w:r>
      <w:r>
        <w:rPr>
          <w:rFonts w:hint="eastAsia" w:ascii="宋体" w:hAnsi="宋体" w:cs="宋体"/>
          <w:sz w:val="22"/>
          <w:szCs w:val="22"/>
        </w:rPr>
        <w:t>份，自双方当事人签字并盖章之日起生效。</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本合同合计页 A4 纸</w:t>
      </w:r>
      <w:r>
        <w:rPr>
          <w:rFonts w:hint="eastAsia" w:ascii="宋体" w:hAnsi="宋体" w:cs="宋体"/>
          <w:sz w:val="22"/>
          <w:szCs w:val="22"/>
          <w:u w:val="single"/>
        </w:rPr>
        <w:t xml:space="preserve">    </w:t>
      </w:r>
      <w:r>
        <w:rPr>
          <w:rFonts w:hint="eastAsia" w:ascii="宋体" w:hAnsi="宋体" w:cs="宋体"/>
          <w:sz w:val="22"/>
          <w:szCs w:val="22"/>
        </w:rPr>
        <w:t>张，缺页之合同为无效合同。</w:t>
      </w: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r>
        <w:rPr>
          <w:rFonts w:hint="eastAsia" w:ascii="宋体" w:hAnsi="宋体" w:cs="宋体"/>
          <w:sz w:val="22"/>
          <w:szCs w:val="22"/>
        </w:rPr>
        <w:t>招标人（甲方）：（公章）        供货人（乙方）：（公章）</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地址： 地址：</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法定代表人：                    法定代表人：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委托代理人：                    委托代理人：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项目负责人：                    项目负责人：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项目经办人：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合同经办人：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年 月 日 年 月 日</w:t>
      </w: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r>
        <w:rPr>
          <w:rFonts w:hint="eastAsia" w:ascii="宋体" w:hAnsi="宋体" w:cs="宋体"/>
          <w:sz w:val="22"/>
          <w:szCs w:val="22"/>
        </w:rPr>
        <w:t>附件</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协议书附件：</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附件 1：履约保证金格式</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附件 2：工程质量保修书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附件 3：安全生产文明施工协议书</w:t>
      </w:r>
    </w:p>
    <w:p>
      <w:pPr>
        <w:adjustRightInd w:val="0"/>
        <w:snapToGrid w:val="0"/>
        <w:spacing w:line="360" w:lineRule="auto"/>
        <w:ind w:firstLine="440" w:firstLineChars="200"/>
        <w:rPr>
          <w:szCs w:val="21"/>
        </w:rPr>
      </w:pPr>
      <w:r>
        <w:rPr>
          <w:rFonts w:hint="eastAsia" w:ascii="宋体" w:hAnsi="宋体" w:cs="宋体"/>
          <w:sz w:val="22"/>
          <w:szCs w:val="22"/>
        </w:rPr>
        <w:t>附件4：廉政协议</w:t>
      </w:r>
      <w:r>
        <w:rPr>
          <w:rFonts w:hint="eastAsia" w:ascii="宋体" w:hAnsi="宋体" w:cs="宋体"/>
          <w:color w:val="000000"/>
          <w:sz w:val="22"/>
          <w:szCs w:val="22"/>
        </w:rPr>
        <w:br w:type="page"/>
      </w:r>
      <w:bookmarkStart w:id="402" w:name="_Toc246997062"/>
      <w:bookmarkEnd w:id="402"/>
      <w:bookmarkStart w:id="403" w:name="_Toc247085834"/>
      <w:bookmarkEnd w:id="403"/>
      <w:bookmarkStart w:id="404" w:name="_Toc246996319"/>
      <w:bookmarkEnd w:id="404"/>
      <w:bookmarkStart w:id="405" w:name="_Toc184635117"/>
      <w:bookmarkEnd w:id="405"/>
      <w:bookmarkStart w:id="406" w:name="_Toc296602565"/>
      <w:bookmarkEnd w:id="406"/>
      <w:bookmarkStart w:id="407" w:name="_Toc29298"/>
      <w:bookmarkEnd w:id="407"/>
      <w:bookmarkStart w:id="408" w:name="_Toc9766"/>
      <w:bookmarkEnd w:id="408"/>
      <w:bookmarkStart w:id="409" w:name="_Toc369531675"/>
      <w:bookmarkEnd w:id="409"/>
      <w:bookmarkStart w:id="410" w:name="_Toc369531676"/>
      <w:bookmarkEnd w:id="410"/>
    </w:p>
    <w:p>
      <w:pPr>
        <w:pStyle w:val="4"/>
        <w:ind w:firstLine="137"/>
        <w:rPr>
          <w:rFonts w:ascii="Times New Roman" w:hAnsi="Times New Roman"/>
        </w:rPr>
      </w:pPr>
      <w:bookmarkStart w:id="411" w:name="_Toc501460715"/>
      <w:r>
        <w:rPr>
          <w:rFonts w:ascii="Times New Roman" w:hAnsi="Times New Roman"/>
        </w:rPr>
        <w:t>附件</w:t>
      </w:r>
      <w:r>
        <w:rPr>
          <w:rFonts w:hint="eastAsia" w:ascii="Times New Roman" w:hAnsi="Times New Roman"/>
        </w:rPr>
        <w:t>1</w:t>
      </w:r>
      <w:r>
        <w:rPr>
          <w:rFonts w:ascii="Times New Roman" w:hAnsi="Times New Roman"/>
        </w:rPr>
        <w:t>：履约保证金格式</w:t>
      </w:r>
      <w:bookmarkEnd w:id="411"/>
    </w:p>
    <w:p>
      <w:pPr>
        <w:pStyle w:val="4"/>
        <w:ind w:firstLine="137"/>
        <w:jc w:val="center"/>
        <w:rPr>
          <w:rFonts w:ascii="Times New Roman" w:hAnsi="Times New Roman"/>
        </w:rPr>
      </w:pPr>
      <w:r>
        <w:rPr>
          <w:rFonts w:hint="eastAsia" w:ascii="仿宋" w:hAnsi="仿宋" w:eastAsia="仿宋"/>
          <w:b/>
          <w:sz w:val="28"/>
          <w:szCs w:val="28"/>
        </w:rPr>
        <w:t>履约保函示范文本</w:t>
      </w:r>
    </w:p>
    <w:p>
      <w:pPr>
        <w:spacing w:line="440" w:lineRule="exact"/>
        <w:jc w:val="right"/>
        <w:rPr>
          <w:u w:val="single"/>
        </w:rPr>
      </w:pPr>
      <w:r>
        <w:rPr>
          <w:rFonts w:hint="eastAsia" w:ascii="仿宋" w:hAnsi="仿宋" w:eastAsia="仿宋"/>
          <w:sz w:val="24"/>
        </w:rPr>
        <w:t>编号：</w:t>
      </w:r>
      <w:r>
        <w:rPr>
          <w:rFonts w:hint="eastAsia" w:ascii="仿宋" w:hAnsi="仿宋" w:eastAsia="仿宋"/>
          <w:sz w:val="22"/>
          <w:szCs w:val="22"/>
        </w:rPr>
        <w:t xml:space="preserve"> </w:t>
      </w:r>
    </w:p>
    <w:bookmarkEnd w:id="377"/>
    <w:bookmarkEnd w:id="378"/>
    <w:bookmarkEnd w:id="379"/>
    <w:bookmarkEnd w:id="380"/>
    <w:p>
      <w:pPr>
        <w:spacing w:line="360" w:lineRule="auto"/>
        <w:rPr>
          <w:rFonts w:hint="eastAsia" w:ascii="宋体" w:hAnsi="宋体" w:cs="宋体"/>
          <w:sz w:val="22"/>
          <w:szCs w:val="22"/>
          <w:u w:val="single"/>
        </w:rPr>
      </w:pPr>
    </w:p>
    <w:p>
      <w:pPr>
        <w:spacing w:line="360" w:lineRule="auto"/>
        <w:rPr>
          <w:rFonts w:hint="eastAsia"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（受益人名称）：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鉴于</w:t>
      </w:r>
      <w:r>
        <w:rPr>
          <w:rFonts w:hint="eastAsia" w:ascii="宋体" w:hAnsi="宋体" w:cs="宋体"/>
          <w:sz w:val="22"/>
          <w:szCs w:val="22"/>
          <w:u w:val="single"/>
        </w:rPr>
        <w:t xml:space="preserve">        </w:t>
      </w:r>
      <w:r>
        <w:rPr>
          <w:rFonts w:hint="eastAsia" w:ascii="宋体" w:hAnsi="宋体" w:cs="宋体"/>
          <w:sz w:val="22"/>
          <w:szCs w:val="22"/>
        </w:rPr>
        <w:t>（以下简称“受益人”）与</w:t>
      </w:r>
      <w:r>
        <w:rPr>
          <w:rFonts w:hint="eastAsia" w:ascii="宋体" w:hAnsi="宋体" w:cs="宋体"/>
          <w:sz w:val="22"/>
          <w:szCs w:val="22"/>
          <w:u w:val="single"/>
        </w:rPr>
        <w:t xml:space="preserve">         </w:t>
      </w:r>
      <w:r>
        <w:rPr>
          <w:rFonts w:hint="eastAsia" w:ascii="宋体" w:hAnsi="宋体" w:cs="宋体"/>
          <w:sz w:val="22"/>
          <w:szCs w:val="22"/>
        </w:rPr>
        <w:t>（以下简称“申请人”）于</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日就</w:t>
      </w:r>
      <w:r>
        <w:rPr>
          <w:rFonts w:hint="eastAsia" w:ascii="宋体" w:hAnsi="宋体" w:cs="宋体"/>
          <w:snapToGrid w:val="0"/>
          <w:color w:val="000000"/>
          <w:kern w:val="0"/>
          <w:sz w:val="22"/>
          <w:szCs w:val="22"/>
          <w:u w:val="single"/>
        </w:rPr>
        <w:t xml:space="preserve">        </w:t>
      </w:r>
      <w:r>
        <w:rPr>
          <w:rFonts w:hint="eastAsia" w:ascii="宋体" w:hAnsi="宋体" w:cs="宋体"/>
          <w:snapToGrid w:val="0"/>
          <w:color w:val="000000"/>
          <w:kern w:val="0"/>
          <w:sz w:val="22"/>
          <w:szCs w:val="22"/>
        </w:rPr>
        <w:t>（标段编号）的</w:t>
      </w:r>
      <w:r>
        <w:rPr>
          <w:rFonts w:hint="eastAsia" w:ascii="宋体" w:hAnsi="宋体" w:cs="宋体"/>
          <w:snapToGrid w:val="0"/>
          <w:color w:val="000000"/>
          <w:kern w:val="0"/>
          <w:sz w:val="22"/>
          <w:szCs w:val="22"/>
          <w:u w:val="single"/>
        </w:rPr>
        <w:t xml:space="preserve">         </w:t>
      </w:r>
      <w:r>
        <w:rPr>
          <w:rFonts w:hint="eastAsia" w:ascii="宋体" w:hAnsi="宋体" w:cs="宋体"/>
          <w:snapToGrid w:val="0"/>
          <w:color w:val="000000"/>
          <w:kern w:val="0"/>
          <w:sz w:val="22"/>
          <w:szCs w:val="22"/>
        </w:rPr>
        <w:t>（标段名称）</w:t>
      </w:r>
      <w:r>
        <w:rPr>
          <w:rFonts w:hint="eastAsia" w:ascii="宋体" w:hAnsi="宋体" w:cs="宋体"/>
          <w:sz w:val="22"/>
          <w:szCs w:val="22"/>
        </w:rPr>
        <w:t>有关事项协商一致共同签订</w:t>
      </w:r>
      <w:r>
        <w:rPr>
          <w:rFonts w:hint="eastAsia" w:ascii="宋体" w:hAnsi="宋体" w:cs="宋体"/>
          <w:sz w:val="22"/>
          <w:szCs w:val="22"/>
          <w:u w:val="single"/>
        </w:rPr>
        <w:t>《        》</w:t>
      </w:r>
      <w:r>
        <w:rPr>
          <w:rFonts w:hint="eastAsia" w:ascii="宋体" w:hAnsi="宋体" w:cs="宋体"/>
          <w:sz w:val="22"/>
          <w:szCs w:val="22"/>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一、本保函担保范围：承包人未按照基础合同的约定履行义务，应当向受益人承担的违约责任和赔偿因此造成的损失、利息、律师费、诉讼费用等实现债权的费用。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二、本保函担保金额最高不超过人民币（大写）</w:t>
      </w:r>
      <w:r>
        <w:rPr>
          <w:rFonts w:hint="eastAsia" w:ascii="宋体" w:hAnsi="宋体" w:cs="宋体"/>
          <w:sz w:val="22"/>
          <w:szCs w:val="22"/>
          <w:u w:val="single"/>
        </w:rPr>
        <w:t xml:space="preserve">          </w:t>
      </w:r>
      <w:r>
        <w:rPr>
          <w:rFonts w:hint="eastAsia" w:ascii="宋体" w:hAnsi="宋体" w:cs="宋体"/>
          <w:sz w:val="22"/>
          <w:szCs w:val="22"/>
        </w:rPr>
        <w:t>元（¥</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三、本保函有效期自开立之日起至基础合同约定的缺陷责任期满之日止。 </w:t>
      </w:r>
    </w:p>
    <w:p>
      <w:pPr>
        <w:spacing w:line="400" w:lineRule="exact"/>
        <w:ind w:firstLine="480"/>
        <w:rPr>
          <w:rFonts w:hint="eastAsia" w:ascii="宋体" w:hAnsi="宋体" w:cs="宋体"/>
          <w:sz w:val="22"/>
          <w:szCs w:val="22"/>
        </w:rPr>
      </w:pPr>
      <w:bookmarkStart w:id="412" w:name="_Hlk40302764"/>
      <w:r>
        <w:rPr>
          <w:rFonts w:hint="eastAsia" w:ascii="宋体" w:hAnsi="宋体" w:cs="宋体"/>
          <w:sz w:val="22"/>
          <w:szCs w:val="22"/>
        </w:rPr>
        <w:t>四、开立人承诺，在收到受益人发来的书面付款通知后的七日内无条件支付，前述书面付款通知即为付款要求之单据，且应满足以下要求：</w:t>
      </w:r>
    </w:p>
    <w:bookmarkEnd w:id="412"/>
    <w:p>
      <w:pPr>
        <w:spacing w:line="360" w:lineRule="auto"/>
        <w:ind w:firstLine="440" w:firstLineChars="200"/>
        <w:rPr>
          <w:rFonts w:hint="eastAsia" w:ascii="宋体" w:hAnsi="宋体" w:cs="宋体"/>
          <w:sz w:val="22"/>
          <w:szCs w:val="22"/>
        </w:rPr>
      </w:pPr>
      <w:r>
        <w:rPr>
          <w:rFonts w:hint="eastAsia" w:ascii="宋体" w:hAnsi="宋体" w:cs="宋体"/>
          <w:sz w:val="22"/>
          <w:szCs w:val="22"/>
        </w:rPr>
        <w:t>（1）付款通知到达的日期在本保函的有效期内；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（2）载明要求支付的金额；</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（3）载明申请人违反合同义务的条款和内容；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（4）声明不存在合同文件约定或我国法律规定免除申请人或开立人支付责任的情形；</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（5）付款通知应在本保函有效期内到达的地址是：</w:t>
      </w:r>
      <w:r>
        <w:rPr>
          <w:rFonts w:hint="eastAsia" w:ascii="宋体" w:hAnsi="宋体" w:cs="宋体"/>
          <w:sz w:val="22"/>
          <w:szCs w:val="22"/>
          <w:u w:val="single"/>
        </w:rPr>
        <w:t xml:space="preserve">             </w:t>
      </w:r>
      <w:r>
        <w:rPr>
          <w:rFonts w:hint="eastAsia" w:ascii="宋体" w:hAnsi="宋体" w:cs="宋体"/>
          <w:sz w:val="22"/>
          <w:szCs w:val="22"/>
        </w:rPr>
        <w:t>。</w:t>
      </w:r>
    </w:p>
    <w:p>
      <w:pPr>
        <w:spacing w:line="400" w:lineRule="exact"/>
        <w:rPr>
          <w:rFonts w:hint="eastAsia" w:ascii="宋体" w:hAnsi="宋体" w:cs="宋体"/>
          <w:sz w:val="22"/>
          <w:szCs w:val="22"/>
        </w:rPr>
      </w:pPr>
      <w:r>
        <w:rPr>
          <w:rFonts w:hint="eastAsia" w:ascii="宋体" w:hAnsi="宋体" w:cs="宋体"/>
          <w:sz w:val="22"/>
          <w:szCs w:val="22"/>
        </w:rPr>
        <w:t xml:space="preserve">    </w:t>
      </w:r>
      <w:bookmarkStart w:id="413" w:name="_Hlk40303486"/>
      <w:r>
        <w:rPr>
          <w:rFonts w:hint="eastAsia" w:ascii="宋体" w:hAnsi="宋体" w:cs="宋体"/>
          <w:sz w:val="22"/>
          <w:szCs w:val="22"/>
        </w:rPr>
        <w:t>受益人发出的书面付款通知应由其法定代表人（负责人）或授权代理人签字并加盖公章。</w:t>
      </w:r>
      <w:bookmarkEnd w:id="413"/>
    </w:p>
    <w:p>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五、本保函项下的权利不得转让，不得设定担保。受益人未经我方书面同意转 让本保函或其项下任何权利，对我方不发生法律效力。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六、与本保函有关的基础合同不成立、不生效、无效、被撤销、被解除，不影响本保函的独立有效。 </w:t>
      </w:r>
    </w:p>
    <w:p>
      <w:pPr>
        <w:spacing w:line="400" w:lineRule="exact"/>
        <w:ind w:firstLine="440" w:firstLineChars="200"/>
        <w:rPr>
          <w:rFonts w:hint="eastAsia" w:ascii="宋体" w:hAnsi="宋体" w:cs="宋体"/>
          <w:sz w:val="22"/>
          <w:szCs w:val="22"/>
        </w:rPr>
      </w:pPr>
      <w:bookmarkStart w:id="414" w:name="_Hlk40303383"/>
      <w:bookmarkStart w:id="415" w:name="_Hlk40354981"/>
      <w:r>
        <w:rPr>
          <w:rFonts w:hint="eastAsia" w:ascii="宋体" w:hAnsi="宋体" w:cs="宋体"/>
          <w:sz w:val="22"/>
          <w:szCs w:val="22"/>
        </w:rPr>
        <w:t xml:space="preserve">七、本保函项下的义务和责任均在保函有效期到期后自动消灭。 </w:t>
      </w:r>
    </w:p>
    <w:p>
      <w:pPr>
        <w:spacing w:line="400" w:lineRule="exact"/>
        <w:ind w:firstLine="440" w:firstLineChars="200"/>
        <w:rPr>
          <w:rFonts w:hint="eastAsia" w:ascii="宋体" w:hAnsi="宋体" w:cs="宋体"/>
          <w:sz w:val="22"/>
          <w:szCs w:val="22"/>
        </w:rPr>
      </w:pPr>
      <w:r>
        <w:rPr>
          <w:rFonts w:hint="eastAsia" w:ascii="宋体" w:hAnsi="宋体" w:cs="宋体"/>
          <w:sz w:val="22"/>
          <w:szCs w:val="22"/>
        </w:rPr>
        <w:t>八、本保函适用的法律为中华人民共和国法律，因本保函产生的纠纷案件，</w:t>
      </w:r>
      <w:bookmarkEnd w:id="414"/>
      <w:r>
        <w:rPr>
          <w:rFonts w:hint="eastAsia" w:ascii="宋体" w:hAnsi="宋体" w:cs="宋体"/>
          <w:sz w:val="22"/>
          <w:szCs w:val="22"/>
        </w:rPr>
        <w:t xml:space="preserve">由受益人所在地人民法院管辖。 </w:t>
      </w:r>
    </w:p>
    <w:bookmarkEnd w:id="415"/>
    <w:p>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九、本保函自我方法定代表人或授权代表签字并加盖公章之日起生效。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开 立 人：</w:t>
      </w:r>
      <w:r>
        <w:rPr>
          <w:rFonts w:hint="eastAsia" w:ascii="宋体" w:hAnsi="宋体" w:cs="宋体"/>
          <w:sz w:val="22"/>
          <w:szCs w:val="22"/>
          <w:u w:val="single"/>
        </w:rPr>
        <w:t xml:space="preserve">                              </w:t>
      </w:r>
      <w:r>
        <w:rPr>
          <w:rFonts w:hint="eastAsia" w:ascii="宋体" w:hAnsi="宋体" w:cs="宋体"/>
          <w:sz w:val="22"/>
          <w:szCs w:val="22"/>
        </w:rPr>
        <w:t xml:space="preserve">（公章）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法定代表人（或授权代表）：</w:t>
      </w:r>
      <w:r>
        <w:rPr>
          <w:rFonts w:hint="eastAsia" w:ascii="宋体" w:hAnsi="宋体" w:cs="宋体"/>
          <w:sz w:val="22"/>
          <w:szCs w:val="22"/>
          <w:u w:val="single"/>
        </w:rPr>
        <w:t xml:space="preserve">               </w:t>
      </w:r>
      <w:r>
        <w:rPr>
          <w:rFonts w:hint="eastAsia" w:ascii="宋体" w:hAnsi="宋体" w:cs="宋体"/>
          <w:sz w:val="22"/>
          <w:szCs w:val="22"/>
        </w:rPr>
        <w:t xml:space="preserve">（签字）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地    址：</w:t>
      </w:r>
      <w:r>
        <w:rPr>
          <w:rFonts w:hint="eastAsia" w:ascii="宋体" w:hAnsi="宋体" w:cs="宋体"/>
          <w:sz w:val="22"/>
          <w:szCs w:val="22"/>
          <w:u w:val="single"/>
        </w:rPr>
        <w:t xml:space="preserve">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邮政编码：</w:t>
      </w:r>
      <w:r>
        <w:rPr>
          <w:rFonts w:hint="eastAsia" w:ascii="宋体" w:hAnsi="宋体" w:cs="宋体"/>
          <w:sz w:val="22"/>
          <w:szCs w:val="22"/>
          <w:u w:val="single"/>
        </w:rPr>
        <w:t xml:space="preserve">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电    话：</w:t>
      </w:r>
      <w:r>
        <w:rPr>
          <w:rFonts w:hint="eastAsia" w:ascii="宋体" w:hAnsi="宋体" w:cs="宋体"/>
          <w:sz w:val="22"/>
          <w:szCs w:val="22"/>
          <w:u w:val="single"/>
        </w:rPr>
        <w:t xml:space="preserve">                 </w:t>
      </w:r>
    </w:p>
    <w:p>
      <w:pPr>
        <w:spacing w:line="360" w:lineRule="auto"/>
        <w:ind w:firstLine="440" w:firstLineChars="200"/>
        <w:rPr>
          <w:rFonts w:hint="eastAsia" w:ascii="宋体" w:hAnsi="宋体" w:cs="宋体"/>
          <w:sz w:val="22"/>
          <w:szCs w:val="22"/>
          <w:u w:val="single"/>
        </w:rPr>
      </w:pPr>
      <w:r>
        <w:rPr>
          <w:rFonts w:hint="eastAsia" w:ascii="宋体" w:hAnsi="宋体" w:cs="宋体"/>
          <w:sz w:val="22"/>
          <w:szCs w:val="22"/>
        </w:rPr>
        <w:t>传    真：</w:t>
      </w:r>
      <w:r>
        <w:rPr>
          <w:rFonts w:hint="eastAsia" w:ascii="宋体" w:hAnsi="宋体" w:cs="宋体"/>
          <w:sz w:val="22"/>
          <w:szCs w:val="22"/>
          <w:u w:val="single"/>
        </w:rPr>
        <w:t xml:space="preserve">                 </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开立时间：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pPr>
    </w:p>
    <w:p>
      <w:pPr>
        <w:spacing w:line="360" w:lineRule="auto"/>
        <w:ind w:firstLine="440" w:firstLineChars="200"/>
        <w:rPr>
          <w:rFonts w:hint="eastAsia" w:ascii="宋体" w:hAnsi="宋体" w:cs="宋体"/>
          <w:sz w:val="22"/>
          <w:szCs w:val="22"/>
        </w:rPr>
        <w:sectPr>
          <w:footerReference r:id="rId9" w:type="default"/>
          <w:pgSz w:w="11907" w:h="16840"/>
          <w:pgMar w:top="1440" w:right="1247" w:bottom="1440" w:left="1247" w:header="851" w:footer="992" w:gutter="0"/>
          <w:cols w:space="720" w:num="1"/>
          <w:docGrid w:linePitch="303" w:charSpace="0"/>
        </w:sectPr>
      </w:pPr>
    </w:p>
    <w:p>
      <w:pPr>
        <w:spacing w:line="360" w:lineRule="auto"/>
        <w:ind w:firstLine="440" w:firstLineChars="200"/>
        <w:rPr>
          <w:rFonts w:hint="eastAsia" w:ascii="宋体" w:hAnsi="宋体" w:cs="宋体"/>
          <w:b/>
          <w:bCs/>
          <w:sz w:val="22"/>
          <w:szCs w:val="22"/>
        </w:rPr>
      </w:pPr>
      <w:r>
        <w:rPr>
          <w:rFonts w:hint="eastAsia" w:ascii="宋体" w:hAnsi="宋体" w:cs="宋体"/>
          <w:sz w:val="22"/>
          <w:szCs w:val="22"/>
        </w:rPr>
        <w:t>附件2</w:t>
      </w:r>
    </w:p>
    <w:p>
      <w:pPr>
        <w:spacing w:line="360" w:lineRule="auto"/>
        <w:ind w:firstLine="442" w:firstLineChars="200"/>
        <w:jc w:val="center"/>
        <w:rPr>
          <w:rFonts w:hint="eastAsia" w:ascii="宋体" w:hAnsi="宋体" w:cs="宋体"/>
          <w:b/>
          <w:bCs/>
          <w:sz w:val="22"/>
          <w:szCs w:val="22"/>
        </w:rPr>
      </w:pPr>
      <w:r>
        <w:rPr>
          <w:rFonts w:hint="eastAsia" w:ascii="宋体" w:hAnsi="宋体" w:cs="宋体"/>
          <w:b/>
          <w:bCs/>
          <w:sz w:val="22"/>
          <w:szCs w:val="22"/>
        </w:rPr>
        <w:t>工程质量保修书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发包人：安徽省第二人民医院</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承包人：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发包人、承包人根据《中华人民共和国建筑法</w:t>
      </w:r>
      <w:r>
        <w:rPr>
          <w:rFonts w:hint="eastAsia" w:ascii="宋体" w:hAnsi="宋体" w:cs="宋体"/>
          <w:sz w:val="22"/>
          <w:szCs w:val="22"/>
          <w:lang w:eastAsia="zh-CN"/>
        </w:rPr>
        <w:t>》《</w:t>
      </w:r>
      <w:r>
        <w:rPr>
          <w:rFonts w:hint="eastAsia" w:ascii="宋体" w:hAnsi="宋体" w:cs="宋体"/>
          <w:sz w:val="22"/>
          <w:szCs w:val="22"/>
        </w:rPr>
        <w:t>建设工程质量管理条例》</w:t>
      </w:r>
      <w:r>
        <w:rPr>
          <w:rFonts w:hint="eastAsia" w:ascii="宋体" w:hAnsi="宋体" w:cs="宋体"/>
          <w:sz w:val="22"/>
          <w:szCs w:val="22"/>
          <w:lang w:eastAsia="zh-CN"/>
        </w:rPr>
        <w:t>，</w:t>
      </w:r>
      <w:r>
        <w:rPr>
          <w:rFonts w:hint="eastAsia" w:ascii="宋体" w:hAnsi="宋体" w:cs="宋体"/>
          <w:sz w:val="22"/>
          <w:szCs w:val="22"/>
        </w:rPr>
        <w:t>参照《房屋建筑工程质量保修办法》，经协商一致，对安徽省第二人民医院专科医疗及科教功能区建设项目楼层配电箱采购项目工程</w:t>
      </w:r>
      <w:r>
        <w:rPr>
          <w:rFonts w:hint="eastAsia" w:ascii="宋体" w:hAnsi="宋体" w:cs="宋体"/>
          <w:sz w:val="22"/>
          <w:szCs w:val="22"/>
          <w:lang w:eastAsia="zh-CN"/>
        </w:rPr>
        <w:t>签订</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工程质量保修书。</w:t>
      </w:r>
    </w:p>
    <w:p>
      <w:pPr>
        <w:spacing w:line="360" w:lineRule="auto"/>
        <w:rPr>
          <w:rFonts w:hint="eastAsia" w:ascii="宋体" w:hAnsi="宋体" w:cs="宋体"/>
          <w:sz w:val="22"/>
          <w:szCs w:val="22"/>
        </w:rPr>
      </w:pPr>
      <w:r>
        <w:rPr>
          <w:rFonts w:hint="eastAsia" w:ascii="宋体" w:hAnsi="宋体" w:cs="宋体"/>
          <w:sz w:val="22"/>
          <w:szCs w:val="22"/>
        </w:rPr>
        <w:t>一、工程质量保修范围和内容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按照《建设工程质量管理条例》及有关</w:t>
      </w:r>
      <w:r>
        <w:rPr>
          <w:rFonts w:hint="eastAsia" w:ascii="宋体" w:hAnsi="宋体" w:cs="宋体"/>
          <w:sz w:val="22"/>
          <w:szCs w:val="22"/>
          <w:lang w:eastAsia="zh-CN"/>
        </w:rPr>
        <w:t>法律法规</w:t>
      </w:r>
      <w:r>
        <w:rPr>
          <w:rFonts w:hint="eastAsia" w:ascii="宋体" w:hAnsi="宋体" w:cs="宋体"/>
          <w:sz w:val="22"/>
          <w:szCs w:val="22"/>
        </w:rPr>
        <w:t>、规章的管理规定，双方约定由施工单位在</w:t>
      </w:r>
    </w:p>
    <w:p>
      <w:pPr>
        <w:spacing w:line="360" w:lineRule="auto"/>
        <w:rPr>
          <w:rFonts w:hint="eastAsia" w:ascii="宋体" w:hAnsi="宋体" w:cs="宋体"/>
          <w:sz w:val="22"/>
          <w:szCs w:val="22"/>
        </w:rPr>
      </w:pPr>
      <w:r>
        <w:rPr>
          <w:rFonts w:hint="eastAsia" w:ascii="宋体" w:hAnsi="宋体" w:cs="宋体"/>
          <w:sz w:val="22"/>
          <w:szCs w:val="22"/>
        </w:rPr>
        <w:t>免费质保期内，承担本工程的质量保修责任。质量保修范围和内容：详见合同约定</w:t>
      </w:r>
    </w:p>
    <w:p>
      <w:pPr>
        <w:spacing w:line="360" w:lineRule="auto"/>
        <w:rPr>
          <w:rFonts w:hint="eastAsia" w:ascii="宋体" w:hAnsi="宋体" w:cs="宋体"/>
          <w:sz w:val="22"/>
          <w:szCs w:val="22"/>
        </w:rPr>
      </w:pPr>
      <w:r>
        <w:rPr>
          <w:rFonts w:hint="eastAsia" w:ascii="宋体" w:hAnsi="宋体" w:cs="宋体"/>
          <w:sz w:val="22"/>
          <w:szCs w:val="22"/>
        </w:rPr>
        <w:t>二、免费质保期</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双方根据《建设工程质量管理条例》及有关规定，约定本工程的免费质保期如下：</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1</w:t>
      </w:r>
      <w:r>
        <w:rPr>
          <w:rFonts w:hint="eastAsia" w:ascii="宋体" w:hAnsi="宋体" w:cs="宋体"/>
          <w:sz w:val="22"/>
          <w:szCs w:val="22"/>
          <w:lang w:eastAsia="zh-CN"/>
        </w:rPr>
        <w:t>）</w:t>
      </w:r>
      <w:r>
        <w:rPr>
          <w:rFonts w:hint="eastAsia" w:ascii="宋体" w:hAnsi="宋体" w:cs="宋体"/>
          <w:sz w:val="22"/>
          <w:szCs w:val="22"/>
        </w:rPr>
        <w:t>地基基础工程和主体结构工程为设计文件规定的该工程合理使用年限；</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2</w:t>
      </w:r>
      <w:r>
        <w:rPr>
          <w:rFonts w:hint="eastAsia" w:ascii="宋体" w:hAnsi="宋体" w:cs="宋体"/>
          <w:sz w:val="22"/>
          <w:szCs w:val="22"/>
          <w:lang w:eastAsia="zh-CN"/>
        </w:rPr>
        <w:t>）</w:t>
      </w:r>
      <w:r>
        <w:rPr>
          <w:rFonts w:hint="eastAsia" w:ascii="宋体" w:hAnsi="宋体" w:cs="宋体"/>
          <w:sz w:val="22"/>
          <w:szCs w:val="22"/>
        </w:rPr>
        <w:t>屋面防水工程、有防水要求的卫生间、房间和外墙面的防渗漏为 5 年；</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3</w:t>
      </w:r>
      <w:r>
        <w:rPr>
          <w:rFonts w:hint="eastAsia" w:ascii="宋体" w:hAnsi="宋体" w:cs="宋体"/>
          <w:sz w:val="22"/>
          <w:szCs w:val="22"/>
          <w:lang w:eastAsia="zh-CN"/>
        </w:rPr>
        <w:t>）</w:t>
      </w:r>
      <w:r>
        <w:rPr>
          <w:rFonts w:hint="eastAsia" w:ascii="宋体" w:hAnsi="宋体" w:cs="宋体"/>
          <w:sz w:val="22"/>
          <w:szCs w:val="22"/>
        </w:rPr>
        <w:t>装修</w:t>
      </w:r>
      <w:r>
        <w:rPr>
          <w:rFonts w:hint="eastAsia" w:ascii="宋体" w:hAnsi="宋体" w:cs="宋体"/>
          <w:sz w:val="22"/>
          <w:szCs w:val="22"/>
          <w:lang w:eastAsia="zh-CN"/>
        </w:rPr>
        <w:t>工期</w:t>
      </w:r>
      <w:r>
        <w:rPr>
          <w:rFonts w:hint="eastAsia" w:ascii="宋体" w:hAnsi="宋体" w:cs="宋体"/>
          <w:sz w:val="22"/>
          <w:szCs w:val="22"/>
        </w:rPr>
        <w:t>为 2 年；</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4</w:t>
      </w:r>
      <w:r>
        <w:rPr>
          <w:rFonts w:hint="eastAsia" w:ascii="宋体" w:hAnsi="宋体" w:cs="宋体"/>
          <w:sz w:val="22"/>
          <w:szCs w:val="22"/>
          <w:lang w:eastAsia="zh-CN"/>
        </w:rPr>
        <w:t>）</w:t>
      </w:r>
      <w:r>
        <w:rPr>
          <w:rFonts w:hint="eastAsia" w:ascii="宋体" w:hAnsi="宋体" w:cs="宋体"/>
          <w:sz w:val="22"/>
          <w:szCs w:val="22"/>
        </w:rPr>
        <w:t>电气管线、给排水管道、设备安装</w:t>
      </w:r>
      <w:r>
        <w:rPr>
          <w:rFonts w:hint="eastAsia" w:ascii="宋体" w:hAnsi="宋体" w:cs="宋体"/>
          <w:sz w:val="22"/>
          <w:szCs w:val="22"/>
          <w:lang w:eastAsia="zh-CN"/>
        </w:rPr>
        <w:t>工期</w:t>
      </w:r>
      <w:r>
        <w:rPr>
          <w:rFonts w:hint="eastAsia" w:ascii="宋体" w:hAnsi="宋体" w:cs="宋体"/>
          <w:sz w:val="22"/>
          <w:szCs w:val="22"/>
        </w:rPr>
        <w:t>为</w:t>
      </w:r>
      <w:r>
        <w:rPr>
          <w:rFonts w:hint="eastAsia" w:ascii="宋体" w:hAnsi="宋体" w:cs="宋体"/>
          <w:b/>
          <w:bCs/>
          <w:color w:val="0000FF"/>
          <w:sz w:val="22"/>
          <w:szCs w:val="22"/>
          <w:highlight w:val="yellow"/>
        </w:rPr>
        <w:t xml:space="preserve"> 2 年</w:t>
      </w:r>
      <w:r>
        <w:rPr>
          <w:rFonts w:hint="eastAsia" w:ascii="宋体" w:hAnsi="宋体" w:cs="宋体"/>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5</w:t>
      </w:r>
      <w:r>
        <w:rPr>
          <w:rFonts w:hint="eastAsia" w:ascii="宋体" w:hAnsi="宋体" w:cs="宋体"/>
          <w:sz w:val="22"/>
          <w:szCs w:val="22"/>
          <w:lang w:eastAsia="zh-CN"/>
        </w:rPr>
        <w:t>）</w:t>
      </w:r>
      <w:r>
        <w:rPr>
          <w:rFonts w:hint="eastAsia" w:ascii="宋体" w:hAnsi="宋体" w:cs="宋体"/>
          <w:sz w:val="22"/>
          <w:szCs w:val="22"/>
        </w:rPr>
        <w:t>供热与供冷系统为 2 个采暖期、供冷期；</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6</w:t>
      </w:r>
      <w:r>
        <w:rPr>
          <w:rFonts w:hint="eastAsia" w:ascii="宋体" w:hAnsi="宋体" w:cs="宋体"/>
          <w:sz w:val="22"/>
          <w:szCs w:val="22"/>
          <w:lang w:eastAsia="zh-CN"/>
        </w:rPr>
        <w:t>）</w:t>
      </w:r>
      <w:r>
        <w:rPr>
          <w:rFonts w:hint="eastAsia" w:ascii="宋体" w:hAnsi="宋体" w:cs="宋体"/>
          <w:sz w:val="22"/>
          <w:szCs w:val="22"/>
        </w:rPr>
        <w:t>住宅小区内的给排水设施、道路等配套工程为 2 年；</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7</w:t>
      </w:r>
      <w:r>
        <w:rPr>
          <w:rFonts w:hint="eastAsia" w:ascii="宋体" w:hAnsi="宋体" w:cs="宋体"/>
          <w:sz w:val="22"/>
          <w:szCs w:val="22"/>
          <w:lang w:eastAsia="zh-CN"/>
        </w:rPr>
        <w:t>）</w:t>
      </w:r>
      <w:r>
        <w:rPr>
          <w:rFonts w:hint="eastAsia" w:ascii="宋体" w:hAnsi="宋体" w:cs="宋体"/>
          <w:sz w:val="22"/>
          <w:szCs w:val="22"/>
        </w:rPr>
        <w:t>其他项目保修期限约定如下保温工程 5 年。</w:t>
      </w:r>
    </w:p>
    <w:p>
      <w:pPr>
        <w:spacing w:line="360" w:lineRule="auto"/>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rPr>
        <w:t>8</w:t>
      </w:r>
      <w:r>
        <w:rPr>
          <w:rFonts w:hint="eastAsia" w:ascii="宋体" w:hAnsi="宋体" w:cs="宋体"/>
          <w:sz w:val="22"/>
          <w:szCs w:val="22"/>
          <w:lang w:eastAsia="zh-CN"/>
        </w:rPr>
        <w:t>）</w:t>
      </w:r>
      <w:r>
        <w:rPr>
          <w:rFonts w:hint="eastAsia" w:ascii="宋体" w:hAnsi="宋体" w:cs="宋体"/>
          <w:sz w:val="22"/>
          <w:szCs w:val="22"/>
        </w:rPr>
        <w:t>本项目质保期为：2 年。</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免费质保期自工程竣工验收合格之日起计算。</w:t>
      </w:r>
    </w:p>
    <w:p>
      <w:pPr>
        <w:spacing w:line="360" w:lineRule="auto"/>
        <w:rPr>
          <w:rFonts w:hint="eastAsia" w:ascii="宋体" w:hAnsi="宋体" w:cs="宋体"/>
          <w:sz w:val="22"/>
          <w:szCs w:val="22"/>
        </w:rPr>
      </w:pPr>
      <w:r>
        <w:rPr>
          <w:rFonts w:hint="eastAsia" w:ascii="宋体" w:hAnsi="宋体" w:cs="宋体"/>
          <w:sz w:val="22"/>
          <w:szCs w:val="22"/>
        </w:rPr>
        <w:t>三、质量保修责任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1．属于保修范围、内容的项目，承包人应当在接到报修通知之日起 1 天内派人维修。承包人不在约定期限内派人保修的，发包人可以委托他人修理</w:t>
      </w:r>
      <w:r>
        <w:rPr>
          <w:rFonts w:hint="eastAsia" w:ascii="宋体" w:hAnsi="宋体" w:cs="宋体"/>
          <w:sz w:val="22"/>
          <w:szCs w:val="22"/>
          <w:lang w:eastAsia="zh-CN"/>
        </w:rPr>
        <w:t>，</w:t>
      </w:r>
      <w:r>
        <w:rPr>
          <w:rFonts w:hint="eastAsia" w:ascii="宋体" w:hAnsi="宋体" w:cs="宋体"/>
          <w:sz w:val="22"/>
          <w:szCs w:val="22"/>
        </w:rPr>
        <w:t>产生的费用由承包人承担，发包人有权直接从质保金中扣除，并支付给委托维修人员，承包人不得拒绝。质保金不足的，发包人有权向承包人追偿。</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2．发生紧急事故需抢修的，承包人在接到事故通知后，应当立即到达事故现场抢修。承包人未派人到现场抢修的，发包人可以委托他人抢修</w:t>
      </w:r>
      <w:r>
        <w:rPr>
          <w:rFonts w:hint="eastAsia" w:ascii="宋体" w:hAnsi="宋体" w:cs="宋体"/>
          <w:sz w:val="22"/>
          <w:szCs w:val="22"/>
          <w:lang w:eastAsia="zh-CN"/>
        </w:rPr>
        <w:t>，</w:t>
      </w:r>
      <w:r>
        <w:rPr>
          <w:rFonts w:hint="eastAsia" w:ascii="宋体" w:hAnsi="宋体" w:cs="宋体"/>
          <w:sz w:val="22"/>
          <w:szCs w:val="22"/>
        </w:rPr>
        <w:t>产生的费用由承包人承担，发包人有权直接从质保金中扣除，并支付给委托维修人员，承包人不得拒绝。质保金不足的，发包人有权向承包人追偿。</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⒊对于涉及结构安全的质量问题，应当立即向当地建设行政主管部门报告，采取安全防范措施；由原设计单位或者具有相应资质等级的设计单位提出保修方案，承包人实施保修。</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⒋质量保修完成后，由发包人组织验收。</w:t>
      </w:r>
    </w:p>
    <w:p>
      <w:pPr>
        <w:spacing w:line="360" w:lineRule="auto"/>
        <w:rPr>
          <w:rFonts w:hint="eastAsia" w:ascii="宋体" w:hAnsi="宋体" w:cs="宋体"/>
          <w:sz w:val="22"/>
          <w:szCs w:val="22"/>
        </w:rPr>
      </w:pPr>
      <w:r>
        <w:rPr>
          <w:rFonts w:hint="eastAsia" w:ascii="宋体" w:hAnsi="宋体" w:cs="宋体"/>
          <w:sz w:val="22"/>
          <w:szCs w:val="22"/>
        </w:rPr>
        <w:t>四、保修费用</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保修费用由造成质量缺陷的责任方承担。</w:t>
      </w:r>
    </w:p>
    <w:p>
      <w:pPr>
        <w:spacing w:line="360" w:lineRule="auto"/>
        <w:rPr>
          <w:rFonts w:hint="eastAsia" w:ascii="宋体" w:hAnsi="宋体" w:cs="宋体"/>
          <w:sz w:val="22"/>
          <w:szCs w:val="22"/>
        </w:rPr>
      </w:pPr>
      <w:r>
        <w:rPr>
          <w:rFonts w:hint="eastAsia" w:ascii="宋体" w:hAnsi="宋体" w:cs="宋体"/>
          <w:sz w:val="22"/>
          <w:szCs w:val="22"/>
        </w:rPr>
        <w:t>五、因不可抗力或使用不当造成的质量缺陷，不属保修范围。</w:t>
      </w:r>
    </w:p>
    <w:p>
      <w:pPr>
        <w:spacing w:line="360" w:lineRule="auto"/>
        <w:rPr>
          <w:rFonts w:hint="eastAsia" w:ascii="宋体" w:hAnsi="宋体" w:cs="宋体"/>
          <w:sz w:val="22"/>
          <w:szCs w:val="22"/>
        </w:rPr>
      </w:pPr>
      <w:r>
        <w:rPr>
          <w:rFonts w:hint="eastAsia" w:ascii="宋体" w:hAnsi="宋体" w:cs="宋体"/>
          <w:sz w:val="22"/>
          <w:szCs w:val="22"/>
        </w:rPr>
        <w:t>六、本工程质量保修书，由施工合同发包人、承包人双方在竣工验收前共同签署，自双方签</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字并盖章之日起生效。作为施工合同附件，其有效期限至保修期满。</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发 包 人（公章）：                         承 包 人（公章）：</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法定代表人或授权代表人：                   法定代表人或授权代表人：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（签字）                                      （签字）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项目负责人：                               项目负责人：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项目经办人：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合同经办人：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年 月 日 年 月 日</w:t>
      </w:r>
    </w:p>
    <w:p>
      <w:pPr>
        <w:spacing w:line="360" w:lineRule="auto"/>
        <w:ind w:firstLine="440" w:firstLineChars="200"/>
        <w:rPr>
          <w:rFonts w:hint="eastAsia" w:ascii="宋体" w:hAnsi="宋体" w:cs="宋体"/>
          <w:sz w:val="22"/>
          <w:szCs w:val="22"/>
        </w:rPr>
        <w:sectPr>
          <w:pgSz w:w="11907" w:h="16840"/>
          <w:pgMar w:top="1440" w:right="1247" w:bottom="1440" w:left="1247" w:header="851" w:footer="992" w:gutter="0"/>
          <w:cols w:space="720" w:num="1"/>
          <w:docGrid w:linePitch="303" w:charSpace="0"/>
        </w:sectPr>
      </w:pPr>
    </w:p>
    <w:p>
      <w:pPr>
        <w:spacing w:line="360" w:lineRule="auto"/>
        <w:ind w:firstLine="440" w:firstLineChars="200"/>
        <w:rPr>
          <w:rFonts w:hint="eastAsia" w:ascii="宋体" w:hAnsi="宋体" w:cs="宋体"/>
          <w:sz w:val="22"/>
          <w:szCs w:val="22"/>
        </w:rPr>
      </w:pPr>
      <w:r>
        <w:rPr>
          <w:rFonts w:hint="eastAsia" w:ascii="宋体" w:hAnsi="宋体" w:cs="宋体"/>
          <w:sz w:val="22"/>
          <w:szCs w:val="22"/>
        </w:rPr>
        <w:t>附件 3</w:t>
      </w:r>
    </w:p>
    <w:p>
      <w:pPr>
        <w:spacing w:line="360" w:lineRule="auto"/>
        <w:ind w:firstLine="442" w:firstLineChars="200"/>
        <w:jc w:val="center"/>
        <w:rPr>
          <w:rFonts w:hint="eastAsia" w:ascii="宋体" w:hAnsi="宋体" w:cs="宋体"/>
          <w:sz w:val="22"/>
          <w:szCs w:val="22"/>
        </w:rPr>
      </w:pPr>
      <w:r>
        <w:rPr>
          <w:rFonts w:hint="eastAsia" w:ascii="宋体" w:hAnsi="宋体" w:cs="宋体"/>
          <w:b/>
          <w:bCs/>
          <w:sz w:val="22"/>
          <w:szCs w:val="22"/>
        </w:rPr>
        <w:t>安全生产文明施工协议书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甲方： 安徽省第二人民医院</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乙方：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为了切实加强施工现场安全管理，落实“安全</w:t>
      </w:r>
      <w:r>
        <w:rPr>
          <w:rFonts w:hint="eastAsia" w:ascii="宋体" w:hAnsi="宋体" w:cs="宋体"/>
          <w:sz w:val="22"/>
          <w:szCs w:val="22"/>
          <w:lang w:eastAsia="zh-CN"/>
        </w:rPr>
        <w:t>第一，</w:t>
      </w:r>
      <w:r>
        <w:rPr>
          <w:rFonts w:hint="eastAsia" w:ascii="宋体" w:hAnsi="宋体" w:cs="宋体"/>
          <w:sz w:val="22"/>
          <w:szCs w:val="22"/>
        </w:rPr>
        <w:t>预防为主”的安全生产方针，依照《中华人民共和国安全生产法</w:t>
      </w:r>
      <w:r>
        <w:rPr>
          <w:rFonts w:hint="eastAsia" w:ascii="宋体" w:hAnsi="宋体" w:cs="宋体"/>
          <w:sz w:val="22"/>
          <w:szCs w:val="22"/>
          <w:lang w:eastAsia="zh-CN"/>
        </w:rPr>
        <w:t>》《</w:t>
      </w:r>
      <w:r>
        <w:rPr>
          <w:rFonts w:hint="eastAsia" w:ascii="宋体" w:hAnsi="宋体" w:cs="宋体"/>
          <w:sz w:val="22"/>
          <w:szCs w:val="22"/>
        </w:rPr>
        <w:t>建设工程安全生产管理条例</w:t>
      </w:r>
      <w:r>
        <w:rPr>
          <w:rFonts w:hint="eastAsia" w:ascii="宋体" w:hAnsi="宋体" w:cs="宋体"/>
          <w:sz w:val="22"/>
          <w:szCs w:val="22"/>
          <w:lang w:eastAsia="zh-CN"/>
        </w:rPr>
        <w:t>》《</w:t>
      </w:r>
      <w:r>
        <w:rPr>
          <w:rFonts w:hint="eastAsia" w:ascii="宋体" w:hAnsi="宋体" w:cs="宋体"/>
          <w:sz w:val="22"/>
          <w:szCs w:val="22"/>
        </w:rPr>
        <w:t>安徽省建筑工程安全监督办法</w:t>
      </w:r>
      <w:r>
        <w:rPr>
          <w:rFonts w:hint="eastAsia" w:ascii="宋体" w:hAnsi="宋体" w:cs="宋体"/>
          <w:sz w:val="22"/>
          <w:szCs w:val="22"/>
          <w:lang w:eastAsia="zh-CN"/>
        </w:rPr>
        <w:t>》《中华</w:t>
      </w:r>
      <w:r>
        <w:rPr>
          <w:rFonts w:hint="eastAsia" w:ascii="宋体" w:hAnsi="宋体" w:cs="宋体"/>
          <w:sz w:val="22"/>
          <w:szCs w:val="22"/>
        </w:rPr>
        <w:t>人民共和国民法典》等相关法律法规的规定，经甲乙双方协商一致，签订本协议书。甲、乙双方均须严格遵守本协议书规定的条款内容，确保施工现场的安全生产，倡导安全文明示范工地。</w:t>
      </w:r>
    </w:p>
    <w:p>
      <w:pPr>
        <w:spacing w:line="360" w:lineRule="auto"/>
        <w:rPr>
          <w:rFonts w:hint="eastAsia" w:ascii="宋体" w:hAnsi="宋体" w:cs="宋体"/>
          <w:sz w:val="22"/>
          <w:szCs w:val="22"/>
        </w:rPr>
      </w:pPr>
      <w:r>
        <w:rPr>
          <w:rFonts w:hint="eastAsia" w:ascii="宋体" w:hAnsi="宋体" w:cs="宋体"/>
          <w:sz w:val="22"/>
          <w:szCs w:val="22"/>
        </w:rPr>
        <w:t>一、工程概况：</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工程名称：</w:t>
      </w:r>
      <w:r>
        <w:rPr>
          <w:rFonts w:hint="eastAsia" w:ascii="宋体" w:hAnsi="宋体" w:cs="宋体"/>
          <w:b/>
          <w:bCs/>
          <w:color w:val="000000"/>
          <w:kern w:val="0"/>
          <w:sz w:val="18"/>
          <w:szCs w:val="18"/>
        </w:rPr>
        <w:t>安徽省第二人民医院专科医疗及科教功能区建设项目楼层配电箱采购项目</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工程地点：合肥市，甲方指定地点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工程内容：详见招标文件、图纸、清单、补充答疑等所包含的全部内容。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工程范围：详见招标文件、图纸、清单、补充答疑等所包含的全部内容。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承包方式：专业承包。</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合同工期及质保期：按合同约定执行。</w:t>
      </w:r>
    </w:p>
    <w:p>
      <w:pPr>
        <w:spacing w:line="360" w:lineRule="auto"/>
        <w:rPr>
          <w:rFonts w:hint="eastAsia" w:ascii="宋体" w:hAnsi="宋体" w:cs="宋体"/>
          <w:sz w:val="22"/>
          <w:szCs w:val="22"/>
        </w:rPr>
      </w:pPr>
      <w:r>
        <w:rPr>
          <w:rFonts w:hint="eastAsia" w:ascii="宋体" w:hAnsi="宋体" w:cs="宋体"/>
          <w:sz w:val="22"/>
          <w:szCs w:val="22"/>
        </w:rPr>
        <w:t>二、乙方安全文明生产要求</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1、贯彻落实国家及当地政府或建设行政主管部门有关施工安全生产文明施工管理的法律法规和管理规定，对现场进行全面的安全生产文明施工</w:t>
      </w:r>
      <w:r>
        <w:rPr>
          <w:rFonts w:hint="eastAsia" w:ascii="宋体" w:hAnsi="宋体" w:cs="宋体"/>
          <w:sz w:val="22"/>
          <w:szCs w:val="22"/>
          <w:lang w:eastAsia="zh-CN"/>
        </w:rPr>
        <w:t>系统</w:t>
      </w:r>
      <w:r>
        <w:rPr>
          <w:rFonts w:hint="eastAsia" w:ascii="宋体" w:hAnsi="宋体" w:cs="宋体"/>
          <w:sz w:val="22"/>
          <w:szCs w:val="22"/>
        </w:rPr>
        <w:t>管理。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2、乙方进场前需缴纳 / 万元的安全生产﹑文明施工保证金，在工程竣工验收合同并移交后，经相关部门确认后，如没有发生安全生产和文明施工等方面的问题，甲方将保证金如数无息退还给乙方。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3、设立安全生产管理机构，配备安全员，建立健全安全生产责任制和安全生产管理制度，做好安全生产管理台账。乙方指定 为现场专职安全负责人， 为现场专职安全管理员。</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4、服从甲方安全部门、现场安全管理人员及监理的安全检查和合理建议，并提供相关安全管理资料和安全管理台账。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5、做好施工现场文明施工管理，建立健全安全生产和文明施工制度。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①在工程建设费用中必须列支足够的安全生产和文明施工专项经费；</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②乙方必须做好施工期间的安全保障措施；</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③应派出足够的专业专职安全管理人员；</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④负责现场保卫工作，并有责任阻止非本工种相关人员进入现场；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⑤制定专项方案和安全保障措施，杜绝安全事故的发生。</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6、在现场建立消防安全责任制度及使用明火申请批准制度。</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7、</w:t>
      </w:r>
      <w:r>
        <w:rPr>
          <w:rFonts w:hint="eastAsia" w:ascii="宋体" w:hAnsi="宋体" w:cs="宋体"/>
          <w:sz w:val="22"/>
          <w:szCs w:val="22"/>
          <w:lang w:eastAsia="zh-CN"/>
        </w:rPr>
        <w:t>对</w:t>
      </w:r>
      <w:r>
        <w:rPr>
          <w:rFonts w:hint="eastAsia" w:ascii="宋体" w:hAnsi="宋体" w:cs="宋体"/>
          <w:sz w:val="22"/>
          <w:szCs w:val="22"/>
        </w:rPr>
        <w:t>施工人员进行作业前安全教育培训，使其具备相应的安全意识和安全技能，特种作业人员必须持证上岗。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8、定期组织安全生产培训教育和安全生产活动，为本单位作业人员提供合格的劳动保护用品，进行危险预知的教育。乙方使用的各种劳动防护用品，必须经政府有关劳动安全产品检验部门检验合格。</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9、做好职工食堂的食品卫生工作，宿舍的卫生防火防盗和用电管理工作以及职业病预防工作。</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10、定期组织检查现场施工人员的安全环境，在检查中发现事故隐患，应及时向甲方报告，并组织整改，</w:t>
      </w:r>
      <w:r>
        <w:rPr>
          <w:rFonts w:hint="eastAsia" w:ascii="宋体" w:hAnsi="宋体" w:cs="宋体"/>
          <w:sz w:val="22"/>
          <w:szCs w:val="22"/>
          <w:lang w:eastAsia="zh-CN"/>
        </w:rPr>
        <w:t>消除隐患</w:t>
      </w:r>
      <w:r>
        <w:rPr>
          <w:rFonts w:hint="eastAsia" w:ascii="宋体" w:hAnsi="宋体" w:cs="宋体"/>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11、遵守甲方和监理管理规定，接受甲方﹑监理和地方建设行政主管部门组织的安全检查和按相关规定进行的安全考核。</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12、发生一切施工安全事故均由乙方全部负责，并承担一切经济损失和赔偿责任。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13、发生施工安全事故后，应按照相关规定如实向当地政府或有关行业主管部门报告，同时如实向甲方报告。</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14、乙方应提供安全检查、培训、学习实施方案给甲方备案，乙方在执行中必须有痕迹记录。</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15、根据合肥市大气污染防治规定，乙方须制定施工环保防尘防污染措施，报甲方﹑监理和环保﹑城管备案。乙方承建的工程必须落实“围盖洒洗”等防尘防污染措施，工地未建成清洗设施的一律不得开挖渣土及其他施工作业；砂浆搅拌场所必须采取封闭、降尘等措施。施工中发生的环</w:t>
      </w:r>
      <w:r>
        <w:rPr>
          <w:rFonts w:hint="eastAsia" w:ascii="宋体" w:hAnsi="宋体" w:cs="宋体"/>
          <w:sz w:val="22"/>
          <w:szCs w:val="22"/>
          <w:lang w:eastAsia="zh-CN"/>
        </w:rPr>
        <w:t>境</w:t>
      </w:r>
      <w:r>
        <w:rPr>
          <w:rFonts w:hint="eastAsia" w:ascii="宋体" w:hAnsi="宋体" w:cs="宋体"/>
          <w:sz w:val="22"/>
          <w:szCs w:val="22"/>
        </w:rPr>
        <w:t>污染等事故由乙方负全部责任并承担一切经济损失和赔偿责任。</w:t>
      </w:r>
    </w:p>
    <w:p>
      <w:pPr>
        <w:spacing w:line="360" w:lineRule="auto"/>
        <w:rPr>
          <w:rFonts w:hint="eastAsia" w:ascii="宋体" w:hAnsi="宋体" w:cs="宋体"/>
          <w:sz w:val="22"/>
          <w:szCs w:val="22"/>
        </w:rPr>
      </w:pPr>
      <w:r>
        <w:rPr>
          <w:rFonts w:hint="eastAsia" w:ascii="宋体" w:hAnsi="宋体" w:cs="宋体"/>
          <w:sz w:val="22"/>
          <w:szCs w:val="22"/>
        </w:rPr>
        <w:t>三、甲方的权利和义务：</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1、贯彻落实国家及当地政府或建设行政主管部门有关施工现场安全生产管理的法律法规和管理规定，对现场进行安全生产监督检查和协调管理。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2、有权审查乙方安全施工保障体系。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3、有权要求乙方按照相关规定，制定各项安全措施和施工现场《安全事故应急救援预案》并报甲方和监理备案，协助乙方搞好安全生产、防火管理以及督促乙方常规性检查现场安全管理工作。</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协助乙方进行安全生产检查，督促乙方执行有关安全生产方面的工作，对乙方不符合安全文明的行为进行制止和纠正。乙方在施工中发生违反管理制度和有关规定的不良行为，经甲方有关部门查实后，将严格按照行政主管部门或甲方的有关规定进行处罚；对检查中发现的安全隐患，有权通过经济制约或处罚使其得到纠正和整改。对发生的不良行为和整改不彻底的安全隐患甲方和监理有权视严重程度给予停工整顿、</w:t>
      </w:r>
      <w:r>
        <w:rPr>
          <w:rFonts w:hint="eastAsia" w:ascii="宋体" w:hAnsi="宋体" w:cs="宋体"/>
          <w:sz w:val="22"/>
          <w:szCs w:val="22"/>
          <w:lang w:eastAsia="zh-CN"/>
        </w:rPr>
        <w:t>终止</w:t>
      </w:r>
      <w:r>
        <w:rPr>
          <w:rFonts w:hint="eastAsia" w:ascii="宋体" w:hAnsi="宋体" w:cs="宋体"/>
          <w:sz w:val="22"/>
          <w:szCs w:val="22"/>
        </w:rPr>
        <w:t>合同直至清退出场并追究其责任。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5、甲方和监理有权对乙方未遵守本协议书的行为，依照现场实际给予相应的经济处罚，并责令提交整改方案且按方案实施整改，由此造成的一切损失由乙方自行承担。处罚费用</w:t>
      </w:r>
      <w:r>
        <w:rPr>
          <w:rFonts w:hint="eastAsia" w:ascii="宋体" w:hAnsi="宋体" w:cs="宋体"/>
          <w:sz w:val="22"/>
          <w:szCs w:val="22"/>
          <w:lang w:eastAsia="zh-CN"/>
        </w:rPr>
        <w:t>可</w:t>
      </w:r>
      <w:r>
        <w:rPr>
          <w:rFonts w:hint="eastAsia" w:ascii="宋体" w:hAnsi="宋体" w:cs="宋体"/>
          <w:sz w:val="22"/>
          <w:szCs w:val="22"/>
        </w:rPr>
        <w:t>从乙方</w:t>
      </w:r>
      <w:r>
        <w:rPr>
          <w:rFonts w:hint="eastAsia" w:ascii="宋体" w:hAnsi="宋体" w:cs="宋体"/>
          <w:sz w:val="22"/>
          <w:szCs w:val="22"/>
          <w:lang w:eastAsia="zh-CN"/>
        </w:rPr>
        <w:t>缴纳</w:t>
      </w:r>
      <w:r>
        <w:rPr>
          <w:rFonts w:hint="eastAsia" w:ascii="宋体" w:hAnsi="宋体" w:cs="宋体"/>
          <w:sz w:val="22"/>
          <w:szCs w:val="22"/>
        </w:rPr>
        <w:t>的安全保证金中扣除，也可从甲方向乙方支付的工程款中予以扣除。</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6、甲方的安全部为安全生产管理部门，甲方指定 </w:t>
      </w:r>
      <w:r>
        <w:rPr>
          <w:rFonts w:hint="eastAsia" w:ascii="宋体" w:hAnsi="宋体" w:cs="宋体"/>
          <w:sz w:val="22"/>
          <w:szCs w:val="22"/>
          <w:lang w:eastAsia="zh-CN"/>
        </w:rPr>
        <w:t>为现场</w:t>
      </w:r>
      <w:r>
        <w:rPr>
          <w:rFonts w:hint="eastAsia" w:ascii="宋体" w:hAnsi="宋体" w:cs="宋体"/>
          <w:sz w:val="22"/>
          <w:szCs w:val="22"/>
        </w:rPr>
        <w:t>安全负责人， 为现场专职</w:t>
      </w:r>
      <w:r>
        <w:rPr>
          <w:rFonts w:hint="eastAsia" w:ascii="宋体" w:hAnsi="宋体" w:cs="宋体"/>
          <w:sz w:val="22"/>
          <w:szCs w:val="22"/>
          <w:lang w:eastAsia="zh-CN"/>
        </w:rPr>
        <w:t>（</w:t>
      </w:r>
      <w:r>
        <w:rPr>
          <w:rFonts w:hint="eastAsia" w:ascii="宋体" w:hAnsi="宋体" w:cs="宋体"/>
          <w:sz w:val="22"/>
          <w:szCs w:val="22"/>
        </w:rPr>
        <w:t>兼职</w:t>
      </w:r>
      <w:r>
        <w:rPr>
          <w:rFonts w:hint="eastAsia" w:ascii="宋体" w:hAnsi="宋体" w:cs="宋体"/>
          <w:sz w:val="22"/>
          <w:szCs w:val="22"/>
          <w:lang w:eastAsia="zh-CN"/>
        </w:rPr>
        <w:t>）</w:t>
      </w:r>
      <w:r>
        <w:rPr>
          <w:rFonts w:hint="eastAsia" w:ascii="宋体" w:hAnsi="宋体" w:cs="宋体"/>
          <w:sz w:val="22"/>
          <w:szCs w:val="22"/>
        </w:rPr>
        <w:t>安全管理员。</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7、甲方对乙方的安全生产和文明施工过程有权进行监督、管理、要求整改并按期回复；有权要求乙方配合甲方的各项检查。</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8、配合对乙方的安全生产培训、劳动保护用品的使用提出意见，并有权监督落实。</w:t>
      </w:r>
    </w:p>
    <w:p>
      <w:pPr>
        <w:spacing w:line="360" w:lineRule="auto"/>
        <w:rPr>
          <w:rFonts w:hint="eastAsia" w:ascii="宋体" w:hAnsi="宋体" w:cs="宋体"/>
          <w:sz w:val="22"/>
          <w:szCs w:val="22"/>
        </w:rPr>
      </w:pPr>
      <w:r>
        <w:rPr>
          <w:rFonts w:hint="eastAsia" w:ascii="宋体" w:hAnsi="宋体" w:cs="宋体"/>
          <w:sz w:val="22"/>
          <w:szCs w:val="22"/>
        </w:rPr>
        <w:t>四、违约责任的处理和时效：</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1、除不可抗拒的自然灾害，不论何种原因发生在乙方工程范围内的安全生产事故、环</w:t>
      </w:r>
      <w:r>
        <w:rPr>
          <w:rFonts w:hint="eastAsia" w:ascii="宋体" w:hAnsi="宋体" w:cs="宋体"/>
          <w:sz w:val="22"/>
          <w:szCs w:val="22"/>
          <w:lang w:eastAsia="zh-CN"/>
        </w:rPr>
        <w:t>境</w:t>
      </w:r>
      <w:r>
        <w:rPr>
          <w:rFonts w:hint="eastAsia" w:ascii="宋体" w:hAnsi="宋体" w:cs="宋体"/>
          <w:sz w:val="22"/>
          <w:szCs w:val="22"/>
        </w:rPr>
        <w:t>污染事故和纠纷，均由乙方负责，并承担责任和相关经济费用和损失，甲方不承担任何责任和经济费用。如给甲方造成经济和名誉损失的，甲方除处罚安全保证金外保留向乙方通过扣留、处罚工程款或法律程序索赔的权利。</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2、对乙方发生安全生产事故或环保污染事故后弄虚作假、隐瞒不报、迟报或谎报，给甲方造成经济或名誉损失的，一经查出，甲方除处罚安全保证金外保留向乙方通过扣留、处罚工程款或法律程序索赔的权利。</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3、乙方在施工过程中，对甲方设施﹑设备造成的损坏等事故责任由乙方承担，并负责赔偿事故所造成的一切损失，按规定追究乙方相关人员的法律责任。</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4、乙方承建的工程在质保期内（含延迟交付的时间推算质保期）以及因建筑质量造成的永久性质量安全责任均由乙方负责。</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5、本协议规定的安全生产文明施工时效为甲乙双方签订施工合同起至该工程竣工验收备案质保期结束后止</w:t>
      </w:r>
      <w:r>
        <w:rPr>
          <w:rFonts w:hint="eastAsia" w:ascii="宋体" w:hAnsi="宋体" w:cs="宋体"/>
          <w:sz w:val="22"/>
          <w:szCs w:val="22"/>
          <w:lang w:eastAsia="zh-CN"/>
        </w:rPr>
        <w:t>，不</w:t>
      </w:r>
      <w:r>
        <w:rPr>
          <w:rFonts w:hint="eastAsia" w:ascii="宋体" w:hAnsi="宋体" w:cs="宋体"/>
          <w:sz w:val="22"/>
          <w:szCs w:val="22"/>
        </w:rPr>
        <w:t>含任何原因延期交付的时间。</w:t>
      </w:r>
    </w:p>
    <w:p>
      <w:pPr>
        <w:spacing w:line="360" w:lineRule="auto"/>
        <w:rPr>
          <w:rFonts w:hint="eastAsia" w:ascii="宋体" w:hAnsi="宋体" w:cs="宋体"/>
          <w:sz w:val="22"/>
          <w:szCs w:val="22"/>
        </w:rPr>
      </w:pPr>
      <w:r>
        <w:rPr>
          <w:rFonts w:hint="eastAsia" w:ascii="宋体" w:hAnsi="宋体" w:cs="宋体"/>
          <w:sz w:val="22"/>
          <w:szCs w:val="22"/>
        </w:rPr>
        <w:t>五、附加条款：</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1、甲乙双方签订本协议时，乙方向甲方提供安全生产资质</w:t>
      </w:r>
      <w:r>
        <w:rPr>
          <w:rFonts w:hint="eastAsia" w:ascii="宋体" w:hAnsi="宋体" w:cs="宋体"/>
          <w:sz w:val="22"/>
          <w:szCs w:val="22"/>
          <w:lang w:eastAsia="zh-CN"/>
        </w:rPr>
        <w:t>（</w:t>
      </w:r>
      <w:r>
        <w:rPr>
          <w:rFonts w:hint="eastAsia" w:ascii="宋体" w:hAnsi="宋体" w:cs="宋体"/>
          <w:sz w:val="22"/>
          <w:szCs w:val="22"/>
        </w:rPr>
        <w:t>许可</w:t>
      </w:r>
      <w:r>
        <w:rPr>
          <w:rFonts w:hint="eastAsia" w:ascii="宋体" w:hAnsi="宋体" w:cs="宋体"/>
          <w:sz w:val="22"/>
          <w:szCs w:val="22"/>
          <w:lang w:eastAsia="zh-CN"/>
        </w:rPr>
        <w:t>）</w:t>
      </w:r>
      <w:r>
        <w:rPr>
          <w:rFonts w:hint="eastAsia" w:ascii="宋体" w:hAnsi="宋体" w:cs="宋体"/>
          <w:sz w:val="22"/>
          <w:szCs w:val="22"/>
        </w:rPr>
        <w:t>证的加章影印件一份。</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2、甲乙双方签订本协议时，乙方向甲方提供安全生产文明施工承诺书一份。</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六、本协议书一式肆份，甲乙双方各执贰份</w:t>
      </w:r>
      <w:r>
        <w:rPr>
          <w:rFonts w:hint="eastAsia" w:ascii="宋体" w:hAnsi="宋体" w:cs="宋体"/>
          <w:sz w:val="22"/>
          <w:szCs w:val="22"/>
          <w:lang w:eastAsia="zh-CN"/>
        </w:rPr>
        <w:t>，</w:t>
      </w:r>
      <w:r>
        <w:rPr>
          <w:rFonts w:hint="eastAsia" w:ascii="宋体" w:hAnsi="宋体" w:cs="宋体"/>
          <w:sz w:val="22"/>
          <w:szCs w:val="22"/>
        </w:rPr>
        <w:t>具有同等法律效力，双方签字并盖章</w:t>
      </w:r>
      <w:r>
        <w:rPr>
          <w:rFonts w:hint="eastAsia" w:ascii="宋体" w:hAnsi="宋体" w:cs="宋体"/>
          <w:sz w:val="22"/>
          <w:szCs w:val="22"/>
          <w:lang w:eastAsia="zh-CN"/>
        </w:rPr>
        <w:t>之日起</w:t>
      </w:r>
      <w:r>
        <w:rPr>
          <w:rFonts w:hint="eastAsia" w:ascii="宋体" w:hAnsi="宋体" w:cs="宋体"/>
          <w:sz w:val="22"/>
          <w:szCs w:val="22"/>
        </w:rPr>
        <w:t>生效。</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甲方盖章：                                乙方盖章：</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法定代表人或授权代表人：                  法定代表人或授权代表人：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（签字）                                 （签字）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项目负责人：                              项目负责人：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项目经办人：</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合同经办人：</w:t>
      </w:r>
    </w:p>
    <w:p>
      <w:pPr>
        <w:spacing w:line="360" w:lineRule="auto"/>
        <w:ind w:firstLine="440" w:firstLineChars="200"/>
        <w:rPr>
          <w:rFonts w:hint="eastAsia" w:ascii="宋体" w:hAnsi="宋体" w:cs="宋体"/>
          <w:sz w:val="22"/>
          <w:szCs w:val="22"/>
        </w:rPr>
        <w:sectPr>
          <w:pgSz w:w="11907" w:h="16840"/>
          <w:pgMar w:top="1440" w:right="1247" w:bottom="1440" w:left="1247" w:header="851" w:footer="992" w:gutter="0"/>
          <w:cols w:space="720" w:num="1"/>
          <w:docGrid w:linePitch="303" w:charSpace="0"/>
        </w:sectPr>
      </w:pPr>
      <w:r>
        <w:rPr>
          <w:rFonts w:hint="eastAsia" w:ascii="宋体" w:hAnsi="宋体" w:cs="宋体"/>
          <w:sz w:val="22"/>
          <w:szCs w:val="22"/>
        </w:rPr>
        <w:t>日期： 日期：</w:t>
      </w:r>
    </w:p>
    <w:p>
      <w:pPr>
        <w:pStyle w:val="4"/>
        <w:ind w:firstLine="137"/>
        <w:rPr>
          <w:rFonts w:hint="eastAsia" w:ascii="宋体" w:hAnsi="宋体" w:eastAsia="宋体" w:cs="宋体"/>
          <w:bCs w:val="0"/>
        </w:rPr>
      </w:pPr>
      <w:r>
        <w:rPr>
          <w:rFonts w:hint="eastAsia" w:ascii="宋体" w:hAnsi="宋体" w:eastAsia="宋体" w:cs="宋体"/>
          <w:bCs w:val="0"/>
        </w:rPr>
        <w:t>附</w:t>
      </w:r>
      <w:bookmarkStart w:id="416" w:name="_Toc296891059"/>
      <w:bookmarkStart w:id="417" w:name="_Toc296891271"/>
      <w:bookmarkStart w:id="418" w:name="_Toc296347230"/>
      <w:bookmarkStart w:id="419" w:name="_Toc296346732"/>
      <w:bookmarkStart w:id="420" w:name="_Toc296503231"/>
      <w:bookmarkStart w:id="421" w:name="_Toc296944570"/>
      <w:r>
        <w:rPr>
          <w:rFonts w:hint="eastAsia" w:ascii="宋体" w:hAnsi="宋体" w:eastAsia="宋体" w:cs="宋体"/>
          <w:bCs w:val="0"/>
        </w:rPr>
        <w:t>件4：廉政协议</w:t>
      </w:r>
    </w:p>
    <w:bookmarkEnd w:id="416"/>
    <w:bookmarkEnd w:id="417"/>
    <w:bookmarkEnd w:id="418"/>
    <w:bookmarkEnd w:id="419"/>
    <w:bookmarkEnd w:id="420"/>
    <w:bookmarkEnd w:id="421"/>
    <w:p>
      <w:pPr>
        <w:widowControl/>
        <w:spacing w:line="360" w:lineRule="auto"/>
        <w:ind w:firstLine="643"/>
        <w:jc w:val="center"/>
        <w:rPr>
          <w:b/>
          <w:bCs/>
          <w:kern w:val="0"/>
          <w:sz w:val="32"/>
          <w:szCs w:val="32"/>
        </w:rPr>
      </w:pPr>
      <w:r>
        <w:rPr>
          <w:rFonts w:hint="eastAsia"/>
          <w:b/>
          <w:bCs/>
          <w:kern w:val="0"/>
          <w:sz w:val="32"/>
          <w:szCs w:val="32"/>
        </w:rPr>
        <w:t>廉 政 协 议</w:t>
      </w:r>
    </w:p>
    <w:p>
      <w:pPr>
        <w:widowControl/>
        <w:spacing w:line="360" w:lineRule="auto"/>
        <w:ind w:firstLine="420" w:firstLineChars="200"/>
        <w:jc w:val="left"/>
        <w:rPr>
          <w:kern w:val="0"/>
          <w:szCs w:val="21"/>
        </w:rPr>
      </w:pPr>
      <w:r>
        <w:rPr>
          <w:rFonts w:hint="eastAsia"/>
          <w:kern w:val="0"/>
          <w:szCs w:val="21"/>
        </w:rPr>
        <w:t>为促进双方诚信经营、廉洁从业，防范商业贿赂，保护国家、集体和当事人的合法权益，根据国家有关法律法规和安徽省、合肥市廉政建设的规定，</w:t>
      </w:r>
      <w:r>
        <w:rPr>
          <w:rFonts w:hint="eastAsia"/>
          <w:kern w:val="0"/>
          <w:szCs w:val="21"/>
          <w:u w:val="single"/>
        </w:rPr>
        <w:t xml:space="preserve">                </w:t>
      </w:r>
      <w:r>
        <w:t>（买方名称，以下简称“买方”）</w:t>
      </w:r>
      <w:r>
        <w:rPr>
          <w:rFonts w:hint="eastAsia"/>
          <w:kern w:val="0"/>
          <w:szCs w:val="21"/>
        </w:rPr>
        <w:t>与</w:t>
      </w:r>
      <w:r>
        <w:rPr>
          <w:rFonts w:hint="eastAsia"/>
          <w:kern w:val="0"/>
          <w:szCs w:val="21"/>
          <w:u w:val="single"/>
        </w:rPr>
        <w:t xml:space="preserve">                     </w:t>
      </w:r>
      <w:r>
        <w:t>（</w:t>
      </w:r>
      <w:r>
        <w:rPr>
          <w:szCs w:val="21"/>
        </w:rPr>
        <w:t>卖方</w:t>
      </w:r>
      <w:r>
        <w:t>名称，以下</w:t>
      </w:r>
      <w:r>
        <w:rPr>
          <w:szCs w:val="21"/>
        </w:rPr>
        <w:t>称“卖方”</w:t>
      </w:r>
      <w:r>
        <w:t>）</w:t>
      </w:r>
      <w:r>
        <w:rPr>
          <w:rFonts w:hint="eastAsia"/>
          <w:kern w:val="0"/>
          <w:szCs w:val="21"/>
        </w:rPr>
        <w:t>，特此订立本协议共同遵照执行。</w:t>
      </w:r>
    </w:p>
    <w:p>
      <w:pPr>
        <w:widowControl/>
        <w:spacing w:line="360" w:lineRule="auto"/>
        <w:ind w:firstLine="420" w:firstLineChars="200"/>
        <w:jc w:val="left"/>
        <w:rPr>
          <w:kern w:val="0"/>
          <w:szCs w:val="21"/>
        </w:rPr>
      </w:pPr>
      <w:r>
        <w:rPr>
          <w:rFonts w:hint="eastAsia"/>
          <w:kern w:val="0"/>
          <w:szCs w:val="21"/>
        </w:rPr>
        <w:t>第一条 买卖双方的权利和义务</w:t>
      </w:r>
    </w:p>
    <w:p>
      <w:pPr>
        <w:widowControl/>
        <w:spacing w:line="360" w:lineRule="auto"/>
        <w:ind w:firstLine="420" w:firstLineChars="200"/>
        <w:jc w:val="left"/>
        <w:rPr>
          <w:kern w:val="0"/>
          <w:szCs w:val="21"/>
        </w:rPr>
      </w:pPr>
      <w:r>
        <w:rPr>
          <w:rFonts w:hint="eastAsia"/>
          <w:kern w:val="0"/>
          <w:szCs w:val="21"/>
        </w:rPr>
        <w:t>（一）买卖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kern w:val="0"/>
          <w:szCs w:val="21"/>
        </w:rPr>
      </w:pPr>
      <w:r>
        <w:rPr>
          <w:rFonts w:hint="eastAsia"/>
          <w:kern w:val="0"/>
          <w:szCs w:val="21"/>
        </w:rPr>
        <w:t>（二）严格执行</w:t>
      </w:r>
      <w:r>
        <w:rPr>
          <w:rFonts w:hint="eastAsia"/>
          <w:kern w:val="0"/>
          <w:szCs w:val="21"/>
          <w:u w:val="single"/>
        </w:rPr>
        <w:t xml:space="preserve">                                </w:t>
      </w:r>
      <w:r>
        <w:rPr>
          <w:rFonts w:hint="eastAsia"/>
          <w:kern w:val="0"/>
          <w:szCs w:val="21"/>
        </w:rPr>
        <w:t>的合同要求，自觉履行合同约定的相关义务。</w:t>
      </w:r>
    </w:p>
    <w:p>
      <w:pPr>
        <w:widowControl/>
        <w:spacing w:line="360" w:lineRule="auto"/>
        <w:ind w:firstLine="420" w:firstLineChars="200"/>
        <w:jc w:val="left"/>
        <w:rPr>
          <w:kern w:val="0"/>
          <w:szCs w:val="21"/>
        </w:rPr>
      </w:pPr>
      <w:r>
        <w:rPr>
          <w:rFonts w:hint="eastAsia"/>
          <w:kern w:val="0"/>
          <w:szCs w:val="21"/>
        </w:rPr>
        <w:t>（三）在业务活动中坚持公开、公正、诚信、透明的原则，不得损害国家、集体利益。</w:t>
      </w:r>
    </w:p>
    <w:p>
      <w:pPr>
        <w:widowControl/>
        <w:spacing w:line="360" w:lineRule="auto"/>
        <w:ind w:firstLine="420" w:firstLineChars="200"/>
        <w:jc w:val="left"/>
        <w:rPr>
          <w:kern w:val="0"/>
          <w:szCs w:val="21"/>
        </w:rPr>
      </w:pPr>
      <w:r>
        <w:rPr>
          <w:rFonts w:hint="eastAsia"/>
          <w:kern w:val="0"/>
          <w:szCs w:val="21"/>
        </w:rPr>
        <w:t>（四）建立健全廉政制度，开展廉政教育，公布举报电话，监督并认真查处违法违纪行为。</w:t>
      </w:r>
    </w:p>
    <w:p>
      <w:pPr>
        <w:widowControl/>
        <w:spacing w:line="360" w:lineRule="auto"/>
        <w:ind w:firstLine="420" w:firstLineChars="200"/>
        <w:jc w:val="left"/>
        <w:rPr>
          <w:kern w:val="0"/>
          <w:szCs w:val="21"/>
        </w:rPr>
      </w:pPr>
      <w:r>
        <w:rPr>
          <w:rFonts w:hint="eastAsia"/>
          <w:kern w:val="0"/>
          <w:szCs w:val="21"/>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kern w:val="0"/>
          <w:szCs w:val="21"/>
        </w:rPr>
      </w:pPr>
      <w:r>
        <w:rPr>
          <w:rFonts w:hint="eastAsia"/>
          <w:kern w:val="0"/>
          <w:szCs w:val="21"/>
        </w:rPr>
        <w:t>第二条 买方的义务</w:t>
      </w:r>
    </w:p>
    <w:p>
      <w:pPr>
        <w:widowControl/>
        <w:spacing w:line="360" w:lineRule="auto"/>
        <w:ind w:firstLine="525" w:firstLineChars="250"/>
        <w:jc w:val="left"/>
        <w:rPr>
          <w:kern w:val="0"/>
          <w:szCs w:val="21"/>
        </w:rPr>
      </w:pPr>
      <w:r>
        <w:rPr>
          <w:rFonts w:hint="eastAsia"/>
          <w:kern w:val="0"/>
          <w:szCs w:val="21"/>
        </w:rPr>
        <w:t>（一）买方及其工作人员不得索要或接受卖方的礼金、有价证券和贵重物品，不得在卖方报销任何应由买方单位或个人支付的费用等。</w:t>
      </w:r>
    </w:p>
    <w:p>
      <w:pPr>
        <w:widowControl/>
        <w:spacing w:line="360" w:lineRule="auto"/>
        <w:ind w:firstLine="420" w:firstLineChars="200"/>
        <w:jc w:val="left"/>
        <w:rPr>
          <w:kern w:val="0"/>
          <w:szCs w:val="21"/>
        </w:rPr>
      </w:pPr>
      <w:r>
        <w:rPr>
          <w:rFonts w:hint="eastAsia"/>
          <w:kern w:val="0"/>
          <w:szCs w:val="21"/>
        </w:rPr>
        <w:t>（二）买方工作人员不得参加卖方安排的可能影响相关业务公开、公正、公平性的宴请和娱乐活动；不得参与任何形式的赌博，严禁通过赌博方式取得卖方及其工作人员的财物；不得接受卖方</w:t>
      </w:r>
      <w:r>
        <w:rPr>
          <w:rFonts w:hint="eastAsia"/>
          <w:kern w:val="0"/>
          <w:szCs w:val="21"/>
          <w:lang w:eastAsia="zh-CN"/>
        </w:rPr>
        <w:t>提供的通信</w:t>
      </w:r>
      <w:r>
        <w:rPr>
          <w:rFonts w:hint="eastAsia"/>
          <w:kern w:val="0"/>
          <w:szCs w:val="21"/>
        </w:rPr>
        <w:t>工具和高档办公用品等。</w:t>
      </w:r>
    </w:p>
    <w:p>
      <w:pPr>
        <w:widowControl/>
        <w:spacing w:line="360" w:lineRule="auto"/>
        <w:ind w:firstLine="420" w:firstLineChars="200"/>
        <w:jc w:val="left"/>
        <w:rPr>
          <w:kern w:val="0"/>
          <w:szCs w:val="21"/>
        </w:rPr>
      </w:pPr>
      <w:r>
        <w:rPr>
          <w:rFonts w:hint="eastAsia"/>
          <w:kern w:val="0"/>
          <w:szCs w:val="21"/>
        </w:rPr>
        <w:t>（三）买方及其工作人员不得要求或者接受卖方为其住房装修、婚丧嫁娶活动、配偶子女工作安排以及出国出境、旅游等提供方便等。</w:t>
      </w:r>
    </w:p>
    <w:p>
      <w:pPr>
        <w:widowControl/>
        <w:spacing w:line="360" w:lineRule="auto"/>
        <w:ind w:firstLine="420" w:firstLineChars="200"/>
        <w:jc w:val="left"/>
        <w:rPr>
          <w:kern w:val="0"/>
          <w:szCs w:val="21"/>
        </w:rPr>
      </w:pPr>
      <w:r>
        <w:rPr>
          <w:rFonts w:hint="eastAsia"/>
          <w:kern w:val="0"/>
          <w:szCs w:val="21"/>
        </w:rPr>
        <w:t>（四）买方工作人员不得在卖方有股权关联的企业兼职，不得向卖方介绍家属或者亲友从事与买方业务有关的经济活动。</w:t>
      </w:r>
    </w:p>
    <w:p>
      <w:pPr>
        <w:widowControl/>
        <w:spacing w:line="360" w:lineRule="auto"/>
        <w:ind w:firstLine="420" w:firstLineChars="200"/>
        <w:jc w:val="left"/>
        <w:rPr>
          <w:kern w:val="0"/>
          <w:szCs w:val="21"/>
        </w:rPr>
      </w:pPr>
      <w:r>
        <w:rPr>
          <w:rFonts w:hint="eastAsia"/>
          <w:kern w:val="0"/>
          <w:szCs w:val="21"/>
        </w:rPr>
        <w:t>（五）买方工作人员不得以明显低于市场的价格向卖方购买房屋、汽车等物品；不得以明显高于市场的价格向卖方出售房屋、汽车等物品；不得以其他交易形式非法收受请托人财物。</w:t>
      </w:r>
    </w:p>
    <w:p>
      <w:pPr>
        <w:widowControl/>
        <w:spacing w:line="360" w:lineRule="auto"/>
        <w:ind w:firstLine="420" w:firstLineChars="200"/>
        <w:jc w:val="left"/>
        <w:rPr>
          <w:kern w:val="0"/>
          <w:szCs w:val="21"/>
        </w:rPr>
      </w:pPr>
      <w:r>
        <w:rPr>
          <w:rFonts w:hint="eastAsia"/>
          <w:kern w:val="0"/>
          <w:szCs w:val="21"/>
        </w:rPr>
        <w:t>（六）买方工作人员不得利用职务之便收受卖方以回扣、手续费、加班费、咨询费、劳务费、协调费、辛苦费等各种名义给予或赠送的钱物。</w:t>
      </w:r>
    </w:p>
    <w:p>
      <w:pPr>
        <w:widowControl/>
        <w:spacing w:line="360" w:lineRule="auto"/>
        <w:ind w:firstLine="420" w:firstLineChars="200"/>
        <w:jc w:val="left"/>
        <w:rPr>
          <w:kern w:val="0"/>
          <w:szCs w:val="21"/>
        </w:rPr>
      </w:pPr>
      <w:r>
        <w:rPr>
          <w:rFonts w:hint="eastAsia"/>
          <w:kern w:val="0"/>
          <w:szCs w:val="21"/>
        </w:rPr>
        <w:t>（七）买方工作人员不得接受卖方给予或赠送的干股或红利。</w:t>
      </w:r>
    </w:p>
    <w:p>
      <w:pPr>
        <w:widowControl/>
        <w:spacing w:line="360" w:lineRule="auto"/>
        <w:ind w:firstLine="420" w:firstLineChars="200"/>
        <w:jc w:val="left"/>
        <w:rPr>
          <w:kern w:val="0"/>
          <w:szCs w:val="21"/>
        </w:rPr>
      </w:pPr>
      <w:r>
        <w:rPr>
          <w:rFonts w:hint="eastAsia"/>
          <w:kern w:val="0"/>
          <w:szCs w:val="21"/>
        </w:rPr>
        <w:t>（八）买方任何人不得以个人的名义向卖方推荐设备、部件等供货商</w:t>
      </w:r>
      <w:r>
        <w:rPr>
          <w:rFonts w:hint="eastAsia"/>
          <w:kern w:val="0"/>
          <w:szCs w:val="21"/>
          <w:lang w:eastAsia="zh-CN"/>
        </w:rPr>
        <w:t>以及其他</w:t>
      </w:r>
      <w:r>
        <w:rPr>
          <w:rFonts w:hint="eastAsia"/>
          <w:kern w:val="0"/>
          <w:szCs w:val="21"/>
        </w:rPr>
        <w:t>合作单位。</w:t>
      </w:r>
    </w:p>
    <w:p>
      <w:pPr>
        <w:widowControl/>
        <w:spacing w:line="360" w:lineRule="auto"/>
        <w:ind w:firstLine="420" w:firstLineChars="200"/>
        <w:jc w:val="left"/>
        <w:rPr>
          <w:rFonts w:hint="eastAsia"/>
          <w:kern w:val="0"/>
          <w:szCs w:val="21"/>
        </w:rPr>
      </w:pPr>
      <w:r>
        <w:rPr>
          <w:rFonts w:hint="eastAsia"/>
          <w:kern w:val="0"/>
          <w:szCs w:val="21"/>
        </w:rPr>
        <w:t>第三条 卖方的义务</w:t>
      </w:r>
    </w:p>
    <w:p>
      <w:pPr>
        <w:widowControl/>
        <w:spacing w:line="360" w:lineRule="auto"/>
        <w:ind w:firstLine="424" w:firstLineChars="202"/>
        <w:jc w:val="left"/>
        <w:rPr>
          <w:rFonts w:hint="eastAsia"/>
          <w:kern w:val="0"/>
          <w:szCs w:val="21"/>
        </w:rPr>
      </w:pPr>
      <w:r>
        <w:rPr>
          <w:rFonts w:hint="eastAsia"/>
          <w:kern w:val="0"/>
          <w:szCs w:val="21"/>
        </w:rPr>
        <w:t>（一）卖方不得以任何理由向买方及其工作人员行贿或馈赠礼金、有价证券、贵重礼品。</w:t>
      </w:r>
    </w:p>
    <w:p>
      <w:pPr>
        <w:widowControl/>
        <w:spacing w:line="360" w:lineRule="auto"/>
        <w:ind w:firstLine="424" w:firstLineChars="202"/>
        <w:jc w:val="left"/>
        <w:rPr>
          <w:rFonts w:hint="eastAsia"/>
          <w:kern w:val="0"/>
          <w:szCs w:val="21"/>
        </w:rPr>
      </w:pPr>
      <w:r>
        <w:rPr>
          <w:rFonts w:hint="eastAsia"/>
          <w:kern w:val="0"/>
          <w:szCs w:val="21"/>
        </w:rPr>
        <w:t>（二）卖方不得以任何名义为买方及其工作人员报销应由买方单位或个人支付的任何费用。</w:t>
      </w:r>
    </w:p>
    <w:p>
      <w:pPr>
        <w:widowControl/>
        <w:spacing w:line="360" w:lineRule="auto"/>
        <w:ind w:firstLine="424" w:firstLineChars="202"/>
        <w:jc w:val="left"/>
        <w:rPr>
          <w:kern w:val="0"/>
          <w:szCs w:val="21"/>
        </w:rPr>
      </w:pPr>
      <w:r>
        <w:rPr>
          <w:rFonts w:hint="eastAsia"/>
          <w:kern w:val="0"/>
          <w:szCs w:val="21"/>
        </w:rPr>
        <w:t>（三）卖方不得以任何理由安排买方工作人员参加可能影响相关业务公开、公正、公平性的宴请及娱乐活动。</w:t>
      </w:r>
    </w:p>
    <w:p>
      <w:pPr>
        <w:widowControl/>
        <w:spacing w:line="360" w:lineRule="auto"/>
        <w:ind w:firstLine="420" w:firstLineChars="200"/>
        <w:jc w:val="left"/>
        <w:rPr>
          <w:kern w:val="0"/>
          <w:szCs w:val="21"/>
        </w:rPr>
      </w:pPr>
      <w:r>
        <w:rPr>
          <w:rFonts w:hint="eastAsia"/>
          <w:kern w:val="0"/>
          <w:szCs w:val="21"/>
        </w:rPr>
        <w:t>（四）卖方不得为买方单位和个人购置或</w:t>
      </w:r>
      <w:r>
        <w:rPr>
          <w:rFonts w:hint="eastAsia"/>
          <w:kern w:val="0"/>
          <w:szCs w:val="21"/>
          <w:lang w:eastAsia="zh-CN"/>
        </w:rPr>
        <w:t>提供通信</w:t>
      </w:r>
      <w:r>
        <w:rPr>
          <w:rFonts w:hint="eastAsia"/>
          <w:kern w:val="0"/>
          <w:szCs w:val="21"/>
        </w:rPr>
        <w:t>工具和高档办公用品等物品，也不得为买方提供与工作无关的房屋、汽车等。</w:t>
      </w:r>
    </w:p>
    <w:p>
      <w:pPr>
        <w:widowControl/>
        <w:spacing w:line="360" w:lineRule="auto"/>
        <w:ind w:firstLine="420" w:firstLineChars="200"/>
        <w:jc w:val="left"/>
        <w:rPr>
          <w:kern w:val="0"/>
          <w:szCs w:val="21"/>
        </w:rPr>
      </w:pPr>
      <w:r>
        <w:rPr>
          <w:rFonts w:hint="eastAsia"/>
          <w:kern w:val="0"/>
          <w:szCs w:val="21"/>
        </w:rPr>
        <w:t>（五）卖方不得与买方工作人员就合同中的质量、数量、价格、工程量、验收等条款进行私下商谈或者达成默契。</w:t>
      </w:r>
    </w:p>
    <w:p>
      <w:pPr>
        <w:widowControl/>
        <w:spacing w:line="360" w:lineRule="auto"/>
        <w:ind w:firstLine="420" w:firstLineChars="200"/>
        <w:jc w:val="left"/>
        <w:rPr>
          <w:kern w:val="0"/>
          <w:szCs w:val="21"/>
        </w:rPr>
      </w:pPr>
      <w:r>
        <w:rPr>
          <w:rFonts w:hint="eastAsia"/>
          <w:kern w:val="0"/>
          <w:szCs w:val="21"/>
        </w:rPr>
        <w:t>（六）卖方不得以回扣、手续费、加班费、咨询费、劳务费、协调费、辛苦费等各种名义向买方工作人员给予或赠送钱物。</w:t>
      </w:r>
    </w:p>
    <w:p>
      <w:pPr>
        <w:widowControl/>
        <w:spacing w:line="360" w:lineRule="auto"/>
        <w:ind w:firstLine="420" w:firstLineChars="200"/>
        <w:jc w:val="left"/>
        <w:rPr>
          <w:kern w:val="0"/>
          <w:szCs w:val="21"/>
        </w:rPr>
      </w:pPr>
      <w:r>
        <w:rPr>
          <w:rFonts w:hint="eastAsia"/>
          <w:kern w:val="0"/>
          <w:szCs w:val="21"/>
        </w:rPr>
        <w:t>（七）卖方不得向买方工作人员提供干股或红利。</w:t>
      </w:r>
    </w:p>
    <w:p>
      <w:pPr>
        <w:widowControl/>
        <w:spacing w:line="360" w:lineRule="auto"/>
        <w:ind w:firstLine="420" w:firstLineChars="200"/>
        <w:jc w:val="left"/>
        <w:rPr>
          <w:kern w:val="0"/>
          <w:szCs w:val="21"/>
        </w:rPr>
      </w:pPr>
      <w:r>
        <w:rPr>
          <w:rFonts w:hint="eastAsia"/>
          <w:kern w:val="0"/>
          <w:szCs w:val="21"/>
        </w:rPr>
        <w:t>（八）卖方须按</w:t>
      </w:r>
      <w:r>
        <w:rPr>
          <w:rFonts w:hint="eastAsia"/>
          <w:kern w:val="0"/>
          <w:szCs w:val="21"/>
          <w:u w:val="single"/>
        </w:rPr>
        <w:t xml:space="preserve">         </w:t>
      </w:r>
      <w:r>
        <w:rPr>
          <w:rFonts w:hint="eastAsia"/>
          <w:kern w:val="0"/>
          <w:szCs w:val="21"/>
        </w:rPr>
        <w:t>专项纪检监察工作组</w:t>
      </w:r>
      <w:r>
        <w:rPr>
          <w:rFonts w:hint="eastAsia"/>
          <w:kern w:val="0"/>
          <w:szCs w:val="21"/>
          <w:lang w:eastAsia="zh-CN"/>
        </w:rPr>
        <w:t>（</w:t>
      </w:r>
      <w:r>
        <w:rPr>
          <w:rFonts w:hint="eastAsia"/>
          <w:kern w:val="0"/>
          <w:szCs w:val="21"/>
        </w:rPr>
        <w:t>如有</w:t>
      </w:r>
      <w:r>
        <w:rPr>
          <w:rFonts w:hint="eastAsia"/>
          <w:kern w:val="0"/>
          <w:szCs w:val="21"/>
          <w:lang w:eastAsia="zh-CN"/>
        </w:rPr>
        <w:t>）</w:t>
      </w:r>
      <w:r>
        <w:rPr>
          <w:rFonts w:hint="eastAsia"/>
          <w:kern w:val="0"/>
          <w:szCs w:val="21"/>
        </w:rPr>
        <w:t>要求开展相关工作。</w:t>
      </w:r>
    </w:p>
    <w:p>
      <w:pPr>
        <w:widowControl/>
        <w:spacing w:line="360" w:lineRule="auto"/>
        <w:ind w:firstLine="420" w:firstLineChars="200"/>
        <w:jc w:val="left"/>
        <w:rPr>
          <w:kern w:val="0"/>
          <w:szCs w:val="21"/>
        </w:rPr>
      </w:pPr>
      <w:r>
        <w:rPr>
          <w:rFonts w:hint="eastAsia"/>
          <w:kern w:val="0"/>
          <w:szCs w:val="21"/>
        </w:rPr>
        <w:t>第四条 违约责任</w:t>
      </w:r>
    </w:p>
    <w:p>
      <w:pPr>
        <w:widowControl/>
        <w:spacing w:line="360" w:lineRule="auto"/>
        <w:ind w:firstLine="420" w:firstLineChars="200"/>
        <w:jc w:val="left"/>
        <w:rPr>
          <w:kern w:val="0"/>
          <w:szCs w:val="21"/>
        </w:rPr>
      </w:pPr>
      <w:r>
        <w:rPr>
          <w:rFonts w:hint="eastAsia"/>
          <w:kern w:val="0"/>
          <w:szCs w:val="21"/>
        </w:rPr>
        <w:t>（一）买方及其工作人员违反本协议</w:t>
      </w:r>
      <w:r>
        <w:rPr>
          <w:rFonts w:hint="eastAsia"/>
          <w:kern w:val="0"/>
          <w:szCs w:val="21"/>
          <w:lang w:eastAsia="zh-CN"/>
        </w:rPr>
        <w:t>第一，</w:t>
      </w:r>
      <w:r>
        <w:rPr>
          <w:rFonts w:hint="eastAsia"/>
          <w:kern w:val="0"/>
          <w:szCs w:val="21"/>
        </w:rPr>
        <w:t>二条规定。买方按管理权限，对相关责任人依据有关规定给予党纪、政纪处分或组织处理；涉嫌犯罪的，移交司法机关追究刑事责任；给卖方单位造成经济损失的，应予以赔偿。</w:t>
      </w:r>
    </w:p>
    <w:p>
      <w:pPr>
        <w:widowControl/>
        <w:spacing w:line="360" w:lineRule="auto"/>
        <w:ind w:firstLine="420" w:firstLineChars="200"/>
        <w:jc w:val="left"/>
        <w:rPr>
          <w:kern w:val="0"/>
          <w:szCs w:val="21"/>
        </w:rPr>
      </w:pPr>
      <w:r>
        <w:rPr>
          <w:rFonts w:hint="eastAsia"/>
          <w:kern w:val="0"/>
          <w:szCs w:val="21"/>
        </w:rPr>
        <w:t>买方投诉联系部门：</w:t>
      </w:r>
      <w:r>
        <w:rPr>
          <w:rFonts w:hint="eastAsia"/>
          <w:kern w:val="0"/>
          <w:szCs w:val="21"/>
          <w:u w:val="single"/>
        </w:rPr>
        <w:t xml:space="preserve">           </w:t>
      </w:r>
      <w:r>
        <w:rPr>
          <w:rFonts w:hint="eastAsia"/>
          <w:kern w:val="0"/>
          <w:szCs w:val="21"/>
        </w:rPr>
        <w:t>，联系电话：</w:t>
      </w:r>
      <w:r>
        <w:rPr>
          <w:rFonts w:hint="eastAsia"/>
          <w:kern w:val="0"/>
          <w:szCs w:val="21"/>
          <w:u w:val="single"/>
        </w:rPr>
        <w:t xml:space="preserve">           </w:t>
      </w:r>
      <w:r>
        <w:rPr>
          <w:rFonts w:hint="eastAsia"/>
          <w:kern w:val="0"/>
          <w:szCs w:val="21"/>
        </w:rPr>
        <w:t>。</w:t>
      </w:r>
    </w:p>
    <w:p>
      <w:pPr>
        <w:widowControl/>
        <w:spacing w:line="360" w:lineRule="auto"/>
        <w:ind w:firstLine="420" w:firstLineChars="200"/>
        <w:jc w:val="left"/>
        <w:rPr>
          <w:kern w:val="0"/>
          <w:szCs w:val="21"/>
        </w:rPr>
      </w:pPr>
      <w:r>
        <w:rPr>
          <w:rFonts w:hint="eastAsia"/>
          <w:kern w:val="0"/>
          <w:szCs w:val="21"/>
        </w:rPr>
        <w:t>（二）卖方及其工作人员违反本协议</w:t>
      </w:r>
      <w:r>
        <w:rPr>
          <w:rFonts w:hint="eastAsia"/>
          <w:kern w:val="0"/>
          <w:szCs w:val="21"/>
          <w:lang w:eastAsia="zh-CN"/>
        </w:rPr>
        <w:t>第一，</w:t>
      </w:r>
      <w:r>
        <w:rPr>
          <w:rFonts w:hint="eastAsia"/>
          <w:kern w:val="0"/>
          <w:szCs w:val="21"/>
        </w:rPr>
        <w:t>三条规定。根据具体情节和造成的后果，买方有权对卖方采取以下一种或多种处理办法：</w:t>
      </w:r>
    </w:p>
    <w:p>
      <w:pPr>
        <w:widowControl/>
        <w:spacing w:line="360" w:lineRule="auto"/>
        <w:ind w:firstLine="420" w:firstLineChars="200"/>
        <w:jc w:val="left"/>
        <w:rPr>
          <w:kern w:val="0"/>
          <w:szCs w:val="21"/>
        </w:rPr>
      </w:pPr>
      <w:r>
        <w:rPr>
          <w:rFonts w:hint="eastAsia"/>
          <w:kern w:val="0"/>
          <w:szCs w:val="21"/>
        </w:rPr>
        <w:t xml:space="preserve">1.全额收取卖方合同履约保证金不予退还； </w:t>
      </w:r>
    </w:p>
    <w:p>
      <w:pPr>
        <w:widowControl/>
        <w:spacing w:line="360" w:lineRule="auto"/>
        <w:ind w:firstLine="420" w:firstLineChars="200"/>
        <w:jc w:val="left"/>
        <w:rPr>
          <w:kern w:val="0"/>
          <w:szCs w:val="21"/>
        </w:rPr>
      </w:pPr>
      <w:r>
        <w:rPr>
          <w:rFonts w:hint="eastAsia"/>
          <w:kern w:val="0"/>
          <w:szCs w:val="21"/>
        </w:rPr>
        <w:t>2.追究卖方其他违约责任；</w:t>
      </w:r>
    </w:p>
    <w:p>
      <w:pPr>
        <w:widowControl/>
        <w:spacing w:line="360" w:lineRule="auto"/>
        <w:ind w:firstLine="420" w:firstLineChars="200"/>
        <w:jc w:val="left"/>
        <w:rPr>
          <w:kern w:val="0"/>
          <w:szCs w:val="21"/>
        </w:rPr>
      </w:pPr>
      <w:r>
        <w:rPr>
          <w:rFonts w:hint="eastAsia"/>
          <w:kern w:val="0"/>
          <w:szCs w:val="21"/>
        </w:rPr>
        <w:t>3.终止或解除双方已签订的包括本合同在内的所有合同；</w:t>
      </w:r>
    </w:p>
    <w:p>
      <w:pPr>
        <w:widowControl/>
        <w:spacing w:line="360" w:lineRule="auto"/>
        <w:ind w:firstLine="420" w:firstLineChars="200"/>
        <w:jc w:val="left"/>
        <w:rPr>
          <w:kern w:val="0"/>
          <w:szCs w:val="21"/>
        </w:rPr>
      </w:pPr>
      <w:r>
        <w:rPr>
          <w:rFonts w:hint="eastAsia"/>
          <w:kern w:val="0"/>
          <w:szCs w:val="21"/>
        </w:rPr>
        <w:t>4.卖方一定期限内（6个月至3年，具体由买方根据情况而定）不得参与买方作为发包人（业主）的项目投标。</w:t>
      </w:r>
    </w:p>
    <w:p>
      <w:pPr>
        <w:widowControl/>
        <w:spacing w:line="360" w:lineRule="auto"/>
        <w:ind w:firstLine="420" w:firstLineChars="200"/>
        <w:jc w:val="left"/>
        <w:rPr>
          <w:kern w:val="0"/>
          <w:szCs w:val="21"/>
        </w:rPr>
      </w:pPr>
      <w:r>
        <w:rPr>
          <w:rFonts w:hint="eastAsia"/>
          <w:kern w:val="0"/>
          <w:szCs w:val="21"/>
        </w:rPr>
        <w:t>买方作出的处理意见，卖方应无条件接受并承担给买方造成的损失，全额返还通过不正当手段从买方获取的非法所得，并承担相应的法律责任。</w:t>
      </w:r>
    </w:p>
    <w:p>
      <w:pPr>
        <w:widowControl/>
        <w:spacing w:line="360" w:lineRule="auto"/>
        <w:ind w:firstLine="420" w:firstLineChars="200"/>
        <w:jc w:val="left"/>
        <w:rPr>
          <w:kern w:val="0"/>
          <w:szCs w:val="21"/>
        </w:rPr>
      </w:pPr>
      <w:r>
        <w:rPr>
          <w:rFonts w:hint="eastAsia"/>
          <w:kern w:val="0"/>
          <w:szCs w:val="21"/>
        </w:rPr>
        <w:t>第五条 双方约定</w:t>
      </w:r>
    </w:p>
    <w:p>
      <w:pPr>
        <w:widowControl/>
        <w:spacing w:line="360" w:lineRule="auto"/>
        <w:ind w:firstLine="420" w:firstLineChars="200"/>
        <w:jc w:val="left"/>
        <w:rPr>
          <w:kern w:val="0"/>
          <w:szCs w:val="21"/>
        </w:rPr>
      </w:pPr>
      <w:r>
        <w:rPr>
          <w:rFonts w:hint="eastAsia"/>
          <w:kern w:val="0"/>
          <w:szCs w:val="21"/>
        </w:rPr>
        <w:t>本协议由双方或双方上级单位负责监督。可由买方或买方上级单位的纪检监察部门约请卖方或卖方上级单位的纪检监察部门对本协议履行情况进行检查，提出在本协议规定范围内的裁定意见。</w:t>
      </w:r>
    </w:p>
    <w:p>
      <w:pPr>
        <w:widowControl/>
        <w:spacing w:line="360" w:lineRule="auto"/>
        <w:ind w:firstLine="420" w:firstLineChars="200"/>
        <w:jc w:val="left"/>
        <w:rPr>
          <w:kern w:val="0"/>
          <w:szCs w:val="21"/>
        </w:rPr>
      </w:pPr>
      <w:r>
        <w:rPr>
          <w:rFonts w:hint="eastAsia"/>
          <w:kern w:val="0"/>
          <w:szCs w:val="21"/>
        </w:rPr>
        <w:t xml:space="preserve">第六条  本协议有效期为买卖双方签署之日起至合同终止。  </w:t>
      </w:r>
    </w:p>
    <w:p>
      <w:pPr>
        <w:widowControl/>
        <w:spacing w:line="360" w:lineRule="auto"/>
        <w:ind w:firstLine="420" w:firstLineChars="200"/>
        <w:jc w:val="left"/>
        <w:rPr>
          <w:kern w:val="0"/>
          <w:szCs w:val="21"/>
        </w:rPr>
      </w:pPr>
      <w:r>
        <w:rPr>
          <w:rFonts w:hint="eastAsia"/>
          <w:kern w:val="0"/>
          <w:szCs w:val="21"/>
        </w:rPr>
        <w:t>第七条  本协议作为合同的附件，与本合同具有同等法律效力。</w:t>
      </w:r>
    </w:p>
    <w:p>
      <w:pPr>
        <w:widowControl/>
        <w:spacing w:line="360" w:lineRule="auto"/>
        <w:ind w:firstLine="420" w:firstLineChars="200"/>
        <w:jc w:val="left"/>
        <w:rPr>
          <w:kern w:val="0"/>
          <w:szCs w:val="21"/>
        </w:rPr>
      </w:pPr>
      <w:r>
        <w:rPr>
          <w:rFonts w:hint="eastAsia"/>
          <w:kern w:val="0"/>
          <w:szCs w:val="21"/>
        </w:rPr>
        <w:t xml:space="preserve"> </w:t>
      </w:r>
    </w:p>
    <w:p>
      <w:pPr>
        <w:widowControl/>
        <w:spacing w:line="360" w:lineRule="auto"/>
        <w:ind w:firstLine="420" w:firstLineChars="200"/>
        <w:jc w:val="left"/>
        <w:rPr>
          <w:rFonts w:hint="eastAsia"/>
          <w:kern w:val="0"/>
          <w:szCs w:val="21"/>
        </w:rPr>
      </w:pPr>
      <w:r>
        <w:rPr>
          <w:rFonts w:hint="eastAsia"/>
          <w:kern w:val="0"/>
          <w:szCs w:val="21"/>
        </w:rPr>
        <w:t xml:space="preserve">买方（盖章）： </w:t>
      </w:r>
      <w:r>
        <w:rPr>
          <w:rFonts w:hint="eastAsia"/>
          <w:kern w:val="0"/>
          <w:szCs w:val="21"/>
          <w:u w:val="single"/>
        </w:rPr>
        <w:t xml:space="preserve">                      </w:t>
      </w:r>
      <w:r>
        <w:rPr>
          <w:rFonts w:hint="eastAsia"/>
          <w:kern w:val="0"/>
          <w:szCs w:val="21"/>
        </w:rPr>
        <w:t xml:space="preserve">       卖方（盖章）：</w:t>
      </w:r>
      <w:r>
        <w:rPr>
          <w:rFonts w:hint="eastAsia"/>
          <w:kern w:val="0"/>
          <w:szCs w:val="21"/>
          <w:u w:val="single"/>
        </w:rPr>
        <w:t xml:space="preserve">                      </w:t>
      </w:r>
    </w:p>
    <w:p>
      <w:pPr>
        <w:widowControl/>
        <w:spacing w:line="360" w:lineRule="auto"/>
        <w:ind w:firstLine="420" w:firstLineChars="200"/>
        <w:jc w:val="left"/>
        <w:rPr>
          <w:kern w:val="0"/>
          <w:szCs w:val="21"/>
        </w:rPr>
      </w:pPr>
    </w:p>
    <w:p>
      <w:pPr>
        <w:widowControl/>
        <w:spacing w:line="360" w:lineRule="auto"/>
        <w:ind w:firstLine="420" w:firstLineChars="200"/>
        <w:jc w:val="left"/>
        <w:rPr>
          <w:kern w:val="0"/>
          <w:szCs w:val="21"/>
        </w:rPr>
      </w:pPr>
      <w:r>
        <w:rPr>
          <w:rFonts w:hint="eastAsia"/>
          <w:kern w:val="0"/>
          <w:szCs w:val="21"/>
        </w:rPr>
        <w:t>法定代表人或                                法定代表人或</w:t>
      </w:r>
    </w:p>
    <w:p>
      <w:pPr>
        <w:widowControl/>
        <w:spacing w:line="360" w:lineRule="auto"/>
        <w:ind w:firstLine="420" w:firstLineChars="200"/>
        <w:jc w:val="left"/>
        <w:rPr>
          <w:kern w:val="0"/>
          <w:szCs w:val="21"/>
        </w:rPr>
      </w:pPr>
      <w:r>
        <w:rPr>
          <w:rFonts w:hint="eastAsia"/>
          <w:kern w:val="0"/>
          <w:szCs w:val="21"/>
        </w:rPr>
        <w:t>授权代表：</w:t>
      </w:r>
      <w:r>
        <w:rPr>
          <w:rFonts w:hint="eastAsia"/>
          <w:kern w:val="0"/>
          <w:szCs w:val="21"/>
          <w:u w:val="single"/>
        </w:rPr>
        <w:t xml:space="preserve">              </w:t>
      </w:r>
      <w:r>
        <w:rPr>
          <w:rFonts w:hint="eastAsia"/>
          <w:kern w:val="0"/>
          <w:szCs w:val="21"/>
          <w:u w:val="single"/>
          <w:lang w:eastAsia="zh-CN"/>
        </w:rPr>
        <w:t>（</w:t>
      </w:r>
      <w:r>
        <w:rPr>
          <w:rFonts w:hint="eastAsia"/>
          <w:kern w:val="0"/>
          <w:szCs w:val="21"/>
        </w:rPr>
        <w:t>职务</w:t>
      </w:r>
      <w:r>
        <w:rPr>
          <w:rFonts w:hint="eastAsia"/>
          <w:kern w:val="0"/>
          <w:szCs w:val="21"/>
          <w:lang w:eastAsia="zh-CN"/>
        </w:rPr>
        <w:t>）</w:t>
      </w:r>
      <w:r>
        <w:rPr>
          <w:rFonts w:hint="eastAsia"/>
          <w:kern w:val="0"/>
          <w:szCs w:val="21"/>
        </w:rPr>
        <w:t xml:space="preserve">              授权代表：</w:t>
      </w:r>
      <w:r>
        <w:rPr>
          <w:rFonts w:hint="eastAsia"/>
          <w:kern w:val="0"/>
          <w:szCs w:val="21"/>
          <w:u w:val="single"/>
        </w:rPr>
        <w:t xml:space="preserve">             </w:t>
      </w:r>
      <w:r>
        <w:rPr>
          <w:rFonts w:hint="eastAsia"/>
          <w:kern w:val="0"/>
          <w:szCs w:val="21"/>
          <w:u w:val="single"/>
          <w:lang w:eastAsia="zh-CN"/>
        </w:rPr>
        <w:t>（</w:t>
      </w:r>
      <w:r>
        <w:rPr>
          <w:rFonts w:hint="eastAsia"/>
          <w:kern w:val="0"/>
          <w:szCs w:val="21"/>
        </w:rPr>
        <w:t>职务</w:t>
      </w:r>
      <w:r>
        <w:rPr>
          <w:rFonts w:hint="eastAsia"/>
          <w:kern w:val="0"/>
          <w:szCs w:val="21"/>
          <w:lang w:eastAsia="zh-CN"/>
        </w:rPr>
        <w:t>）</w:t>
      </w:r>
    </w:p>
    <w:p>
      <w:pPr>
        <w:widowControl/>
        <w:spacing w:line="360" w:lineRule="auto"/>
        <w:ind w:firstLine="420" w:firstLineChars="200"/>
        <w:jc w:val="left"/>
        <w:rPr>
          <w:kern w:val="0"/>
          <w:szCs w:val="21"/>
        </w:rPr>
      </w:pPr>
      <w:r>
        <w:rPr>
          <w:rFonts w:hint="eastAsia"/>
          <w:kern w:val="0"/>
          <w:szCs w:val="21"/>
        </w:rPr>
        <w:t>姓名：</w:t>
      </w:r>
      <w:r>
        <w:rPr>
          <w:rFonts w:hint="eastAsia"/>
          <w:kern w:val="0"/>
          <w:szCs w:val="21"/>
          <w:u w:val="single"/>
        </w:rPr>
        <w:t xml:space="preserve">             </w:t>
      </w:r>
      <w:r>
        <w:rPr>
          <w:rFonts w:hint="eastAsia"/>
          <w:kern w:val="0"/>
          <w:szCs w:val="21"/>
        </w:rPr>
        <w:t xml:space="preserve">                         姓名：</w:t>
      </w:r>
      <w:r>
        <w:rPr>
          <w:rFonts w:hint="eastAsia"/>
          <w:kern w:val="0"/>
          <w:szCs w:val="21"/>
          <w:u w:val="single"/>
        </w:rPr>
        <w:t xml:space="preserve">             </w:t>
      </w:r>
    </w:p>
    <w:p>
      <w:pPr>
        <w:widowControl/>
        <w:spacing w:line="360" w:lineRule="auto"/>
        <w:ind w:firstLine="420" w:firstLineChars="200"/>
        <w:jc w:val="left"/>
        <w:rPr>
          <w:kern w:val="0"/>
          <w:szCs w:val="21"/>
        </w:rPr>
      </w:pPr>
      <w:r>
        <w:rPr>
          <w:rFonts w:hint="eastAsia"/>
          <w:kern w:val="0"/>
          <w:szCs w:val="21"/>
        </w:rPr>
        <w:t>签字：</w:t>
      </w:r>
      <w:r>
        <w:rPr>
          <w:rFonts w:hint="eastAsia"/>
          <w:kern w:val="0"/>
          <w:szCs w:val="21"/>
          <w:u w:val="single"/>
        </w:rPr>
        <w:t xml:space="preserve">             </w:t>
      </w:r>
      <w:r>
        <w:rPr>
          <w:rFonts w:hint="eastAsia"/>
          <w:kern w:val="0"/>
          <w:szCs w:val="21"/>
        </w:rPr>
        <w:t xml:space="preserve">                         签字：</w:t>
      </w:r>
      <w:r>
        <w:rPr>
          <w:rFonts w:hint="eastAsia"/>
          <w:kern w:val="0"/>
          <w:szCs w:val="21"/>
          <w:u w:val="single"/>
        </w:rPr>
        <w:t xml:space="preserve">             </w:t>
      </w:r>
    </w:p>
    <w:p>
      <w:pPr>
        <w:widowControl/>
        <w:spacing w:line="360" w:lineRule="auto"/>
        <w:ind w:firstLine="420" w:firstLineChars="200"/>
        <w:jc w:val="left"/>
        <w:rPr>
          <w:kern w:val="0"/>
          <w:szCs w:val="21"/>
        </w:rPr>
      </w:pPr>
    </w:p>
    <w:p>
      <w:pPr>
        <w:widowControl/>
        <w:spacing w:line="360" w:lineRule="auto"/>
        <w:ind w:firstLine="420" w:firstLineChars="200"/>
        <w:jc w:val="left"/>
        <w:rPr>
          <w:kern w:val="0"/>
          <w:szCs w:val="21"/>
        </w:rPr>
      </w:pPr>
      <w:r>
        <w:rPr>
          <w:rFonts w:hint="eastAsia"/>
          <w:kern w:val="0"/>
          <w:szCs w:val="21"/>
        </w:rPr>
        <w:t>廉政监督联系人                              廉政监督联系人</w:t>
      </w:r>
    </w:p>
    <w:p>
      <w:pPr>
        <w:widowControl/>
        <w:spacing w:line="360" w:lineRule="auto"/>
        <w:ind w:firstLine="420" w:firstLineChars="200"/>
        <w:jc w:val="left"/>
        <w:rPr>
          <w:kern w:val="0"/>
          <w:szCs w:val="21"/>
        </w:rPr>
      </w:pPr>
      <w:r>
        <w:rPr>
          <w:rFonts w:hint="eastAsia"/>
          <w:kern w:val="0"/>
          <w:szCs w:val="21"/>
        </w:rPr>
        <w:t>姓名：</w:t>
      </w:r>
      <w:r>
        <w:rPr>
          <w:rFonts w:hint="eastAsia"/>
          <w:kern w:val="0"/>
          <w:szCs w:val="21"/>
          <w:u w:val="single"/>
        </w:rPr>
        <w:t xml:space="preserve">                       </w:t>
      </w:r>
      <w:r>
        <w:rPr>
          <w:rFonts w:hint="eastAsia"/>
          <w:kern w:val="0"/>
          <w:szCs w:val="21"/>
        </w:rPr>
        <w:t xml:space="preserve">               姓名：</w:t>
      </w:r>
      <w:r>
        <w:rPr>
          <w:rFonts w:hint="eastAsia"/>
          <w:kern w:val="0"/>
          <w:szCs w:val="21"/>
          <w:u w:val="single"/>
        </w:rPr>
        <w:t xml:space="preserve">                       </w:t>
      </w:r>
    </w:p>
    <w:p>
      <w:pPr>
        <w:widowControl/>
        <w:spacing w:line="360" w:lineRule="auto"/>
        <w:ind w:firstLine="420" w:firstLineChars="200"/>
        <w:jc w:val="left"/>
        <w:rPr>
          <w:kern w:val="0"/>
          <w:szCs w:val="21"/>
        </w:rPr>
      </w:pPr>
      <w:r>
        <w:rPr>
          <w:rFonts w:hint="eastAsia"/>
          <w:kern w:val="0"/>
          <w:szCs w:val="21"/>
        </w:rPr>
        <w:t>签字：</w:t>
      </w:r>
      <w:r>
        <w:rPr>
          <w:rFonts w:hint="eastAsia"/>
          <w:kern w:val="0"/>
          <w:szCs w:val="21"/>
          <w:u w:val="single"/>
        </w:rPr>
        <w:t xml:space="preserve">                       </w:t>
      </w:r>
      <w:r>
        <w:rPr>
          <w:rFonts w:hint="eastAsia"/>
          <w:kern w:val="0"/>
          <w:szCs w:val="21"/>
        </w:rPr>
        <w:t xml:space="preserve">               签字：</w:t>
      </w:r>
      <w:r>
        <w:rPr>
          <w:rFonts w:hint="eastAsia"/>
          <w:kern w:val="0"/>
          <w:szCs w:val="21"/>
          <w:u w:val="single"/>
        </w:rPr>
        <w:t xml:space="preserve">                       </w:t>
      </w:r>
    </w:p>
    <w:p>
      <w:pPr>
        <w:widowControl/>
        <w:spacing w:line="360" w:lineRule="auto"/>
        <w:ind w:firstLine="420" w:firstLineChars="200"/>
        <w:jc w:val="left"/>
        <w:rPr>
          <w:kern w:val="0"/>
          <w:szCs w:val="21"/>
        </w:rPr>
      </w:pPr>
      <w:r>
        <w:rPr>
          <w:rFonts w:hint="eastAsia"/>
          <w:kern w:val="0"/>
          <w:szCs w:val="21"/>
        </w:rPr>
        <w:t>电话：</w:t>
      </w:r>
      <w:r>
        <w:rPr>
          <w:rFonts w:hint="eastAsia"/>
          <w:kern w:val="0"/>
          <w:szCs w:val="21"/>
          <w:u w:val="single"/>
        </w:rPr>
        <w:t xml:space="preserve">                       </w:t>
      </w:r>
      <w:r>
        <w:rPr>
          <w:rFonts w:hint="eastAsia"/>
          <w:kern w:val="0"/>
          <w:szCs w:val="21"/>
        </w:rPr>
        <w:t xml:space="preserve">               电话：</w:t>
      </w:r>
      <w:r>
        <w:rPr>
          <w:rFonts w:hint="eastAsia"/>
          <w:kern w:val="0"/>
          <w:szCs w:val="21"/>
          <w:u w:val="single"/>
        </w:rPr>
        <w:t xml:space="preserve">                       </w:t>
      </w:r>
    </w:p>
    <w:p>
      <w:pPr>
        <w:widowControl/>
        <w:spacing w:line="360" w:lineRule="auto"/>
        <w:ind w:firstLine="420" w:firstLineChars="200"/>
        <w:jc w:val="left"/>
        <w:rPr>
          <w:kern w:val="0"/>
          <w:szCs w:val="21"/>
        </w:rPr>
      </w:pPr>
      <w:r>
        <w:rPr>
          <w:rFonts w:hint="eastAsia"/>
          <w:kern w:val="0"/>
          <w:szCs w:val="21"/>
        </w:rPr>
        <w:t>地址：</w:t>
      </w:r>
      <w:r>
        <w:rPr>
          <w:rFonts w:hint="eastAsia"/>
          <w:kern w:val="0"/>
          <w:szCs w:val="21"/>
          <w:u w:val="single"/>
        </w:rPr>
        <w:t xml:space="preserve">                       </w:t>
      </w:r>
      <w:r>
        <w:rPr>
          <w:rFonts w:hint="eastAsia"/>
          <w:kern w:val="0"/>
          <w:szCs w:val="21"/>
        </w:rPr>
        <w:t xml:space="preserve">               地址：</w:t>
      </w:r>
      <w:r>
        <w:rPr>
          <w:rFonts w:hint="eastAsia"/>
          <w:kern w:val="0"/>
          <w:szCs w:val="21"/>
          <w:u w:val="single"/>
        </w:rPr>
        <w:t xml:space="preserve">                       </w:t>
      </w:r>
    </w:p>
    <w:p>
      <w:pPr>
        <w:widowControl/>
        <w:spacing w:line="360" w:lineRule="auto"/>
        <w:ind w:firstLine="420" w:firstLineChars="200"/>
        <w:jc w:val="left"/>
        <w:rPr>
          <w:kern w:val="0"/>
          <w:szCs w:val="21"/>
        </w:rPr>
      </w:pPr>
      <w:r>
        <w:rPr>
          <w:rFonts w:hint="eastAsia"/>
          <w:kern w:val="0"/>
          <w:szCs w:val="21"/>
        </w:rPr>
        <w:t>日期：</w:t>
      </w:r>
      <w:r>
        <w:rPr>
          <w:rFonts w:hint="eastAsia"/>
          <w:kern w:val="0"/>
          <w:szCs w:val="21"/>
          <w:u w:val="single"/>
        </w:rPr>
        <w:t xml:space="preserve">                       </w:t>
      </w:r>
      <w:r>
        <w:rPr>
          <w:rFonts w:hint="eastAsia"/>
          <w:kern w:val="0"/>
          <w:szCs w:val="21"/>
        </w:rPr>
        <w:t xml:space="preserve">               日期：</w:t>
      </w:r>
      <w:r>
        <w:rPr>
          <w:rFonts w:hint="eastAsia"/>
          <w:kern w:val="0"/>
          <w:szCs w:val="21"/>
          <w:u w:val="single"/>
        </w:rPr>
        <w:t xml:space="preserve">                       </w:t>
      </w:r>
    </w:p>
    <w:p>
      <w:pPr>
        <w:spacing w:line="420" w:lineRule="exact"/>
        <w:rPr>
          <w:rFonts w:hint="eastAsia" w:eastAsia="楷体_GB2312"/>
          <w:color w:val="000000"/>
        </w:rPr>
      </w:pPr>
    </w:p>
    <w:p>
      <w:pPr>
        <w:spacing w:line="420" w:lineRule="exact"/>
        <w:rPr>
          <w:rFonts w:hint="eastAsia" w:eastAsia="楷体_GB2312"/>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spacing w:line="360" w:lineRule="auto"/>
        <w:jc w:val="center"/>
        <w:rPr>
          <w:rFonts w:hint="eastAsia" w:ascii="宋体" w:hAnsi="宋体" w:cs="宋体"/>
          <w:b/>
          <w:bCs/>
          <w:color w:val="000000"/>
          <w:sz w:val="28"/>
          <w:szCs w:val="28"/>
        </w:rPr>
      </w:pPr>
      <w:r>
        <w:rPr>
          <w:rFonts w:hint="eastAsia" w:ascii="宋体" w:hAnsi="宋体" w:cs="宋体"/>
          <w:b/>
          <w:bCs/>
          <w:color w:val="000000"/>
          <w:sz w:val="28"/>
          <w:szCs w:val="28"/>
        </w:rPr>
        <w:t>第三节 合同附件格式</w:t>
      </w:r>
    </w:p>
    <w:p>
      <w:pPr>
        <w:spacing w:line="360" w:lineRule="auto"/>
        <w:rPr>
          <w:rFonts w:hint="eastAsia" w:ascii="宋体" w:hAnsi="宋体" w:cs="宋体"/>
          <w:b/>
          <w:bCs/>
          <w:color w:val="000000"/>
          <w:sz w:val="22"/>
          <w:szCs w:val="22"/>
        </w:rPr>
      </w:pPr>
      <w:r>
        <w:rPr>
          <w:rFonts w:hint="eastAsia" w:ascii="宋体" w:hAnsi="宋体" w:cs="宋体"/>
          <w:b/>
          <w:bCs/>
          <w:color w:val="000000"/>
          <w:sz w:val="22"/>
          <w:szCs w:val="22"/>
        </w:rPr>
        <w:t>附件一：合同协议书</w:t>
      </w:r>
    </w:p>
    <w:p>
      <w:pPr>
        <w:spacing w:line="360" w:lineRule="auto"/>
        <w:ind w:firstLine="442" w:firstLineChars="200"/>
        <w:jc w:val="center"/>
        <w:rPr>
          <w:rFonts w:hint="eastAsia" w:ascii="宋体" w:hAnsi="宋体" w:cs="宋体"/>
          <w:color w:val="000000"/>
          <w:sz w:val="22"/>
          <w:szCs w:val="22"/>
        </w:rPr>
      </w:pPr>
      <w:r>
        <w:rPr>
          <w:rFonts w:hint="eastAsia" w:ascii="宋体" w:hAnsi="宋体" w:cs="宋体"/>
          <w:b/>
          <w:bCs/>
          <w:color w:val="000000"/>
          <w:sz w:val="22"/>
          <w:szCs w:val="22"/>
        </w:rPr>
        <w:t>合同协议书</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安徽省第二人民医院（买方名称，以下简称“买方”）为获得安徽省第二人民医院专科医疗及科教功能区建设项目楼层配电箱采购项目（招标项目名称）合同设备和相关服务，已接受 </w:t>
      </w:r>
      <w:r>
        <w:rPr>
          <w:rFonts w:hint="eastAsia" w:ascii="宋体" w:hAnsi="宋体" w:cs="宋体"/>
          <w:color w:val="000000"/>
          <w:sz w:val="22"/>
          <w:szCs w:val="22"/>
          <w:u w:val="single"/>
        </w:rPr>
        <w:t xml:space="preserve">      </w:t>
      </w:r>
      <w:r>
        <w:rPr>
          <w:rFonts w:hint="eastAsia" w:ascii="宋体" w:hAnsi="宋体" w:cs="宋体"/>
          <w:color w:val="000000"/>
          <w:sz w:val="22"/>
          <w:szCs w:val="22"/>
        </w:rPr>
        <w:t>（卖方名称，以下简称“卖方”）为提供上述合同设备和相关服务所作的投标，买方和卖方共同达成如下协议：</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1.本协议书与下列文件一起构成合同文件：</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（1）中标通知书；</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（2）投标函；</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（3）商务和技术偏差表；</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（4）专用合同条款；</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（5）通用合同条款；</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（6）供货要求；</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（7）分项报价表；</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（8）中标设备技术性能指标的详细描述；</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（9）相关服务计划；</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（10）其他合同文件。</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2.上述合同文件互相补充和解释。如果合同文件之间存在矛盾或不一致之处，以上述文件的排列顺序在先者为准。</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3. 签约合同价：人民币（大写）</w:t>
      </w:r>
      <w:r>
        <w:rPr>
          <w:rFonts w:hint="eastAsia" w:ascii="宋体" w:hAnsi="宋体" w:cs="宋体"/>
          <w:color w:val="000000"/>
          <w:sz w:val="22"/>
          <w:szCs w:val="22"/>
          <w:u w:val="single"/>
        </w:rPr>
        <w:t xml:space="preserve">                </w:t>
      </w:r>
      <w:r>
        <w:rPr>
          <w:rFonts w:hint="eastAsia" w:ascii="宋体" w:hAnsi="宋体" w:cs="宋体"/>
          <w:color w:val="000000"/>
          <w:sz w:val="22"/>
          <w:szCs w:val="22"/>
        </w:rPr>
        <w:t>（¥ ）。其中：设备合同价：</w:t>
      </w:r>
      <w:r>
        <w:rPr>
          <w:rFonts w:hint="eastAsia" w:ascii="宋体" w:hAnsi="宋体" w:cs="宋体"/>
          <w:color w:val="000000"/>
          <w:sz w:val="22"/>
          <w:szCs w:val="22"/>
          <w:u w:val="single"/>
        </w:rPr>
        <w:t xml:space="preserve">     </w:t>
      </w:r>
      <w:r>
        <w:rPr>
          <w:rFonts w:hint="eastAsia" w:ascii="宋体" w:hAnsi="宋体" w:cs="宋体"/>
          <w:color w:val="000000"/>
          <w:sz w:val="22"/>
          <w:szCs w:val="22"/>
        </w:rPr>
        <w:t>人民币（大写）</w:t>
      </w:r>
      <w:r>
        <w:rPr>
          <w:rFonts w:hint="eastAsia" w:ascii="宋体" w:hAnsi="宋体" w:cs="宋体"/>
          <w:color w:val="000000"/>
          <w:sz w:val="22"/>
          <w:szCs w:val="22"/>
          <w:u w:val="single"/>
        </w:rPr>
        <w:t xml:space="preserve">    </w:t>
      </w:r>
      <w:r>
        <w:rPr>
          <w:rFonts w:hint="eastAsia" w:ascii="宋体" w:hAnsi="宋体" w:cs="宋体"/>
          <w:color w:val="000000"/>
          <w:sz w:val="22"/>
          <w:szCs w:val="22"/>
        </w:rPr>
        <w:t>（¥ ）；安装合同价：人民币（大写）</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 ）。</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4.卖方承诺保证完全按照合同约定提供合同设备和相关服务并修补缺陷。</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5.买方承诺保证按照合同约定的条件、时间和方式向卖方支付合同价款。</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6.本合同协议书一式</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份，合同双方各执 </w:t>
      </w:r>
      <w:r>
        <w:rPr>
          <w:rFonts w:hint="eastAsia" w:ascii="宋体" w:hAnsi="宋体" w:cs="宋体"/>
          <w:color w:val="000000"/>
          <w:sz w:val="22"/>
          <w:szCs w:val="22"/>
          <w:u w:val="single"/>
        </w:rPr>
        <w:t xml:space="preserve">      </w:t>
      </w:r>
      <w:r>
        <w:rPr>
          <w:rFonts w:hint="eastAsia" w:ascii="宋体" w:hAnsi="宋体" w:cs="宋体"/>
          <w:color w:val="000000"/>
          <w:sz w:val="22"/>
          <w:szCs w:val="22"/>
        </w:rPr>
        <w:t>份。</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7.合同未尽事宜，双方另行签订补充协议，补充协议是合同的组成部分。</w:t>
      </w:r>
    </w:p>
    <w:p>
      <w:pPr>
        <w:spacing w:line="360" w:lineRule="auto"/>
        <w:ind w:firstLine="440" w:firstLineChars="200"/>
        <w:jc w:val="right"/>
        <w:rPr>
          <w:rFonts w:hint="eastAsia" w:ascii="宋体" w:hAnsi="宋体" w:cs="宋体"/>
          <w:color w:val="000000"/>
          <w:sz w:val="22"/>
          <w:szCs w:val="22"/>
        </w:rPr>
      </w:pPr>
      <w:r>
        <w:rPr>
          <w:rFonts w:hint="eastAsia" w:ascii="宋体" w:hAnsi="宋体" w:cs="宋体"/>
          <w:color w:val="000000"/>
          <w:sz w:val="22"/>
          <w:szCs w:val="22"/>
        </w:rPr>
        <w:t>买方：</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（盖单位章）</w:t>
      </w:r>
    </w:p>
    <w:p>
      <w:pPr>
        <w:spacing w:line="360" w:lineRule="auto"/>
        <w:ind w:firstLine="440" w:firstLineChars="200"/>
        <w:jc w:val="right"/>
        <w:rPr>
          <w:rFonts w:hint="eastAsia" w:ascii="宋体" w:hAnsi="宋体" w:cs="宋体"/>
          <w:color w:val="000000"/>
          <w:sz w:val="22"/>
          <w:szCs w:val="22"/>
        </w:rPr>
      </w:pPr>
      <w:r>
        <w:rPr>
          <w:rFonts w:hint="eastAsia" w:ascii="宋体" w:hAnsi="宋体" w:cs="宋体"/>
          <w:color w:val="000000"/>
          <w:sz w:val="22"/>
          <w:szCs w:val="22"/>
        </w:rPr>
        <w:t xml:space="preserve">法定代表人（单位负责人）或其委托代理人： </w:t>
      </w:r>
      <w:r>
        <w:rPr>
          <w:rFonts w:hint="eastAsia" w:ascii="宋体" w:hAnsi="宋体" w:cs="宋体"/>
          <w:color w:val="000000"/>
          <w:sz w:val="22"/>
          <w:szCs w:val="22"/>
          <w:u w:val="single"/>
        </w:rPr>
        <w:t xml:space="preserve">      </w:t>
      </w:r>
      <w:r>
        <w:rPr>
          <w:rFonts w:hint="eastAsia" w:ascii="宋体" w:hAnsi="宋体" w:cs="宋体"/>
          <w:color w:val="000000"/>
          <w:sz w:val="22"/>
          <w:szCs w:val="22"/>
        </w:rPr>
        <w:t>（签字）</w:t>
      </w:r>
    </w:p>
    <w:p>
      <w:pPr>
        <w:spacing w:line="360" w:lineRule="auto"/>
        <w:ind w:firstLine="1100" w:firstLineChars="500"/>
        <w:jc w:val="right"/>
        <w:rPr>
          <w:rFonts w:hint="eastAsia" w:ascii="宋体" w:hAnsi="宋体" w:cs="宋体"/>
          <w:color w:val="000000"/>
          <w:sz w:val="22"/>
          <w:szCs w:val="22"/>
        </w:rPr>
      </w:pPr>
      <w:r>
        <w:rPr>
          <w:rFonts w:hint="eastAsia" w:ascii="宋体" w:hAnsi="宋体" w:cs="宋体"/>
          <w:color w:val="000000"/>
          <w:sz w:val="22"/>
          <w:szCs w:val="22"/>
        </w:rPr>
        <w:t>20</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年 </w:t>
      </w:r>
      <w:r>
        <w:rPr>
          <w:rFonts w:hint="eastAsia" w:ascii="宋体" w:hAnsi="宋体" w:cs="宋体"/>
          <w:color w:val="000000"/>
          <w:sz w:val="22"/>
          <w:szCs w:val="22"/>
          <w:u w:val="single"/>
        </w:rPr>
        <w:t xml:space="preserve">    </w:t>
      </w:r>
      <w:r>
        <w:rPr>
          <w:rFonts w:hint="eastAsia" w:ascii="宋体" w:hAnsi="宋体" w:cs="宋体"/>
          <w:color w:val="000000"/>
          <w:sz w:val="22"/>
          <w:szCs w:val="22"/>
        </w:rPr>
        <w:t>月     日</w:t>
      </w:r>
    </w:p>
    <w:p>
      <w:pPr>
        <w:spacing w:line="360" w:lineRule="auto"/>
        <w:ind w:firstLine="440" w:firstLineChars="200"/>
        <w:jc w:val="right"/>
        <w:rPr>
          <w:rFonts w:hint="eastAsia" w:ascii="宋体" w:hAnsi="宋体" w:cs="宋体"/>
          <w:color w:val="000000"/>
          <w:sz w:val="22"/>
          <w:szCs w:val="22"/>
        </w:rPr>
      </w:pPr>
      <w:r>
        <w:rPr>
          <w:rFonts w:hint="eastAsia" w:ascii="宋体" w:hAnsi="宋体" w:cs="宋体"/>
          <w:color w:val="000000"/>
          <w:sz w:val="22"/>
          <w:szCs w:val="22"/>
        </w:rPr>
        <w:t xml:space="preserve">卖方： </w:t>
      </w:r>
      <w:r>
        <w:rPr>
          <w:rFonts w:hint="eastAsia" w:ascii="宋体" w:hAnsi="宋体" w:cs="宋体"/>
          <w:color w:val="000000"/>
          <w:sz w:val="22"/>
          <w:szCs w:val="22"/>
          <w:u w:val="single"/>
        </w:rPr>
        <w:t xml:space="preserve">     </w:t>
      </w:r>
      <w:r>
        <w:rPr>
          <w:rFonts w:hint="eastAsia" w:ascii="宋体" w:hAnsi="宋体" w:cs="宋体"/>
          <w:color w:val="000000"/>
          <w:sz w:val="22"/>
          <w:szCs w:val="22"/>
        </w:rPr>
        <w:t>（盖单位章）</w:t>
      </w:r>
    </w:p>
    <w:p>
      <w:pPr>
        <w:spacing w:line="360" w:lineRule="auto"/>
        <w:ind w:firstLine="440" w:firstLineChars="200"/>
        <w:jc w:val="right"/>
        <w:rPr>
          <w:rFonts w:hint="eastAsia" w:ascii="宋体" w:hAnsi="宋体" w:cs="宋体"/>
          <w:color w:val="000000"/>
          <w:sz w:val="22"/>
          <w:szCs w:val="22"/>
        </w:rPr>
      </w:pPr>
      <w:r>
        <w:rPr>
          <w:rFonts w:hint="eastAsia" w:ascii="宋体" w:hAnsi="宋体" w:cs="宋体"/>
          <w:color w:val="000000"/>
          <w:sz w:val="22"/>
          <w:szCs w:val="22"/>
        </w:rPr>
        <w:t xml:space="preserve">法定代表人（单位负责人）或其委托代理人： </w:t>
      </w:r>
      <w:r>
        <w:rPr>
          <w:rFonts w:hint="eastAsia" w:ascii="宋体" w:hAnsi="宋体" w:cs="宋体"/>
          <w:color w:val="000000"/>
          <w:sz w:val="22"/>
          <w:szCs w:val="22"/>
          <w:u w:val="single"/>
        </w:rPr>
        <w:t xml:space="preserve">      </w:t>
      </w:r>
      <w:r>
        <w:rPr>
          <w:rFonts w:hint="eastAsia" w:ascii="宋体" w:hAnsi="宋体" w:cs="宋体"/>
          <w:color w:val="000000"/>
          <w:sz w:val="22"/>
          <w:szCs w:val="22"/>
        </w:rPr>
        <w:t>（签字）</w:t>
      </w:r>
    </w:p>
    <w:p>
      <w:pPr>
        <w:spacing w:line="360" w:lineRule="auto"/>
        <w:ind w:firstLine="440" w:firstLineChars="200"/>
        <w:jc w:val="right"/>
        <w:rPr>
          <w:rFonts w:hint="eastAsia" w:ascii="宋体" w:hAnsi="宋体" w:cs="宋体"/>
          <w:color w:val="000000"/>
          <w:sz w:val="22"/>
          <w:szCs w:val="22"/>
        </w:rPr>
      </w:pPr>
      <w:r>
        <w:rPr>
          <w:rFonts w:hint="eastAsia" w:ascii="宋体" w:hAnsi="宋体" w:cs="宋体"/>
          <w:color w:val="000000"/>
          <w:sz w:val="22"/>
          <w:szCs w:val="22"/>
        </w:rPr>
        <w:t>20</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月 </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line="360" w:lineRule="auto"/>
        <w:ind w:firstLine="440" w:firstLineChars="200"/>
        <w:jc w:val="right"/>
        <w:rPr>
          <w:rFonts w:hint="eastAsia" w:ascii="宋体" w:hAnsi="宋体" w:cs="宋体"/>
          <w:color w:val="000000"/>
          <w:sz w:val="22"/>
          <w:szCs w:val="22"/>
        </w:rPr>
        <w:sectPr>
          <w:footnotePr>
            <w:numFmt w:val="decimalEnclosedCircleChinese"/>
            <w:numRestart w:val="eachPage"/>
          </w:footnotePr>
          <w:pgSz w:w="11907" w:h="16840"/>
          <w:pgMar w:top="1440" w:right="1080" w:bottom="1440" w:left="1080" w:header="799" w:footer="907" w:gutter="0"/>
          <w:cols w:space="720" w:num="1"/>
          <w:docGrid w:linePitch="271" w:charSpace="0"/>
        </w:sectPr>
      </w:pPr>
    </w:p>
    <w:p>
      <w:pPr>
        <w:keepNext/>
        <w:keepLines/>
        <w:spacing w:line="360" w:lineRule="auto"/>
        <w:jc w:val="center"/>
        <w:outlineLvl w:val="0"/>
        <w:rPr>
          <w:rFonts w:hint="eastAsia" w:eastAsia="黑体"/>
          <w:bCs/>
          <w:kern w:val="44"/>
          <w:sz w:val="32"/>
          <w:szCs w:val="44"/>
        </w:rPr>
      </w:pPr>
      <w:bookmarkStart w:id="422" w:name="_Toc26781111"/>
      <w:r>
        <w:rPr>
          <w:rFonts w:hint="eastAsia" w:eastAsia="黑体"/>
          <w:bCs/>
          <w:kern w:val="44"/>
          <w:sz w:val="32"/>
          <w:szCs w:val="44"/>
        </w:rPr>
        <w:t>第五章  供货要求</w:t>
      </w:r>
      <w:bookmarkEnd w:id="422"/>
    </w:p>
    <w:p>
      <w:pPr>
        <w:pStyle w:val="2"/>
        <w:spacing w:line="480" w:lineRule="exact"/>
        <w:rPr>
          <w:rFonts w:hint="eastAsia" w:ascii="宋体" w:hAnsi="宋体" w:cs="宋体"/>
          <w:bCs w:val="0"/>
          <w:sz w:val="22"/>
          <w:szCs w:val="22"/>
        </w:rPr>
      </w:pPr>
      <w:r>
        <w:rPr>
          <w:rFonts w:hint="eastAsia" w:ascii="宋体" w:hAnsi="宋体" w:cs="宋体"/>
          <w:bCs w:val="0"/>
          <w:sz w:val="22"/>
          <w:szCs w:val="22"/>
        </w:rPr>
        <w:t>一、安徽省第二人民医院简介</w:t>
      </w:r>
    </w:p>
    <w:p>
      <w:pPr>
        <w:pStyle w:val="2"/>
        <w:spacing w:line="480" w:lineRule="exact"/>
        <w:ind w:firstLine="440" w:firstLineChars="200"/>
        <w:jc w:val="center"/>
        <w:rPr>
          <w:rFonts w:hint="eastAsia" w:ascii="宋体" w:hAnsi="宋体" w:cs="宋体"/>
          <w:b w:val="0"/>
          <w:sz w:val="22"/>
          <w:szCs w:val="22"/>
        </w:rPr>
      </w:pPr>
      <w:r>
        <w:rPr>
          <w:rFonts w:hint="eastAsia" w:ascii="宋体" w:hAnsi="宋体" w:cs="宋体"/>
          <w:b w:val="0"/>
          <w:sz w:val="22"/>
          <w:szCs w:val="22"/>
        </w:rPr>
        <w:t>安徽省第二人民医院坐落于省会合肥市，是安徽省卫健委直属的三级甲等综合性医院。挂设安徽医学高等专科学校附属医院、安徽省职业病防治院、安徽省眼科医院（安徽中古友谊眼科医院）。占地面积206亩，开放床位2000余张，设有54个临床科室，27个医技科室。全</w:t>
      </w:r>
    </w:p>
    <w:p>
      <w:pPr>
        <w:pStyle w:val="2"/>
        <w:spacing w:line="480" w:lineRule="exact"/>
        <w:rPr>
          <w:rFonts w:hint="eastAsia" w:ascii="宋体" w:hAnsi="宋体" w:cs="宋体"/>
          <w:b w:val="0"/>
          <w:sz w:val="22"/>
          <w:szCs w:val="22"/>
        </w:rPr>
      </w:pPr>
      <w:r>
        <w:rPr>
          <w:rFonts w:hint="eastAsia" w:ascii="宋体" w:hAnsi="宋体" w:cs="宋体"/>
          <w:b w:val="0"/>
          <w:sz w:val="22"/>
          <w:szCs w:val="22"/>
        </w:rPr>
        <w:t>院在职员工2100余人，高中级职称800余人，博士、硕士学历600余人。</w:t>
      </w:r>
    </w:p>
    <w:p>
      <w:pPr>
        <w:pStyle w:val="2"/>
        <w:spacing w:line="480" w:lineRule="exact"/>
        <w:ind w:firstLine="440" w:firstLineChars="200"/>
        <w:jc w:val="center"/>
        <w:rPr>
          <w:rFonts w:hint="eastAsia" w:ascii="宋体" w:hAnsi="宋体" w:cs="宋体"/>
          <w:b w:val="0"/>
          <w:sz w:val="22"/>
          <w:szCs w:val="22"/>
        </w:rPr>
      </w:pPr>
      <w:r>
        <w:rPr>
          <w:rFonts w:hint="eastAsia" w:ascii="宋体" w:hAnsi="宋体" w:cs="宋体"/>
          <w:b w:val="0"/>
          <w:sz w:val="22"/>
          <w:szCs w:val="22"/>
        </w:rPr>
        <w:t>医院目前拥有10个省级医疗卫生重点专科，是安徽省危重孕产妇救治中心、安徽省危重新生儿救治中心、安徽省职业健康检查质量控制中心、安徽省核辐射紧急医学救援基地、安徽省全科医学师资培训基地、国家医师资格实践技能考试（公共卫生类）基地、国家级住院医师规范化培训基地。拥有高能直线加速器、3.0T核磁共振、双源256排螺旋CT、DSA、750全激光系统、飞秒激光、四维彩超等先进医疗设备。是全国“五一劳动奖状”获奖单位、全国</w:t>
      </w:r>
    </w:p>
    <w:p>
      <w:pPr>
        <w:pStyle w:val="2"/>
        <w:spacing w:line="480" w:lineRule="exact"/>
        <w:rPr>
          <w:rFonts w:hint="eastAsia" w:ascii="宋体" w:hAnsi="宋体" w:cs="宋体"/>
          <w:b w:val="0"/>
          <w:sz w:val="22"/>
          <w:szCs w:val="22"/>
        </w:rPr>
      </w:pPr>
      <w:r>
        <w:rPr>
          <w:rFonts w:hint="eastAsia" w:ascii="宋体" w:hAnsi="宋体" w:cs="宋体"/>
          <w:b w:val="0"/>
          <w:sz w:val="22"/>
          <w:szCs w:val="22"/>
        </w:rPr>
        <w:t>医药卫生系统先进集体、全国百姓放心示范医院、安徽省诚信医院。</w:t>
      </w:r>
    </w:p>
    <w:p>
      <w:pPr>
        <w:pStyle w:val="2"/>
        <w:spacing w:line="480" w:lineRule="exact"/>
        <w:ind w:firstLine="440" w:firstLineChars="200"/>
        <w:jc w:val="center"/>
        <w:rPr>
          <w:rFonts w:hint="eastAsia" w:ascii="宋体" w:hAnsi="宋体" w:cs="宋体"/>
          <w:b w:val="0"/>
          <w:sz w:val="22"/>
          <w:szCs w:val="22"/>
        </w:rPr>
      </w:pPr>
      <w:r>
        <w:rPr>
          <w:rFonts w:hint="eastAsia" w:ascii="宋体" w:hAnsi="宋体" w:cs="宋体"/>
          <w:b w:val="0"/>
          <w:sz w:val="22"/>
          <w:szCs w:val="22"/>
        </w:rPr>
        <w:t>安徽省职业病防治院主要承担职业病诊治、职业病监测、放射卫生监测、职业健康监护、突发事件卫生应急等职责。拥有超高效液相色谱-质谱联用仪、气相色谱-质谱联用仪、全自动玻片扫描仪、气相色谱仪、高效液相色谱仪、离子色谱仪、原子吸收仪、全自动固相萃取系统和全自动热脱</w:t>
      </w:r>
      <w:r>
        <w:rPr>
          <w:rFonts w:hint="eastAsia" w:ascii="宋体" w:hAnsi="宋体" w:cs="宋体"/>
          <w:b w:val="0"/>
          <w:sz w:val="22"/>
          <w:szCs w:val="22"/>
          <w:lang w:eastAsia="zh-CN"/>
        </w:rPr>
        <w:t>附近</w:t>
      </w:r>
      <w:r>
        <w:rPr>
          <w:rFonts w:hint="eastAsia" w:ascii="宋体" w:hAnsi="宋体" w:cs="宋体"/>
          <w:b w:val="0"/>
          <w:sz w:val="22"/>
          <w:szCs w:val="22"/>
        </w:rPr>
        <w:t>样系统等先进分析仪器设备。具备国家“检验检测机构资质认定证书”“计量认证证书”“放射卫生技术服务机构资质证书（甲级）”“职业卫生技术服务资质认定（乙级）”“职业病诊断资质（全因素）”“职业健康检查资质（全因素）”，可开展</w:t>
      </w:r>
      <w:r>
        <w:rPr>
          <w:rFonts w:hint="eastAsia" w:ascii="宋体" w:hAnsi="宋体" w:cs="宋体"/>
          <w:b w:val="0"/>
          <w:sz w:val="22"/>
          <w:szCs w:val="22"/>
          <w:lang w:eastAsia="zh-CN"/>
        </w:rPr>
        <w:t>职业卫生监测</w:t>
      </w:r>
      <w:r>
        <w:rPr>
          <w:rFonts w:hint="eastAsia" w:ascii="宋体" w:hAnsi="宋体" w:cs="宋体"/>
          <w:b w:val="0"/>
          <w:sz w:val="22"/>
          <w:szCs w:val="22"/>
        </w:rPr>
        <w:t>评价、放射卫生监测评价、放射卫生个人剂量监测、职业健康检查（全因素）、职业病诊断（全因素）等项目，是我省职业病防治专业机构和权威机构，现为安徽省核辐射紧急医学救援</w:t>
      </w:r>
    </w:p>
    <w:p>
      <w:pPr>
        <w:pStyle w:val="2"/>
        <w:spacing w:line="480" w:lineRule="exact"/>
        <w:rPr>
          <w:rFonts w:hint="eastAsia" w:ascii="宋体" w:hAnsi="宋体" w:cs="宋体"/>
          <w:b w:val="0"/>
          <w:sz w:val="22"/>
          <w:szCs w:val="22"/>
        </w:rPr>
      </w:pPr>
      <w:r>
        <w:rPr>
          <w:rFonts w:hint="eastAsia" w:ascii="宋体" w:hAnsi="宋体" w:cs="宋体"/>
          <w:b w:val="0"/>
          <w:sz w:val="22"/>
          <w:szCs w:val="22"/>
        </w:rPr>
        <w:t>基地。</w:t>
      </w:r>
    </w:p>
    <w:p>
      <w:pPr>
        <w:pStyle w:val="2"/>
        <w:spacing w:line="480" w:lineRule="exact"/>
        <w:ind w:firstLine="440" w:firstLineChars="200"/>
        <w:jc w:val="center"/>
        <w:rPr>
          <w:rFonts w:hint="eastAsia" w:ascii="宋体" w:hAnsi="宋体" w:cs="宋体"/>
          <w:b w:val="0"/>
          <w:sz w:val="22"/>
          <w:szCs w:val="22"/>
        </w:rPr>
      </w:pPr>
      <w:r>
        <w:rPr>
          <w:rFonts w:hint="eastAsia" w:ascii="宋体" w:hAnsi="宋体" w:cs="宋体"/>
          <w:b w:val="0"/>
          <w:sz w:val="22"/>
          <w:szCs w:val="22"/>
        </w:rPr>
        <w:t>  安徽省眼科医院（安徽中古友谊眼科医院）是中国与古巴政府眼科合作项目建设的省级专科医院，设置层流净化的准分子激光手术间、视网膜</w:t>
      </w:r>
      <w:r>
        <w:rPr>
          <w:rFonts w:hint="eastAsia" w:ascii="宋体" w:hAnsi="宋体" w:cs="宋体"/>
          <w:b w:val="0"/>
          <w:sz w:val="22"/>
          <w:szCs w:val="22"/>
          <w:lang w:eastAsia="zh-CN"/>
        </w:rPr>
        <w:t>环切手术</w:t>
      </w:r>
      <w:r>
        <w:rPr>
          <w:rFonts w:hint="eastAsia" w:ascii="宋体" w:hAnsi="宋体" w:cs="宋体"/>
          <w:b w:val="0"/>
          <w:sz w:val="22"/>
          <w:szCs w:val="22"/>
        </w:rPr>
        <w:t>间、白内障超声乳化手术间、感染手术间、综合手术间等专科手术室6间。拥有750全激光系统、飞秒激光、多光谱眼底摄像机、血流OCT、眼前节OCT等先进设备。常规开展白内障、角膜病、小儿斜弱视、视神经、</w:t>
      </w:r>
    </w:p>
    <w:p>
      <w:pPr>
        <w:pStyle w:val="2"/>
        <w:spacing w:line="480" w:lineRule="exact"/>
        <w:rPr>
          <w:rFonts w:hint="eastAsia" w:ascii="宋体" w:hAnsi="宋体" w:cs="宋体"/>
          <w:b w:val="0"/>
          <w:sz w:val="22"/>
          <w:szCs w:val="22"/>
        </w:rPr>
      </w:pPr>
      <w:r>
        <w:rPr>
          <w:rFonts w:hint="eastAsia" w:ascii="宋体" w:hAnsi="宋体" w:cs="宋体"/>
          <w:b w:val="0"/>
          <w:sz w:val="22"/>
          <w:szCs w:val="22"/>
        </w:rPr>
        <w:t>视网膜及眼底病治疗、眼眶整形、近视眼准分子激光手术，眼科专科优势明显。</w:t>
      </w:r>
    </w:p>
    <w:p>
      <w:pPr>
        <w:spacing w:line="480" w:lineRule="exact"/>
        <w:rPr>
          <w:rFonts w:hint="eastAsia" w:ascii="宋体" w:hAnsi="宋体" w:cs="宋体"/>
          <w:b/>
          <w:sz w:val="22"/>
          <w:szCs w:val="22"/>
        </w:rPr>
      </w:pPr>
      <w:r>
        <w:rPr>
          <w:rFonts w:hint="eastAsia" w:ascii="宋体" w:hAnsi="宋体" w:cs="宋体"/>
          <w:b/>
          <w:sz w:val="22"/>
          <w:szCs w:val="22"/>
        </w:rPr>
        <w:t>二、设备需求一览表</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本项目设备数量以招标文件附件《工程量清单》中数量为准。如《工程量清单》中要求投标时提供证书、检测报告等证明材料，投标文件中均无需提供。但作为招标人验收的标准，所</w:t>
      </w:r>
      <w:r>
        <w:rPr>
          <w:rFonts w:hint="eastAsia" w:ascii="宋体" w:hAnsi="宋体" w:cs="宋体"/>
          <w:bCs/>
          <w:sz w:val="22"/>
          <w:szCs w:val="22"/>
          <w:lang w:eastAsia="zh-CN"/>
        </w:rPr>
        <w:t>提供</w:t>
      </w:r>
      <w:r>
        <w:rPr>
          <w:rFonts w:hint="eastAsia" w:ascii="宋体" w:hAnsi="宋体" w:cs="宋体"/>
          <w:bCs/>
          <w:sz w:val="22"/>
          <w:szCs w:val="22"/>
        </w:rPr>
        <w:t>的产品须满足此标准，并保证设备的兼容性，确保项目整体性能的实现。否则招标人有权拒绝签订合同，并上报公共资源交易监督管理部门按有关规定处理。</w:t>
      </w:r>
    </w:p>
    <w:p>
      <w:pPr>
        <w:spacing w:line="480" w:lineRule="exact"/>
        <w:rPr>
          <w:rFonts w:hint="eastAsia" w:ascii="宋体" w:hAnsi="宋体" w:cs="宋体"/>
          <w:b/>
          <w:sz w:val="22"/>
          <w:szCs w:val="22"/>
        </w:rPr>
      </w:pPr>
      <w:r>
        <w:rPr>
          <w:rFonts w:hint="eastAsia" w:ascii="宋体" w:hAnsi="宋体" w:cs="宋体"/>
          <w:b/>
          <w:sz w:val="22"/>
          <w:szCs w:val="22"/>
        </w:rPr>
        <w:t>三、技术性能指标</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（一）说明</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1. 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2. 为鼓励不同品牌的充分竞争，如某设备的某技术参数或要求属于个别品牌专有，则该技术参数及要求不具有限制性，投标人可对该参数或要求的响应情况进行说明，且该说明须经评标委员会审核认可。</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3. 投标人应自行踏勘本项目实施现场，核对设备安装现场的土建尺寸等可能影响后期安装的全部因素，确保所投设备满足现场实际安装要求；仔细勘察</w:t>
      </w:r>
      <w:r>
        <w:rPr>
          <w:rFonts w:hint="eastAsia" w:ascii="宋体" w:hAnsi="宋体" w:cs="宋体"/>
          <w:bCs/>
          <w:sz w:val="22"/>
          <w:szCs w:val="22"/>
          <w:lang w:eastAsia="zh-CN"/>
        </w:rPr>
        <w:t>，</w:t>
      </w:r>
      <w:r>
        <w:rPr>
          <w:rFonts w:hint="eastAsia" w:ascii="宋体" w:hAnsi="宋体" w:cs="宋体"/>
          <w:bCs/>
          <w:sz w:val="22"/>
          <w:szCs w:val="22"/>
        </w:rPr>
        <w:t>踏勘现场及周边环境</w:t>
      </w:r>
      <w:r>
        <w:rPr>
          <w:rFonts w:hint="eastAsia" w:ascii="宋体" w:hAnsi="宋体" w:cs="宋体"/>
          <w:bCs/>
          <w:sz w:val="22"/>
          <w:szCs w:val="22"/>
          <w:lang w:eastAsia="zh-CN"/>
        </w:rPr>
        <w:t>，</w:t>
      </w:r>
      <w:r>
        <w:rPr>
          <w:rFonts w:hint="eastAsia" w:ascii="宋体" w:hAnsi="宋体" w:cs="宋体"/>
          <w:bCs/>
          <w:sz w:val="22"/>
          <w:szCs w:val="22"/>
        </w:rPr>
        <w:t>充分了解工程情况</w:t>
      </w:r>
      <w:r>
        <w:rPr>
          <w:rFonts w:hint="eastAsia" w:ascii="宋体" w:hAnsi="宋体" w:cs="宋体"/>
          <w:bCs/>
          <w:sz w:val="22"/>
          <w:szCs w:val="22"/>
          <w:lang w:eastAsia="zh-CN"/>
        </w:rPr>
        <w:t>，</w:t>
      </w:r>
      <w:r>
        <w:rPr>
          <w:rFonts w:hint="eastAsia" w:ascii="宋体" w:hAnsi="宋体" w:cs="宋体"/>
          <w:bCs/>
          <w:sz w:val="22"/>
          <w:szCs w:val="22"/>
        </w:rPr>
        <w:t>并对踏勘结果负责，日后不得以“踏勘失误”为借口等任何理由提出变更（中标后承担由此产生的有关风险）。</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4. 招标人保留在签订合同之前对本技术规格及要求进行补充和修改的权利，中标人应予以配合。</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（二）总体要求</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1.配电箱（柜）中的所有电器元件、仪表、零配件必须是近 6 个月内出厂的、全新的、未使用过的合格产品。所有产品技术标准应符合行业及国家最新标准要求。</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2.配电箱（柜）的出厂试验应按标准认真完成，对完成的试验项目应有完整的试验报告（供货提供）。</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3.投标人在投标文件中应详细列出拟提供的附件及专用工具名称、型号规格、数量、制造厂及产地（如果有）。投标人在投标文件中应详细说明产品的主要技术性能指标，技术特点。</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4.铭牌应符合国家有关规定。产品交付时中标单位应按国家有关规定及标准提供全套技术资料。产品的制造安装、检验和验收执行的标准按 GB7251、JB/T9661，并实施执行国家颁布产品质量法规定执行。</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5.配电箱（柜）的内部配置详见各单体建筑的电气图纸。</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6.涉及计量表计箱制作参见当地供电公司及国家和电力行业技术标准制造。</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7.箱、柜内连接铜母线做</w:t>
      </w:r>
      <w:r>
        <w:rPr>
          <w:rFonts w:hint="eastAsia" w:ascii="宋体" w:hAnsi="宋体" w:cs="宋体"/>
          <w:bCs/>
          <w:sz w:val="22"/>
          <w:szCs w:val="22"/>
          <w:lang w:eastAsia="zh-CN"/>
        </w:rPr>
        <w:t>镀锌</w:t>
      </w:r>
      <w:r>
        <w:rPr>
          <w:rFonts w:hint="eastAsia" w:ascii="宋体" w:hAnsi="宋体" w:cs="宋体"/>
          <w:bCs/>
          <w:sz w:val="22"/>
          <w:szCs w:val="22"/>
        </w:rPr>
        <w:t>处理，热缩绝缘套管保护。</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8.箱、柜内</w:t>
      </w:r>
      <w:r>
        <w:rPr>
          <w:rFonts w:hint="eastAsia" w:ascii="宋体" w:hAnsi="宋体" w:cs="宋体"/>
          <w:bCs/>
          <w:sz w:val="22"/>
          <w:szCs w:val="22"/>
          <w:lang w:eastAsia="zh-CN"/>
        </w:rPr>
        <w:t>一两次</w:t>
      </w:r>
      <w:r>
        <w:rPr>
          <w:rFonts w:hint="eastAsia" w:ascii="宋体" w:hAnsi="宋体" w:cs="宋体"/>
          <w:bCs/>
          <w:sz w:val="22"/>
          <w:szCs w:val="22"/>
        </w:rPr>
        <w:t>元器件、断路器、保护装置、各断路器分断装置、空气断路器额定值、整定值及脱扣器附件等技术参数依据设计图纸电气图。</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9.使用环境及相关技术要求</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安装位置： 户内</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环境温度： -5 ℃~+40℃</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相对湿度： 日平均≤95%</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月平均≤90%</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最大日温差： 25℃</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地震条件： 水平分量 0.3g</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垂直分量 0.15g</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lang w:eastAsia="zh-CN"/>
        </w:rPr>
        <w:t>海拔</w:t>
      </w:r>
      <w:r>
        <w:rPr>
          <w:rFonts w:hint="eastAsia" w:ascii="宋体" w:hAnsi="宋体" w:cs="宋体"/>
          <w:bCs/>
          <w:sz w:val="22"/>
          <w:szCs w:val="22"/>
          <w:highlight w:val="yellow"/>
        </w:rPr>
        <w:t>： ≯1000m</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无火灾、爆炸危险、严重污秽、化学腐蚀及剧烈</w:t>
      </w:r>
      <w:r>
        <w:rPr>
          <w:rFonts w:hint="eastAsia" w:ascii="宋体" w:hAnsi="宋体" w:cs="宋体"/>
          <w:bCs/>
          <w:sz w:val="22"/>
          <w:szCs w:val="22"/>
          <w:highlight w:val="yellow"/>
          <w:lang w:eastAsia="zh-CN"/>
        </w:rPr>
        <w:t>振动</w:t>
      </w:r>
      <w:r>
        <w:rPr>
          <w:rFonts w:hint="eastAsia" w:ascii="宋体" w:hAnsi="宋体" w:cs="宋体"/>
          <w:bCs/>
          <w:sz w:val="22"/>
          <w:szCs w:val="22"/>
          <w:highlight w:val="yellow"/>
        </w:rPr>
        <w:t>的场所。</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外壳防护等级不低于 IP30。进出线方式：按图纸要求。</w:t>
      </w:r>
    </w:p>
    <w:p>
      <w:pPr>
        <w:spacing w:line="480" w:lineRule="exact"/>
        <w:ind w:firstLine="440" w:firstLineChars="200"/>
        <w:rPr>
          <w:rFonts w:hint="eastAsia" w:ascii="宋体" w:hAnsi="宋体" w:cs="宋体"/>
          <w:bCs/>
          <w:sz w:val="22"/>
          <w:szCs w:val="22"/>
          <w:highlight w:val="yellow"/>
        </w:rPr>
      </w:pPr>
      <w:r>
        <w:rPr>
          <w:rFonts w:hint="eastAsia" w:ascii="宋体" w:hAnsi="宋体" w:cs="宋体"/>
          <w:bCs/>
          <w:sz w:val="22"/>
          <w:szCs w:val="22"/>
          <w:highlight w:val="yellow"/>
        </w:rPr>
        <w:t>户内外照明配电箱、动力配电箱（柜）及内部：板材厚度：暗装≥1.5mm，明装、落地安装厚度≥2.0mm，整体喷塑，其余参考国标规范执行。</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10.产品的出厂试验应按标准认真完成，对完成的试验项目应有完整的试验报告（供货时提供）。</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11.以上规章、标准供参考，不论有无年代号，如有新的服务标准，中标人均须以最新有效版本为准。</w:t>
      </w:r>
    </w:p>
    <w:p>
      <w:pPr>
        <w:spacing w:line="480" w:lineRule="exact"/>
        <w:ind w:firstLine="440" w:firstLineChars="200"/>
        <w:rPr>
          <w:rFonts w:hint="eastAsia" w:ascii="宋体" w:hAnsi="宋体" w:cs="宋体"/>
          <w:bCs/>
          <w:sz w:val="22"/>
          <w:szCs w:val="22"/>
        </w:rPr>
      </w:pPr>
      <w:r>
        <w:rPr>
          <w:rFonts w:hint="eastAsia" w:ascii="宋体" w:hAnsi="宋体" w:cs="宋体"/>
          <w:bCs/>
          <w:sz w:val="22"/>
          <w:szCs w:val="22"/>
        </w:rPr>
        <w:t>注：上述技术参数要求不作为初步评审指标。但作为招标人验收的标准，所供的产品须满足此标准。否则招标人有权拒绝签订合同，并上报公共资源交易监督管理部门按有关规定处理。</w:t>
      </w:r>
    </w:p>
    <w:p>
      <w:pPr>
        <w:spacing w:line="480" w:lineRule="exact"/>
        <w:ind w:firstLine="442" w:firstLineChars="200"/>
        <w:rPr>
          <w:rFonts w:hint="eastAsia" w:ascii="宋体" w:hAnsi="宋体" w:cs="宋体"/>
          <w:b/>
          <w:color w:val="FF0000"/>
          <w:kern w:val="0"/>
          <w:sz w:val="22"/>
          <w:szCs w:val="22"/>
          <w:lang w:val="zh-CN"/>
        </w:rPr>
      </w:pPr>
      <w:r>
        <w:rPr>
          <w:rFonts w:hint="eastAsia" w:ascii="宋体" w:hAnsi="宋体" w:cs="宋体"/>
          <w:b/>
          <w:sz w:val="22"/>
          <w:szCs w:val="22"/>
        </w:rPr>
        <w:t>（三）推荐品牌</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529"/>
        <w:gridCol w:w="432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jc w:val="center"/>
              <w:rPr>
                <w:b/>
                <w:bCs/>
                <w:highlight w:val="yellow"/>
              </w:rPr>
            </w:pPr>
            <w:r>
              <w:rPr>
                <w:rFonts w:hint="eastAsia"/>
                <w:b/>
                <w:bCs/>
                <w:highlight w:val="yellow"/>
              </w:rPr>
              <w:t>序号</w:t>
            </w:r>
          </w:p>
        </w:tc>
        <w:tc>
          <w:tcPr>
            <w:tcW w:w="2529" w:type="dxa"/>
            <w:vAlign w:val="center"/>
          </w:tcPr>
          <w:p>
            <w:pPr>
              <w:jc w:val="center"/>
              <w:rPr>
                <w:b/>
                <w:bCs/>
                <w:highlight w:val="yellow"/>
              </w:rPr>
            </w:pPr>
            <w:r>
              <w:rPr>
                <w:rFonts w:hint="eastAsia"/>
                <w:b/>
                <w:bCs/>
                <w:highlight w:val="yellow"/>
              </w:rPr>
              <w:t>配电箱内元器件</w:t>
            </w:r>
          </w:p>
        </w:tc>
        <w:tc>
          <w:tcPr>
            <w:tcW w:w="4325" w:type="dxa"/>
            <w:vAlign w:val="center"/>
          </w:tcPr>
          <w:p>
            <w:pPr>
              <w:jc w:val="center"/>
              <w:rPr>
                <w:b/>
                <w:bCs/>
                <w:highlight w:val="yellow"/>
              </w:rPr>
            </w:pPr>
            <w:r>
              <w:rPr>
                <w:rFonts w:hint="eastAsia"/>
                <w:b/>
                <w:bCs/>
                <w:highlight w:val="yellow"/>
              </w:rPr>
              <w:t>品牌/系列</w:t>
            </w:r>
          </w:p>
        </w:tc>
        <w:tc>
          <w:tcPr>
            <w:tcW w:w="1504" w:type="dxa"/>
            <w:vAlign w:val="center"/>
          </w:tcPr>
          <w:p>
            <w:pPr>
              <w:jc w:val="center"/>
              <w:rPr>
                <w:b/>
                <w:bCs/>
                <w:highlight w:val="yellow"/>
              </w:rPr>
            </w:pPr>
            <w:r>
              <w:rPr>
                <w:rFonts w:hint="eastAsia"/>
                <w:b/>
                <w:bCs/>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1</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低压塑壳断路器</w:t>
            </w:r>
          </w:p>
        </w:tc>
        <w:tc>
          <w:tcPr>
            <w:tcW w:w="4325" w:type="dxa"/>
            <w:vAlign w:val="center"/>
          </w:tcPr>
          <w:p>
            <w:pPr>
              <w:widowControl/>
              <w:jc w:val="left"/>
              <w:textAlignment w:val="center"/>
              <w:rPr>
                <w:rFonts w:ascii="宋体" w:hAnsi="宋体"/>
                <w:szCs w:val="21"/>
                <w:highlight w:val="yellow"/>
              </w:rPr>
            </w:pPr>
            <w:r>
              <w:rPr>
                <w:rFonts w:hint="eastAsia" w:ascii="宋体" w:hAnsi="宋体"/>
                <w:szCs w:val="21"/>
                <w:highlight w:val="yellow"/>
              </w:rPr>
              <w:t>ABB Tmax 系列、伊顿PDC系列、施耐德NSX系列、西门子3VA系列</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2</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低压微型断路器</w:t>
            </w:r>
          </w:p>
        </w:tc>
        <w:tc>
          <w:tcPr>
            <w:tcW w:w="4325" w:type="dxa"/>
            <w:vAlign w:val="center"/>
          </w:tcPr>
          <w:p>
            <w:pPr>
              <w:widowControl/>
              <w:jc w:val="left"/>
              <w:textAlignment w:val="center"/>
              <w:rPr>
                <w:rFonts w:ascii="宋体" w:hAnsi="宋体"/>
                <w:szCs w:val="21"/>
                <w:highlight w:val="yellow"/>
              </w:rPr>
            </w:pPr>
            <w:r>
              <w:rPr>
                <w:rFonts w:hint="eastAsia" w:ascii="宋体" w:hAnsi="宋体"/>
                <w:szCs w:val="21"/>
                <w:highlight w:val="yellow"/>
              </w:rPr>
              <w:t>ABB S200系列、伊顿PL系列、施耐德ic65系列、西门子5SY6系列</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3</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ATS双电源切换</w:t>
            </w:r>
          </w:p>
        </w:tc>
        <w:tc>
          <w:tcPr>
            <w:tcW w:w="4325" w:type="dxa"/>
            <w:vAlign w:val="center"/>
          </w:tcPr>
          <w:p>
            <w:pPr>
              <w:widowControl/>
              <w:jc w:val="left"/>
              <w:textAlignment w:val="center"/>
              <w:rPr>
                <w:highlight w:val="yellow"/>
              </w:rPr>
            </w:pPr>
            <w:r>
              <w:rPr>
                <w:rFonts w:hint="eastAsia" w:ascii="宋体" w:hAnsi="宋体"/>
                <w:szCs w:val="21"/>
                <w:highlight w:val="yellow"/>
              </w:rPr>
              <w:t>施耐德W</w:t>
            </w:r>
            <w:r>
              <w:rPr>
                <w:rFonts w:ascii="宋体" w:hAnsi="宋体"/>
                <w:szCs w:val="21"/>
                <w:highlight w:val="yellow"/>
              </w:rPr>
              <w:t>N</w:t>
            </w:r>
            <w:r>
              <w:rPr>
                <w:rFonts w:hint="eastAsia" w:ascii="宋体" w:hAnsi="宋体"/>
                <w:szCs w:val="21"/>
                <w:highlight w:val="yellow"/>
              </w:rPr>
              <w:t>TS系列、溯高美ATYS系列、ABB公司OTM_8D系列、西门子3KC系列</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4</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电流互感器</w:t>
            </w:r>
          </w:p>
        </w:tc>
        <w:tc>
          <w:tcPr>
            <w:tcW w:w="4325" w:type="dxa"/>
            <w:vAlign w:val="center"/>
          </w:tcPr>
          <w:p>
            <w:pPr>
              <w:widowControl/>
              <w:jc w:val="left"/>
              <w:textAlignment w:val="center"/>
              <w:rPr>
                <w:rFonts w:ascii="宋体" w:hAnsi="宋体"/>
                <w:szCs w:val="21"/>
                <w:highlight w:val="yellow"/>
              </w:rPr>
            </w:pPr>
            <w:r>
              <w:rPr>
                <w:rFonts w:hint="eastAsia" w:ascii="宋体" w:hAnsi="宋体"/>
                <w:szCs w:val="21"/>
                <w:highlight w:val="yellow"/>
              </w:rPr>
              <w:t>大连一互、大连北方、上海雷兹、大连二互</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5</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浪涌保护器（智能型）</w:t>
            </w:r>
          </w:p>
        </w:tc>
        <w:tc>
          <w:tcPr>
            <w:tcW w:w="4325"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施耐德、西门子、伊顿、ABB</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6</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多功能电表</w:t>
            </w:r>
          </w:p>
        </w:tc>
        <w:tc>
          <w:tcPr>
            <w:tcW w:w="4325"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TK系列（安徽托卡）、HK系列（西安海克）、DM系列（合肥上元）</w:t>
            </w:r>
          </w:p>
        </w:tc>
        <w:tc>
          <w:tcPr>
            <w:tcW w:w="1504" w:type="dxa"/>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pPr>
              <w:widowControl/>
              <w:jc w:val="center"/>
              <w:textAlignment w:val="center"/>
              <w:rPr>
                <w:rFonts w:ascii="宋体" w:hAnsi="宋体" w:cs="宋体"/>
                <w:color w:val="000000"/>
                <w:sz w:val="24"/>
                <w:highlight w:val="yellow"/>
              </w:rPr>
            </w:pPr>
            <w:r>
              <w:rPr>
                <w:rFonts w:hint="eastAsia" w:ascii="宋体" w:hAnsi="宋体" w:cs="宋体"/>
                <w:color w:val="000000"/>
                <w:sz w:val="24"/>
                <w:highlight w:val="yellow"/>
              </w:rPr>
              <w:t>7</w:t>
            </w:r>
          </w:p>
        </w:tc>
        <w:tc>
          <w:tcPr>
            <w:tcW w:w="2529"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隔离开关</w:t>
            </w:r>
          </w:p>
        </w:tc>
        <w:tc>
          <w:tcPr>
            <w:tcW w:w="4325" w:type="dxa"/>
            <w:vAlign w:val="center"/>
          </w:tcPr>
          <w:p>
            <w:pPr>
              <w:widowControl/>
              <w:jc w:val="center"/>
              <w:textAlignment w:val="center"/>
              <w:rPr>
                <w:rFonts w:ascii="宋体" w:hAnsi="宋体"/>
                <w:szCs w:val="21"/>
                <w:highlight w:val="yellow"/>
              </w:rPr>
            </w:pPr>
            <w:r>
              <w:rPr>
                <w:rFonts w:hint="eastAsia" w:ascii="宋体" w:hAnsi="宋体"/>
                <w:szCs w:val="21"/>
                <w:highlight w:val="yellow"/>
              </w:rPr>
              <w:t>施耐德、西门子、伊顿、ABB</w:t>
            </w:r>
          </w:p>
        </w:tc>
        <w:tc>
          <w:tcPr>
            <w:tcW w:w="1504" w:type="dxa"/>
            <w:vAlign w:val="center"/>
          </w:tcPr>
          <w:p>
            <w:pPr>
              <w:jc w:val="center"/>
              <w:rPr>
                <w:highlight w:val="yellow"/>
              </w:rPr>
            </w:pPr>
          </w:p>
        </w:tc>
      </w:tr>
    </w:tbl>
    <w:p>
      <w:pPr>
        <w:pStyle w:val="54"/>
        <w:spacing w:line="480" w:lineRule="exact"/>
        <w:ind w:firstLine="0" w:firstLineChars="0"/>
        <w:jc w:val="left"/>
        <w:rPr>
          <w:rFonts w:hint="eastAsia" w:cs="宋体"/>
          <w:b/>
          <w:sz w:val="22"/>
          <w:szCs w:val="22"/>
        </w:rPr>
      </w:pPr>
      <w:r>
        <w:rPr>
          <w:rFonts w:hint="eastAsia" w:cs="宋体"/>
          <w:b/>
          <w:sz w:val="22"/>
          <w:szCs w:val="22"/>
        </w:rPr>
        <w:t>四、其他相关要求</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1、设备及材料质量：合格</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2、交货期：收到甲方批次货物需求通知后的30天内，将该批次货物送到甲方指定地点。</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3、保修要求</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1）质保期：自验收合格之日起不少于三年。中标人承诺延长免费质保期时间的，免费质保期以承诺为准。保期自招标人采购的货物验收合格并交付使用之日起计算。货物在质保期内因产品质量而导致的缺陷必须免费提供包修、包换、包退服务，提供终身维修承诺。</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2）出现故障必须在接报后1小时响应，4小时内到达现场，12小时内予以解决，保证正常使用。如果是设备故障，必须提供相同档次的设备给用户使用，直至设备故障修复为止。</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3）质保期满后乙方继续提供终身免费巡查和保养服务（免人工费）并提供优惠的维修服务与免费的技术指导。</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4、设备及材料交货要求</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 xml:space="preserve">1）设备进场验收时必须提供有关安装、质量证明材料（包括产品检测报告、出厂合格证）、使用说明资料等，并派专业技术人员到场安装。 </w:t>
      </w:r>
    </w:p>
    <w:p>
      <w:pPr>
        <w:widowControl/>
        <w:spacing w:line="480" w:lineRule="exact"/>
        <w:ind w:firstLine="440" w:firstLineChars="200"/>
        <w:jc w:val="left"/>
        <w:rPr>
          <w:rFonts w:hint="eastAsia" w:ascii="宋体" w:hAnsi="宋体" w:cs="宋体"/>
          <w:sz w:val="22"/>
          <w:szCs w:val="22"/>
        </w:rPr>
      </w:pPr>
      <w:r>
        <w:rPr>
          <w:rFonts w:hint="eastAsia" w:ascii="宋体" w:hAnsi="宋体" w:cs="宋体"/>
          <w:sz w:val="22"/>
          <w:szCs w:val="22"/>
        </w:rPr>
        <w:t>2）验收按国家颁布的相关标准、规格和设计图纸以及产品描述等的要求执行，招标人将会同监督部门对投标人提供的设备及零配件进行抽查检验。</w:t>
      </w:r>
    </w:p>
    <w:p>
      <w:pPr>
        <w:widowControl/>
        <w:spacing w:line="480" w:lineRule="exact"/>
        <w:ind w:firstLine="440" w:firstLineChars="200"/>
        <w:jc w:val="left"/>
        <w:rPr>
          <w:rStyle w:val="252"/>
          <w:rFonts w:hint="eastAsia" w:ascii="宋体" w:hAnsi="宋体" w:cs="宋体"/>
          <w:color w:val="000000"/>
          <w:sz w:val="22"/>
          <w:szCs w:val="22"/>
        </w:rPr>
      </w:pPr>
      <w:r>
        <w:rPr>
          <w:rFonts w:hint="eastAsia" w:ascii="宋体" w:hAnsi="宋体" w:cs="宋体"/>
          <w:sz w:val="22"/>
          <w:szCs w:val="22"/>
        </w:rPr>
        <w:t>5、本项目投标报价采用总价报价，</w:t>
      </w:r>
      <w:r>
        <w:rPr>
          <w:rFonts w:hint="eastAsia" w:ascii="宋体" w:hAnsi="宋体" w:cs="宋体"/>
          <w:kern w:val="0"/>
          <w:sz w:val="22"/>
          <w:szCs w:val="22"/>
        </w:rPr>
        <w:t>投标报价应包含包括材料（主要及辅助材料）及设备的生产（购买）、包装、运输、装卸、加工（含加工过程中的主要及辅助材料损耗）、施工（含施工过程中的主要及辅助材料损耗）、检测、验收、维保、培训、利润、税金、安全经费、文明施工费、临时设施费、环保费及其他相关施工措施费用和技术措施费用、规费等全部费用。</w:t>
      </w:r>
    </w:p>
    <w:p>
      <w:pPr>
        <w:pStyle w:val="53"/>
        <w:spacing w:after="0" w:line="480" w:lineRule="exact"/>
        <w:ind w:firstLine="220" w:firstLineChars="100"/>
        <w:rPr>
          <w:rStyle w:val="252"/>
          <w:rFonts w:hint="eastAsia" w:ascii="宋体" w:hAnsi="宋体" w:eastAsia="宋体" w:cs="宋体"/>
          <w:color w:val="000000"/>
          <w:sz w:val="22"/>
          <w:szCs w:val="22"/>
        </w:rPr>
      </w:pPr>
      <w:r>
        <w:rPr>
          <w:rStyle w:val="252"/>
          <w:rFonts w:hint="eastAsia" w:ascii="宋体" w:hAnsi="宋体" w:eastAsia="宋体" w:cs="宋体"/>
          <w:color w:val="000000"/>
          <w:sz w:val="22"/>
          <w:szCs w:val="22"/>
        </w:rPr>
        <w:t>6、付款方式：</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1）货按批次到工地全部安装完毕，经建设单位、总包单位、监理单位验收合格后付至该批次货款的60%；</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2）总承包工程竣工验收合格、移交后付至总货款的85%；</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30总承包工程结算审计且总承包工程备案完成，供货人根据结算金额开具100%全额发票后付至结算价的 97%，余款 3%作为质保金待质保期满后一次性付清（无息）。</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备注：</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1）中标人应按招标人要求出具符合国家税务规定的合法有效的增值税专用发票，并确保开具发票的真实性、合法性、有效性（发票，必须保持票面干净、整洁、无折痕，发票的正反两面均不能留下任何脏、乱及签字的痕迹）；如税率发生变化，结算以中标不含税价款为依据，按国家税收政策计算以及相应造价管理部门的造价管理办法进行结算。</w:t>
      </w:r>
    </w:p>
    <w:p>
      <w:pPr>
        <w:pStyle w:val="53"/>
        <w:spacing w:after="0" w:line="480" w:lineRule="exact"/>
        <w:ind w:firstLine="440"/>
        <w:rPr>
          <w:rStyle w:val="252"/>
          <w:rFonts w:hint="eastAsia" w:ascii="宋体" w:hAnsi="宋体" w:eastAsia="宋体" w:cs="宋体"/>
          <w:color w:val="0D12E9"/>
          <w:sz w:val="22"/>
          <w:szCs w:val="22"/>
        </w:rPr>
      </w:pPr>
      <w:r>
        <w:rPr>
          <w:rStyle w:val="252"/>
          <w:rFonts w:hint="eastAsia" w:ascii="宋体" w:hAnsi="宋体" w:eastAsia="宋体" w:cs="宋体"/>
          <w:color w:val="0D12E9"/>
          <w:sz w:val="22"/>
          <w:szCs w:val="22"/>
        </w:rPr>
        <w:t>（2）投标人承诺延长免费质保期时间的，免费质保期以承诺为准。</w:t>
      </w:r>
    </w:p>
    <w:p>
      <w:pPr>
        <w:spacing w:line="480" w:lineRule="exact"/>
        <w:ind w:firstLine="220" w:firstLineChars="100"/>
        <w:jc w:val="left"/>
        <w:textAlignment w:val="baseline"/>
        <w:rPr>
          <w:rStyle w:val="252"/>
          <w:rFonts w:hint="eastAsia" w:ascii="宋体" w:hAnsi="宋体" w:cs="宋体"/>
          <w:color w:val="000000"/>
          <w:sz w:val="22"/>
          <w:szCs w:val="22"/>
        </w:rPr>
      </w:pPr>
      <w:r>
        <w:rPr>
          <w:rStyle w:val="252"/>
          <w:rFonts w:hint="eastAsia" w:ascii="宋体" w:hAnsi="宋体" w:cs="宋体"/>
          <w:color w:val="000000"/>
          <w:sz w:val="22"/>
          <w:szCs w:val="22"/>
        </w:rPr>
        <w:t xml:space="preserve">7、履行协议期间，如果发现中标人提供了虚假信息，甲方还将追究中标人的法律责任，中标人须赔偿甲方直接和间接的所有损失。 </w:t>
      </w:r>
    </w:p>
    <w:p>
      <w:pPr>
        <w:spacing w:line="480" w:lineRule="exact"/>
        <w:ind w:firstLine="220" w:firstLineChars="100"/>
        <w:rPr>
          <w:rFonts w:hint="eastAsia" w:ascii="宋体" w:hAnsi="宋体" w:cs="宋体"/>
          <w:b/>
          <w:sz w:val="22"/>
          <w:szCs w:val="22"/>
        </w:rPr>
      </w:pPr>
      <w:r>
        <w:rPr>
          <w:rStyle w:val="252"/>
          <w:rFonts w:hint="eastAsia" w:ascii="宋体" w:hAnsi="宋体" w:cs="宋体"/>
          <w:color w:val="000000"/>
          <w:sz w:val="22"/>
          <w:szCs w:val="22"/>
        </w:rPr>
        <w:t>8、无论在任何情况下，如果本项目的要求和实施内容与国家法律法规、政策或甲方上级部门文件等不一致，双方按照国家法律法规、政策或甲方上级部门文件等执行，甲方不承担相应的责任。</w:t>
      </w: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rPr>
          <w:rFonts w:eastAsia="黑体"/>
          <w:b/>
        </w:rPr>
      </w:pPr>
    </w:p>
    <w:p>
      <w:pPr>
        <w:keepNext/>
        <w:keepLines/>
        <w:spacing w:line="360" w:lineRule="auto"/>
        <w:ind w:firstLine="420"/>
        <w:jc w:val="center"/>
        <w:outlineLvl w:val="0"/>
        <w:rPr>
          <w:rFonts w:hint="eastAsia" w:eastAsia="黑体"/>
          <w:bCs/>
          <w:kern w:val="44"/>
          <w:sz w:val="32"/>
          <w:szCs w:val="44"/>
        </w:rPr>
        <w:sectPr>
          <w:footerReference r:id="rId11" w:type="default"/>
          <w:headerReference r:id="rId10" w:type="even"/>
          <w:footerReference r:id="rId12" w:type="even"/>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423" w:name="_Toc26781118"/>
    </w:p>
    <w:p>
      <w:pPr>
        <w:keepNext/>
        <w:keepLines/>
        <w:spacing w:line="360" w:lineRule="auto"/>
        <w:ind w:firstLine="420"/>
        <w:jc w:val="center"/>
        <w:outlineLvl w:val="0"/>
        <w:rPr>
          <w:rFonts w:hint="eastAsia" w:eastAsia="黑体"/>
          <w:bCs/>
          <w:kern w:val="44"/>
          <w:sz w:val="32"/>
          <w:szCs w:val="44"/>
        </w:rPr>
      </w:pPr>
      <w:r>
        <w:rPr>
          <w:rFonts w:hint="eastAsia" w:eastAsia="黑体"/>
          <w:bCs/>
          <w:kern w:val="44"/>
          <w:sz w:val="32"/>
          <w:szCs w:val="44"/>
        </w:rPr>
        <w:t>第六章  投标文件格式</w:t>
      </w:r>
      <w:bookmarkEnd w:id="423"/>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28"/>
          <w:szCs w:val="28"/>
        </w:rPr>
      </w:pPr>
      <w:r>
        <w:rPr>
          <w:rFonts w:hint="eastAsia"/>
          <w:sz w:val="28"/>
          <w:szCs w:val="28"/>
          <w:u w:val="single"/>
        </w:rPr>
        <w:t xml:space="preserve">                       </w:t>
      </w:r>
      <w:r>
        <w:rPr>
          <w:rFonts w:hint="eastAsia"/>
          <w:sz w:val="28"/>
          <w:szCs w:val="28"/>
        </w:rPr>
        <w:t>（项目名称）</w:t>
      </w:r>
    </w:p>
    <w:p>
      <w:pPr>
        <w:jc w:val="center"/>
        <w:rPr>
          <w:rFonts w:hint="eastAsia" w:eastAsia="黑体"/>
          <w:sz w:val="28"/>
          <w:szCs w:val="28"/>
        </w:rPr>
      </w:pPr>
    </w:p>
    <w:p>
      <w:pPr>
        <w:pStyle w:val="3"/>
        <w:jc w:val="center"/>
        <w:rPr>
          <w:rFonts w:hint="eastAsia" w:ascii="Times New Roman" w:hAnsi="Times New Roman" w:eastAsia="黑体"/>
          <w:b w:val="0"/>
          <w:sz w:val="44"/>
          <w:szCs w:val="44"/>
        </w:rPr>
      </w:pPr>
      <w:bookmarkStart w:id="424" w:name="_Toc26781119"/>
      <w:r>
        <w:rPr>
          <w:rFonts w:hint="eastAsia" w:ascii="Times New Roman" w:hAnsi="Times New Roman" w:eastAsia="黑体"/>
          <w:b w:val="0"/>
          <w:sz w:val="44"/>
          <w:szCs w:val="44"/>
        </w:rPr>
        <w:t>投标文件</w:t>
      </w:r>
    </w:p>
    <w:p>
      <w:pPr>
        <w:pStyle w:val="3"/>
        <w:jc w:val="center"/>
        <w:rPr>
          <w:rFonts w:hint="eastAsia" w:ascii="Times New Roman" w:hAnsi="Times New Roman" w:eastAsia="黑体"/>
          <w:b w:val="0"/>
        </w:rPr>
      </w:pPr>
      <w:r>
        <w:rPr>
          <w:rFonts w:hint="eastAsia" w:ascii="Times New Roman" w:hAnsi="Times New Roman" w:eastAsia="黑体"/>
          <w:b w:val="0"/>
        </w:rPr>
        <w:t>（商务及技术文件）</w:t>
      </w:r>
      <w:bookmarkEnd w:id="424"/>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spacing w:line="360" w:lineRule="auto"/>
        <w:jc w:val="center"/>
        <w:rPr>
          <w:rFonts w:hint="eastAsia" w:eastAsia="黑体"/>
          <w:sz w:val="28"/>
          <w:szCs w:val="28"/>
        </w:rPr>
      </w:pPr>
      <w:r>
        <w:rPr>
          <w:rFonts w:hint="eastAsia" w:eastAsia="黑体"/>
          <w:sz w:val="28"/>
          <w:szCs w:val="28"/>
        </w:rPr>
        <w:t>投标人：</w:t>
      </w:r>
      <w:r>
        <w:rPr>
          <w:rFonts w:hint="eastAsia" w:eastAsia="黑体"/>
          <w:sz w:val="28"/>
          <w:szCs w:val="28"/>
          <w:u w:val="single"/>
        </w:rPr>
        <w:t xml:space="preserve">                               </w:t>
      </w:r>
      <w:r>
        <w:rPr>
          <w:rFonts w:hint="eastAsia" w:eastAsia="黑体"/>
          <w:sz w:val="28"/>
          <w:szCs w:val="28"/>
        </w:rPr>
        <w:t>（盖单位章）</w:t>
      </w:r>
    </w:p>
    <w:p>
      <w:pPr>
        <w:spacing w:line="360" w:lineRule="auto"/>
        <w:jc w:val="center"/>
        <w:rPr>
          <w:rFonts w:hint="eastAsia" w:eastAsia="黑体"/>
          <w:sz w:val="28"/>
          <w:szCs w:val="28"/>
        </w:rPr>
      </w:pPr>
    </w:p>
    <w:p>
      <w:pPr>
        <w:jc w:val="center"/>
        <w:rPr>
          <w:rFonts w:hint="eastAsia" w:eastAsia="黑体"/>
          <w:sz w:val="28"/>
          <w:szCs w:val="28"/>
        </w:rPr>
      </w:pPr>
      <w:r>
        <w:rPr>
          <w:rFonts w:hint="eastAsia" w:eastAsia="黑体"/>
          <w:sz w:val="28"/>
          <w:szCs w:val="28"/>
          <w:u w:val="single"/>
        </w:rPr>
        <w:t xml:space="preserve">         </w:t>
      </w:r>
      <w:r>
        <w:rPr>
          <w:rFonts w:hint="eastAsia" w:eastAsia="黑体"/>
          <w:sz w:val="28"/>
          <w:szCs w:val="28"/>
        </w:rPr>
        <w:t>年</w:t>
      </w:r>
      <w:r>
        <w:rPr>
          <w:rFonts w:hint="eastAsia" w:eastAsia="黑体"/>
          <w:sz w:val="28"/>
          <w:szCs w:val="28"/>
          <w:u w:val="single"/>
        </w:rPr>
        <w:t xml:space="preserve">         </w:t>
      </w:r>
      <w:r>
        <w:rPr>
          <w:rFonts w:hint="eastAsia" w:eastAsia="黑体"/>
          <w:sz w:val="28"/>
          <w:szCs w:val="28"/>
        </w:rPr>
        <w:t>月</w:t>
      </w:r>
      <w:r>
        <w:rPr>
          <w:rFonts w:hint="eastAsia" w:eastAsia="黑体"/>
          <w:sz w:val="28"/>
          <w:szCs w:val="28"/>
          <w:u w:val="single"/>
        </w:rPr>
        <w:t xml:space="preserve">         </w:t>
      </w:r>
      <w:r>
        <w:rPr>
          <w:rFonts w:hint="eastAsia" w:eastAsia="黑体"/>
          <w:sz w:val="28"/>
          <w:szCs w:val="28"/>
        </w:rPr>
        <w:t>日</w:t>
      </w:r>
    </w:p>
    <w:p>
      <w:pPr>
        <w:jc w:val="center"/>
        <w:rPr>
          <w:b/>
          <w:sz w:val="32"/>
          <w:szCs w:val="32"/>
        </w:rPr>
      </w:pPr>
      <w:r>
        <w:rPr>
          <w:rFonts w:eastAsia="黑体"/>
          <w:sz w:val="28"/>
          <w:szCs w:val="28"/>
        </w:rPr>
        <w:br w:type="page"/>
      </w:r>
      <w:bookmarkStart w:id="425" w:name="_Toc530142180"/>
      <w:bookmarkStart w:id="426" w:name="_Toc524462521"/>
      <w:bookmarkStart w:id="427" w:name="_Toc26698181"/>
      <w:bookmarkStart w:id="428" w:name="_Toc479262713"/>
      <w:r>
        <w:rPr>
          <w:rFonts w:hint="eastAsia"/>
          <w:b/>
          <w:sz w:val="32"/>
          <w:szCs w:val="32"/>
        </w:rPr>
        <w:t>评审因素索引表</w:t>
      </w:r>
      <w:bookmarkEnd w:id="425"/>
      <w:bookmarkEnd w:id="426"/>
      <w:bookmarkEnd w:id="427"/>
      <w:bookmarkEnd w:id="428"/>
    </w:p>
    <w:p>
      <w:pPr>
        <w:jc w:val="center"/>
        <w:rPr>
          <w:sz w:val="24"/>
        </w:rPr>
      </w:pPr>
    </w:p>
    <w:tbl>
      <w:tblPr>
        <w:tblStyle w:val="55"/>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b/>
                <w:sz w:val="24"/>
              </w:rPr>
            </w:pPr>
            <w:bookmarkStart w:id="429" w:name="_Toc256695443"/>
            <w:bookmarkStart w:id="430" w:name="_Toc256691567"/>
            <w:r>
              <w:rPr>
                <w:rFonts w:hint="eastAsia"/>
                <w:b/>
                <w:sz w:val="24"/>
              </w:rPr>
              <w:t>序号</w:t>
            </w:r>
            <w:bookmarkEnd w:id="429"/>
            <w:bookmarkEnd w:id="430"/>
          </w:p>
        </w:tc>
        <w:tc>
          <w:tcPr>
            <w:tcW w:w="4820" w:type="dxa"/>
            <w:vAlign w:val="center"/>
          </w:tcPr>
          <w:p>
            <w:pPr>
              <w:jc w:val="center"/>
              <w:rPr>
                <w:b/>
                <w:sz w:val="24"/>
              </w:rPr>
            </w:pPr>
            <w:bookmarkStart w:id="431" w:name="_Toc256695444"/>
            <w:bookmarkStart w:id="432" w:name="_Toc256691568"/>
            <w:r>
              <w:rPr>
                <w:rFonts w:hint="eastAsia"/>
                <w:b/>
                <w:sz w:val="24"/>
              </w:rPr>
              <w:t>评审因素</w:t>
            </w:r>
            <w:bookmarkEnd w:id="431"/>
            <w:bookmarkEnd w:id="432"/>
          </w:p>
        </w:tc>
        <w:tc>
          <w:tcPr>
            <w:tcW w:w="3649" w:type="dxa"/>
            <w:vAlign w:val="center"/>
          </w:tcPr>
          <w:p>
            <w:pPr>
              <w:jc w:val="center"/>
              <w:rPr>
                <w:b/>
                <w:sz w:val="24"/>
              </w:rPr>
            </w:pPr>
            <w:bookmarkStart w:id="433" w:name="_Toc256691569"/>
            <w:bookmarkStart w:id="434" w:name="_Toc256695445"/>
            <w:r>
              <w:rPr>
                <w:rFonts w:hint="eastAsia"/>
                <w:b/>
                <w:sz w:val="24"/>
              </w:rPr>
              <w:t>投标文件页码范围</w:t>
            </w:r>
            <w:bookmarkEnd w:id="433"/>
            <w:bookmarkEnd w:id="4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4"/>
              </w:rPr>
            </w:pPr>
          </w:p>
        </w:tc>
        <w:tc>
          <w:tcPr>
            <w:tcW w:w="4820" w:type="dxa"/>
            <w:vAlign w:val="center"/>
          </w:tcPr>
          <w:p>
            <w:pPr>
              <w:jc w:val="center"/>
              <w:rPr>
                <w:sz w:val="24"/>
              </w:rPr>
            </w:pPr>
          </w:p>
        </w:tc>
        <w:tc>
          <w:tcPr>
            <w:tcW w:w="3649" w:type="dxa"/>
            <w:vAlign w:val="center"/>
          </w:tcPr>
          <w:p>
            <w:pPr>
              <w:jc w:val="center"/>
              <w:rPr>
                <w:sz w:val="24"/>
              </w:rPr>
            </w:pPr>
            <w:bookmarkStart w:id="435" w:name="_Toc256695446"/>
            <w:bookmarkStart w:id="436" w:name="_Toc256691570"/>
            <w:r>
              <w:rPr>
                <w:rFonts w:hint="eastAsia"/>
                <w:sz w:val="24"/>
              </w:rPr>
              <w:t>P</w:t>
            </w:r>
            <w:r>
              <w:rPr>
                <w:rFonts w:hint="eastAsia"/>
                <w:sz w:val="24"/>
                <w:u w:val="single"/>
              </w:rPr>
              <w:t xml:space="preserve">     </w:t>
            </w:r>
            <w:r>
              <w:rPr>
                <w:rFonts w:hint="eastAsia"/>
                <w:sz w:val="24"/>
              </w:rPr>
              <w:t>---  P</w:t>
            </w:r>
            <w:bookmarkEnd w:id="435"/>
            <w:bookmarkEnd w:id="436"/>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37" w:name="_Toc256695447"/>
            <w:bookmarkStart w:id="438" w:name="_Toc256691571"/>
            <w:r>
              <w:rPr>
                <w:rFonts w:hint="eastAsia"/>
                <w:sz w:val="24"/>
              </w:rPr>
              <w:t>P</w:t>
            </w:r>
            <w:r>
              <w:rPr>
                <w:rFonts w:hint="eastAsia"/>
                <w:sz w:val="24"/>
                <w:u w:val="single"/>
              </w:rPr>
              <w:t xml:space="preserve">      </w:t>
            </w:r>
            <w:r>
              <w:rPr>
                <w:rFonts w:hint="eastAsia"/>
                <w:sz w:val="24"/>
              </w:rPr>
              <w:t>---  P</w:t>
            </w:r>
            <w:bookmarkEnd w:id="437"/>
            <w:bookmarkEnd w:id="438"/>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39" w:name="_Toc256695448"/>
            <w:bookmarkStart w:id="440" w:name="_Toc256691572"/>
            <w:r>
              <w:rPr>
                <w:rFonts w:hint="eastAsia"/>
                <w:sz w:val="24"/>
              </w:rPr>
              <w:t>P</w:t>
            </w:r>
            <w:r>
              <w:rPr>
                <w:rFonts w:hint="eastAsia"/>
                <w:sz w:val="24"/>
                <w:u w:val="single"/>
              </w:rPr>
              <w:t xml:space="preserve">      </w:t>
            </w:r>
            <w:r>
              <w:rPr>
                <w:rFonts w:hint="eastAsia"/>
                <w:sz w:val="24"/>
              </w:rPr>
              <w:t>---  P</w:t>
            </w:r>
            <w:bookmarkEnd w:id="439"/>
            <w:bookmarkEnd w:id="440"/>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41" w:name="_Toc256695449"/>
            <w:bookmarkStart w:id="442" w:name="_Toc256691573"/>
            <w:r>
              <w:rPr>
                <w:rFonts w:hint="eastAsia"/>
                <w:sz w:val="24"/>
              </w:rPr>
              <w:t>P</w:t>
            </w:r>
            <w:r>
              <w:rPr>
                <w:rFonts w:hint="eastAsia"/>
                <w:sz w:val="24"/>
                <w:u w:val="single"/>
              </w:rPr>
              <w:t xml:space="preserve">      </w:t>
            </w:r>
            <w:r>
              <w:rPr>
                <w:rFonts w:hint="eastAsia"/>
                <w:sz w:val="24"/>
              </w:rPr>
              <w:t>---  P</w:t>
            </w:r>
            <w:bookmarkEnd w:id="441"/>
            <w:bookmarkEnd w:id="442"/>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43" w:name="_Toc256691574"/>
            <w:bookmarkStart w:id="444" w:name="_Toc256695450"/>
            <w:r>
              <w:rPr>
                <w:rFonts w:hint="eastAsia"/>
                <w:sz w:val="24"/>
              </w:rPr>
              <w:t>P</w:t>
            </w:r>
            <w:r>
              <w:rPr>
                <w:rFonts w:hint="eastAsia"/>
                <w:sz w:val="24"/>
                <w:u w:val="single"/>
              </w:rPr>
              <w:t xml:space="preserve">      </w:t>
            </w:r>
            <w:r>
              <w:rPr>
                <w:rFonts w:hint="eastAsia"/>
                <w:sz w:val="24"/>
              </w:rPr>
              <w:t>---  P</w:t>
            </w:r>
            <w:bookmarkEnd w:id="443"/>
            <w:bookmarkEnd w:id="444"/>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45" w:name="_Toc256691575"/>
            <w:bookmarkStart w:id="446" w:name="_Toc256695451"/>
            <w:r>
              <w:rPr>
                <w:rFonts w:hint="eastAsia"/>
                <w:sz w:val="24"/>
              </w:rPr>
              <w:t>P</w:t>
            </w:r>
            <w:r>
              <w:rPr>
                <w:rFonts w:hint="eastAsia"/>
                <w:sz w:val="24"/>
                <w:u w:val="single"/>
              </w:rPr>
              <w:t xml:space="preserve">      </w:t>
            </w:r>
            <w:r>
              <w:rPr>
                <w:rFonts w:hint="eastAsia"/>
                <w:sz w:val="24"/>
              </w:rPr>
              <w:t>---  P</w:t>
            </w:r>
            <w:bookmarkEnd w:id="445"/>
            <w:bookmarkEnd w:id="446"/>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47" w:name="_Toc256691576"/>
            <w:bookmarkStart w:id="448" w:name="_Toc256695452"/>
            <w:r>
              <w:rPr>
                <w:rFonts w:hint="eastAsia"/>
                <w:sz w:val="24"/>
              </w:rPr>
              <w:t>P</w:t>
            </w:r>
            <w:r>
              <w:rPr>
                <w:rFonts w:hint="eastAsia"/>
                <w:sz w:val="24"/>
                <w:u w:val="single"/>
              </w:rPr>
              <w:t xml:space="preserve">      </w:t>
            </w:r>
            <w:r>
              <w:rPr>
                <w:rFonts w:hint="eastAsia"/>
                <w:sz w:val="24"/>
              </w:rPr>
              <w:t>---  P</w:t>
            </w:r>
            <w:bookmarkEnd w:id="447"/>
            <w:bookmarkEnd w:id="448"/>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49" w:name="_Toc256695453"/>
            <w:bookmarkStart w:id="450" w:name="_Toc256691577"/>
            <w:r>
              <w:rPr>
                <w:rFonts w:hint="eastAsia"/>
                <w:sz w:val="24"/>
              </w:rPr>
              <w:t>P</w:t>
            </w:r>
            <w:r>
              <w:rPr>
                <w:rFonts w:hint="eastAsia"/>
                <w:sz w:val="24"/>
                <w:u w:val="single"/>
              </w:rPr>
              <w:t xml:space="preserve">      </w:t>
            </w:r>
            <w:r>
              <w:rPr>
                <w:rFonts w:hint="eastAsia"/>
                <w:sz w:val="24"/>
              </w:rPr>
              <w:t>---  P</w:t>
            </w:r>
            <w:bookmarkEnd w:id="449"/>
            <w:bookmarkEnd w:id="450"/>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51" w:name="_Toc256691578"/>
            <w:bookmarkStart w:id="452" w:name="_Toc256695454"/>
            <w:r>
              <w:rPr>
                <w:rFonts w:hint="eastAsia"/>
                <w:sz w:val="24"/>
              </w:rPr>
              <w:t>P</w:t>
            </w:r>
            <w:r>
              <w:rPr>
                <w:rFonts w:hint="eastAsia"/>
                <w:sz w:val="24"/>
                <w:u w:val="single"/>
              </w:rPr>
              <w:t xml:space="preserve">      </w:t>
            </w:r>
            <w:r>
              <w:rPr>
                <w:rFonts w:hint="eastAsia"/>
                <w:sz w:val="24"/>
              </w:rPr>
              <w:t>---  P</w:t>
            </w:r>
            <w:bookmarkEnd w:id="451"/>
            <w:bookmarkEnd w:id="452"/>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53" w:name="_Toc256691579"/>
            <w:bookmarkStart w:id="454" w:name="_Toc256695455"/>
            <w:r>
              <w:rPr>
                <w:rFonts w:hint="eastAsia"/>
                <w:sz w:val="24"/>
              </w:rPr>
              <w:t>P</w:t>
            </w:r>
            <w:r>
              <w:rPr>
                <w:rFonts w:hint="eastAsia"/>
                <w:sz w:val="24"/>
                <w:u w:val="single"/>
              </w:rPr>
              <w:t xml:space="preserve">      </w:t>
            </w:r>
            <w:r>
              <w:rPr>
                <w:rFonts w:hint="eastAsia"/>
                <w:sz w:val="24"/>
              </w:rPr>
              <w:t>---  P</w:t>
            </w:r>
            <w:bookmarkEnd w:id="453"/>
            <w:bookmarkEnd w:id="454"/>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8"/>
                <w:szCs w:val="28"/>
              </w:rPr>
            </w:pPr>
            <w:bookmarkStart w:id="455" w:name="_Toc256691580"/>
            <w:bookmarkStart w:id="456" w:name="_Toc256695456"/>
            <w:r>
              <w:rPr>
                <w:rFonts w:hint="eastAsia"/>
                <w:sz w:val="24"/>
              </w:rPr>
              <w:t>P</w:t>
            </w:r>
            <w:r>
              <w:rPr>
                <w:rFonts w:hint="eastAsia"/>
                <w:sz w:val="24"/>
                <w:u w:val="single"/>
              </w:rPr>
              <w:t xml:space="preserve">      </w:t>
            </w:r>
            <w:r>
              <w:rPr>
                <w:rFonts w:hint="eastAsia"/>
                <w:sz w:val="24"/>
              </w:rPr>
              <w:t>---  P</w:t>
            </w:r>
            <w:bookmarkEnd w:id="455"/>
            <w:bookmarkEnd w:id="456"/>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4"/>
              </w:rPr>
            </w:pPr>
            <w:bookmarkStart w:id="457" w:name="_Toc256691581"/>
            <w:bookmarkStart w:id="458" w:name="_Toc256695457"/>
            <w:r>
              <w:rPr>
                <w:rFonts w:hint="eastAsia"/>
                <w:sz w:val="24"/>
              </w:rPr>
              <w:t>P</w:t>
            </w:r>
            <w:r>
              <w:rPr>
                <w:rFonts w:hint="eastAsia"/>
                <w:sz w:val="24"/>
                <w:u w:val="single"/>
              </w:rPr>
              <w:t xml:space="preserve">      </w:t>
            </w:r>
            <w:r>
              <w:rPr>
                <w:rFonts w:hint="eastAsia"/>
                <w:sz w:val="24"/>
              </w:rPr>
              <w:t>---  P</w:t>
            </w:r>
            <w:bookmarkEnd w:id="457"/>
            <w:bookmarkEnd w:id="458"/>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p>
        </w:tc>
        <w:tc>
          <w:tcPr>
            <w:tcW w:w="3649" w:type="dxa"/>
            <w:vAlign w:val="center"/>
          </w:tcPr>
          <w:p>
            <w:pPr>
              <w:jc w:val="center"/>
              <w:rPr>
                <w:sz w:val="28"/>
                <w:szCs w:val="28"/>
              </w:rPr>
            </w:pPr>
            <w:bookmarkStart w:id="459" w:name="_Toc256695458"/>
            <w:bookmarkStart w:id="460" w:name="_Toc256691582"/>
            <w:r>
              <w:rPr>
                <w:rFonts w:hint="eastAsia"/>
                <w:sz w:val="24"/>
              </w:rPr>
              <w:t>P</w:t>
            </w:r>
            <w:r>
              <w:rPr>
                <w:rFonts w:hint="eastAsia"/>
                <w:sz w:val="24"/>
                <w:u w:val="single"/>
              </w:rPr>
              <w:t xml:space="preserve">      </w:t>
            </w:r>
            <w:r>
              <w:rPr>
                <w:rFonts w:hint="eastAsia"/>
                <w:sz w:val="24"/>
              </w:rPr>
              <w:t>---  P</w:t>
            </w:r>
            <w:bookmarkEnd w:id="459"/>
            <w:bookmarkEnd w:id="460"/>
            <w:r>
              <w:rPr>
                <w:rFonts w:hint="eastAsia"/>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sz w:val="28"/>
                <w:szCs w:val="28"/>
              </w:rPr>
            </w:pPr>
          </w:p>
        </w:tc>
        <w:tc>
          <w:tcPr>
            <w:tcW w:w="4820" w:type="dxa"/>
            <w:vAlign w:val="center"/>
          </w:tcPr>
          <w:p>
            <w:pPr>
              <w:jc w:val="center"/>
              <w:rPr>
                <w:sz w:val="28"/>
                <w:szCs w:val="28"/>
              </w:rPr>
            </w:pPr>
            <w:bookmarkStart w:id="461" w:name="_Toc256691583"/>
            <w:bookmarkStart w:id="462" w:name="_Toc256695459"/>
            <w:r>
              <w:rPr>
                <w:rFonts w:hint="eastAsia"/>
                <w:sz w:val="28"/>
                <w:szCs w:val="28"/>
              </w:rPr>
              <w:t>……</w:t>
            </w:r>
            <w:bookmarkEnd w:id="461"/>
            <w:bookmarkEnd w:id="462"/>
          </w:p>
        </w:tc>
        <w:tc>
          <w:tcPr>
            <w:tcW w:w="3649" w:type="dxa"/>
            <w:vAlign w:val="center"/>
          </w:tcPr>
          <w:p>
            <w:pPr>
              <w:jc w:val="center"/>
              <w:rPr>
                <w:sz w:val="24"/>
              </w:rPr>
            </w:pPr>
            <w:bookmarkStart w:id="463" w:name="_Toc256691584"/>
            <w:bookmarkStart w:id="464" w:name="_Toc256695460"/>
            <w:r>
              <w:rPr>
                <w:rFonts w:hint="eastAsia"/>
                <w:sz w:val="28"/>
                <w:szCs w:val="28"/>
              </w:rPr>
              <w:t>……</w:t>
            </w:r>
            <w:bookmarkEnd w:id="463"/>
            <w:bookmarkEnd w:id="464"/>
          </w:p>
        </w:tc>
      </w:tr>
    </w:tbl>
    <w:p>
      <w:pPr>
        <w:spacing w:beforeLines="100" w:afterLines="100"/>
        <w:jc w:val="center"/>
        <w:rPr>
          <w:rFonts w:hint="eastAsia" w:eastAsia="黑体"/>
          <w:sz w:val="28"/>
          <w:szCs w:val="28"/>
        </w:rPr>
      </w:pPr>
      <w:r>
        <w:rPr>
          <w:rFonts w:eastAsia="黑体"/>
          <w:sz w:val="28"/>
          <w:szCs w:val="28"/>
        </w:rPr>
        <w:br w:type="page"/>
      </w:r>
      <w:r>
        <w:rPr>
          <w:rFonts w:hint="eastAsia" w:eastAsia="黑体"/>
          <w:sz w:val="28"/>
          <w:szCs w:val="28"/>
        </w:rPr>
        <w:t>目  录</w:t>
      </w:r>
    </w:p>
    <w:p>
      <w:pPr>
        <w:spacing w:line="600" w:lineRule="exact"/>
        <w:rPr>
          <w:rFonts w:hint="eastAsia"/>
          <w:sz w:val="24"/>
        </w:rPr>
      </w:pPr>
      <w:r>
        <w:rPr>
          <w:rFonts w:hint="eastAsia"/>
          <w:sz w:val="24"/>
        </w:rPr>
        <w:t>一、投标函（不含报价）</w:t>
      </w:r>
    </w:p>
    <w:p>
      <w:pPr>
        <w:spacing w:line="600" w:lineRule="exact"/>
        <w:rPr>
          <w:rFonts w:hint="eastAsia"/>
          <w:sz w:val="24"/>
        </w:rPr>
      </w:pPr>
      <w:r>
        <w:rPr>
          <w:rFonts w:hint="eastAsia"/>
          <w:sz w:val="24"/>
        </w:rPr>
        <w:t>二、法定代表人（单位负责人）身份证明或授权委托书</w:t>
      </w:r>
    </w:p>
    <w:p>
      <w:pPr>
        <w:spacing w:line="600" w:lineRule="exact"/>
        <w:rPr>
          <w:rFonts w:hint="eastAsia"/>
          <w:sz w:val="24"/>
        </w:rPr>
      </w:pPr>
      <w:r>
        <w:rPr>
          <w:rFonts w:hint="eastAsia"/>
          <w:sz w:val="24"/>
        </w:rPr>
        <w:t>三、投标保证金</w:t>
      </w:r>
    </w:p>
    <w:p>
      <w:pPr>
        <w:spacing w:line="600" w:lineRule="exact"/>
        <w:rPr>
          <w:rFonts w:hint="eastAsia"/>
          <w:sz w:val="24"/>
        </w:rPr>
      </w:pPr>
      <w:r>
        <w:rPr>
          <w:rFonts w:hint="eastAsia"/>
          <w:sz w:val="24"/>
        </w:rPr>
        <w:t>四、商务和技术偏差表；</w:t>
      </w:r>
    </w:p>
    <w:p>
      <w:pPr>
        <w:spacing w:line="600" w:lineRule="exact"/>
        <w:rPr>
          <w:rFonts w:hint="eastAsia"/>
          <w:sz w:val="24"/>
        </w:rPr>
      </w:pPr>
      <w:r>
        <w:rPr>
          <w:rFonts w:hint="eastAsia"/>
          <w:sz w:val="24"/>
        </w:rPr>
        <w:t>五、资格审查资料</w:t>
      </w:r>
    </w:p>
    <w:p>
      <w:pPr>
        <w:spacing w:line="600" w:lineRule="exact"/>
        <w:rPr>
          <w:rFonts w:hint="eastAsia"/>
          <w:sz w:val="24"/>
        </w:rPr>
      </w:pPr>
      <w:r>
        <w:rPr>
          <w:rFonts w:hint="eastAsia"/>
          <w:sz w:val="24"/>
        </w:rPr>
        <w:t>（一）投标人基本情况表</w:t>
      </w:r>
    </w:p>
    <w:p>
      <w:pPr>
        <w:spacing w:line="600" w:lineRule="exact"/>
        <w:rPr>
          <w:rFonts w:hint="eastAsia"/>
          <w:sz w:val="24"/>
        </w:rPr>
      </w:pPr>
      <w:r>
        <w:rPr>
          <w:rFonts w:hint="eastAsia"/>
          <w:sz w:val="24"/>
        </w:rPr>
        <w:t>（二）近年完成的类似项目情况表</w:t>
      </w:r>
    </w:p>
    <w:p>
      <w:pPr>
        <w:spacing w:line="600" w:lineRule="exact"/>
        <w:rPr>
          <w:rFonts w:hint="eastAsia"/>
          <w:sz w:val="24"/>
        </w:rPr>
      </w:pPr>
      <w:r>
        <w:rPr>
          <w:rFonts w:hint="eastAsia"/>
          <w:sz w:val="24"/>
        </w:rPr>
        <w:t>（三）制造商授权书</w:t>
      </w:r>
    </w:p>
    <w:p>
      <w:pPr>
        <w:spacing w:line="600" w:lineRule="exact"/>
        <w:rPr>
          <w:rFonts w:hint="eastAsia"/>
          <w:sz w:val="24"/>
        </w:rPr>
      </w:pPr>
      <w:r>
        <w:rPr>
          <w:rFonts w:hint="eastAsia"/>
          <w:sz w:val="24"/>
        </w:rPr>
        <w:t>（四）拟</w:t>
      </w:r>
      <w:r>
        <w:rPr>
          <w:rFonts w:hint="eastAsia"/>
          <w:sz w:val="24"/>
          <w:lang w:eastAsia="zh-CN"/>
        </w:rPr>
        <w:t>委派</w:t>
      </w:r>
      <w:r>
        <w:rPr>
          <w:rFonts w:hint="eastAsia"/>
          <w:sz w:val="24"/>
        </w:rPr>
        <w:t>的项目负责人简历</w:t>
      </w:r>
    </w:p>
    <w:p>
      <w:pPr>
        <w:spacing w:line="600" w:lineRule="exact"/>
        <w:rPr>
          <w:rFonts w:hint="eastAsia"/>
          <w:sz w:val="24"/>
        </w:rPr>
      </w:pPr>
      <w:r>
        <w:rPr>
          <w:rFonts w:hint="eastAsia"/>
          <w:sz w:val="24"/>
        </w:rPr>
        <w:t>六、投标货物技术性能指标的详细描述</w:t>
      </w:r>
    </w:p>
    <w:p>
      <w:pPr>
        <w:spacing w:line="600" w:lineRule="exact"/>
        <w:rPr>
          <w:rFonts w:hint="eastAsia"/>
          <w:sz w:val="24"/>
        </w:rPr>
      </w:pPr>
      <w:r>
        <w:rPr>
          <w:rFonts w:hint="eastAsia"/>
          <w:sz w:val="24"/>
        </w:rPr>
        <w:t>七、技术支持资料</w:t>
      </w:r>
    </w:p>
    <w:p>
      <w:pPr>
        <w:spacing w:line="600" w:lineRule="exact"/>
        <w:rPr>
          <w:rFonts w:hint="eastAsia"/>
          <w:sz w:val="24"/>
        </w:rPr>
      </w:pPr>
      <w:r>
        <w:rPr>
          <w:rFonts w:hint="eastAsia"/>
          <w:sz w:val="24"/>
        </w:rPr>
        <w:t>八、技术服务和质保期服务计划</w:t>
      </w:r>
    </w:p>
    <w:p>
      <w:pPr>
        <w:spacing w:line="600" w:lineRule="exact"/>
        <w:rPr>
          <w:rFonts w:hint="eastAsia"/>
          <w:sz w:val="24"/>
        </w:rPr>
      </w:pPr>
      <w:r>
        <w:rPr>
          <w:rFonts w:hint="eastAsia"/>
          <w:sz w:val="24"/>
        </w:rPr>
        <w:t>九、安装、调试方案</w:t>
      </w:r>
    </w:p>
    <w:p>
      <w:pPr>
        <w:spacing w:line="600" w:lineRule="exact"/>
        <w:rPr>
          <w:rFonts w:hint="eastAsia"/>
          <w:szCs w:val="21"/>
        </w:rPr>
      </w:pPr>
      <w:r>
        <w:rPr>
          <w:rFonts w:hint="eastAsia"/>
          <w:szCs w:val="21"/>
        </w:rPr>
        <w:t>十、其他资料</w:t>
      </w:r>
    </w:p>
    <w:p>
      <w:pPr>
        <w:pStyle w:val="4"/>
        <w:spacing w:line="240" w:lineRule="auto"/>
        <w:jc w:val="center"/>
        <w:rPr>
          <w:rFonts w:hint="eastAsia" w:ascii="Times New Roman" w:hAnsi="Times New Roman"/>
        </w:rPr>
      </w:pPr>
      <w:r>
        <w:rPr>
          <w:rFonts w:ascii="Times New Roman" w:hAnsi="Times New Roman"/>
          <w:szCs w:val="21"/>
        </w:rPr>
        <w:br w:type="page"/>
      </w:r>
      <w:bookmarkStart w:id="465" w:name="_Toc421917001"/>
      <w:bookmarkStart w:id="466" w:name="_Toc460227108"/>
      <w:bookmarkStart w:id="467" w:name="_Toc390411621"/>
      <w:bookmarkStart w:id="468" w:name="_Toc460660223"/>
      <w:bookmarkStart w:id="469" w:name="_Toc224103496"/>
      <w:r>
        <w:rPr>
          <w:rFonts w:hint="eastAsia" w:ascii="Times New Roman" w:hAnsi="Times New Roman"/>
        </w:rPr>
        <w:t>一、投标函（不含报价）</w:t>
      </w:r>
    </w:p>
    <w:p>
      <w:pPr>
        <w:adjustRightInd w:val="0"/>
        <w:snapToGrid w:val="0"/>
        <w:spacing w:beforeLines="20" w:afterLines="20" w:line="400" w:lineRule="exact"/>
        <w:rPr>
          <w:rFonts w:hint="eastAsia"/>
          <w:sz w:val="22"/>
          <w:u w:val="single"/>
        </w:rPr>
      </w:pPr>
      <w:r>
        <w:rPr>
          <w:rFonts w:hint="eastAsia"/>
          <w:sz w:val="22"/>
        </w:rPr>
        <w:t>致：</w:t>
      </w:r>
      <w:r>
        <w:rPr>
          <w:rFonts w:hint="eastAsia"/>
          <w:sz w:val="22"/>
          <w:u w:val="single"/>
        </w:rPr>
        <w:t xml:space="preserve">                 </w:t>
      </w:r>
      <w:r>
        <w:rPr>
          <w:rFonts w:hint="eastAsia"/>
          <w:sz w:val="22"/>
        </w:rPr>
        <w:t>（招标人名称）</w:t>
      </w:r>
    </w:p>
    <w:p>
      <w:pPr>
        <w:numPr>
          <w:ilvl w:val="0"/>
          <w:numId w:val="7"/>
        </w:numPr>
        <w:spacing w:line="400" w:lineRule="exact"/>
        <w:ind w:firstLine="440" w:firstLineChars="200"/>
        <w:rPr>
          <w:rFonts w:hint="eastAsia"/>
          <w:sz w:val="22"/>
        </w:rPr>
      </w:pPr>
      <w:r>
        <w:rPr>
          <w:sz w:val="22"/>
          <w:szCs w:val="22"/>
        </w:rPr>
        <w:t>我方已仔细研究了</w:t>
      </w:r>
      <w:r>
        <w:rPr>
          <w:rFonts w:hint="eastAsia"/>
          <w:sz w:val="22"/>
          <w:u w:val="single"/>
        </w:rPr>
        <w:t xml:space="preserve">                 </w:t>
      </w:r>
      <w:r>
        <w:rPr>
          <w:color w:val="000000"/>
          <w:sz w:val="22"/>
          <w:szCs w:val="28"/>
        </w:rPr>
        <w:t>（</w:t>
      </w:r>
      <w:r>
        <w:rPr>
          <w:rFonts w:hint="eastAsia"/>
          <w:color w:val="000000"/>
          <w:sz w:val="22"/>
          <w:szCs w:val="28"/>
        </w:rPr>
        <w:t>招标</w:t>
      </w:r>
      <w:r>
        <w:rPr>
          <w:color w:val="000000"/>
          <w:sz w:val="22"/>
          <w:szCs w:val="28"/>
        </w:rPr>
        <w:t>项目名称）招标项目</w:t>
      </w:r>
      <w:r>
        <w:rPr>
          <w:sz w:val="22"/>
          <w:szCs w:val="22"/>
        </w:rPr>
        <w:t>招标文件的全部内容，愿意以</w:t>
      </w:r>
      <w:r>
        <w:rPr>
          <w:rFonts w:hint="eastAsia"/>
          <w:sz w:val="22"/>
          <w:szCs w:val="22"/>
          <w:u w:val="single"/>
        </w:rPr>
        <w:t>报价文件投标函中</w:t>
      </w:r>
      <w:r>
        <w:rPr>
          <w:sz w:val="22"/>
          <w:szCs w:val="22"/>
        </w:rPr>
        <w:t>的投标总报价提供</w:t>
      </w:r>
      <w:r>
        <w:rPr>
          <w:rFonts w:hint="eastAsia"/>
          <w:sz w:val="22"/>
        </w:rPr>
        <w:t>招标文件要求的货物、安装及技术服务和质保售后服务等，并按合同约定履行义务。</w:t>
      </w:r>
    </w:p>
    <w:p>
      <w:pPr>
        <w:spacing w:line="400" w:lineRule="exact"/>
        <w:ind w:firstLine="440" w:firstLineChars="200"/>
        <w:rPr>
          <w:sz w:val="22"/>
          <w:szCs w:val="22"/>
        </w:rPr>
      </w:pPr>
      <w:r>
        <w:rPr>
          <w:rFonts w:hint="eastAsia"/>
          <w:sz w:val="22"/>
          <w:szCs w:val="22"/>
        </w:rPr>
        <w:t xml:space="preserve">2. </w:t>
      </w:r>
      <w:r>
        <w:rPr>
          <w:sz w:val="22"/>
          <w:szCs w:val="22"/>
        </w:rPr>
        <w:t>我方承诺除</w:t>
      </w:r>
      <w:r>
        <w:rPr>
          <w:color w:val="000000"/>
          <w:sz w:val="24"/>
          <w:szCs w:val="28"/>
        </w:rPr>
        <w:t>商务和技术</w:t>
      </w:r>
      <w:r>
        <w:rPr>
          <w:sz w:val="22"/>
          <w:szCs w:val="22"/>
        </w:rPr>
        <w:t>偏</w:t>
      </w:r>
      <w:r>
        <w:rPr>
          <w:rFonts w:hint="eastAsia"/>
          <w:sz w:val="22"/>
          <w:szCs w:val="22"/>
        </w:rPr>
        <w:t>差</w:t>
      </w:r>
      <w:r>
        <w:rPr>
          <w:sz w:val="22"/>
          <w:szCs w:val="22"/>
        </w:rPr>
        <w:t>表列出的偏</w:t>
      </w:r>
      <w:r>
        <w:rPr>
          <w:rFonts w:hint="eastAsia"/>
          <w:sz w:val="22"/>
          <w:szCs w:val="22"/>
        </w:rPr>
        <w:t>差</w:t>
      </w:r>
      <w:r>
        <w:rPr>
          <w:sz w:val="22"/>
          <w:szCs w:val="22"/>
        </w:rPr>
        <w:t>外，我方响应招标文件的全部要求。</w:t>
      </w:r>
    </w:p>
    <w:p>
      <w:pPr>
        <w:spacing w:line="400" w:lineRule="exact"/>
        <w:ind w:firstLine="440" w:firstLineChars="200"/>
        <w:rPr>
          <w:sz w:val="22"/>
          <w:szCs w:val="22"/>
        </w:rPr>
      </w:pPr>
      <w:r>
        <w:rPr>
          <w:rFonts w:hint="eastAsia"/>
          <w:sz w:val="22"/>
          <w:szCs w:val="22"/>
        </w:rPr>
        <w:t xml:space="preserve">3. </w:t>
      </w:r>
      <w:r>
        <w:rPr>
          <w:sz w:val="22"/>
          <w:szCs w:val="22"/>
        </w:rPr>
        <w:t>我方承诺在招标文件规定的投标有效期内不撤销投标文件。</w:t>
      </w:r>
    </w:p>
    <w:p>
      <w:pPr>
        <w:spacing w:line="400" w:lineRule="exact"/>
        <w:ind w:firstLine="440" w:firstLineChars="200"/>
        <w:rPr>
          <w:sz w:val="22"/>
          <w:szCs w:val="22"/>
        </w:rPr>
      </w:pPr>
      <w:r>
        <w:rPr>
          <w:rFonts w:hint="eastAsia"/>
          <w:sz w:val="22"/>
          <w:szCs w:val="22"/>
        </w:rPr>
        <w:t xml:space="preserve">4. </w:t>
      </w:r>
      <w:r>
        <w:rPr>
          <w:sz w:val="22"/>
          <w:szCs w:val="22"/>
        </w:rPr>
        <w:t>如我方中标，我方承诺：</w:t>
      </w:r>
    </w:p>
    <w:p>
      <w:pPr>
        <w:spacing w:line="400" w:lineRule="exact"/>
        <w:ind w:firstLine="405"/>
        <w:rPr>
          <w:sz w:val="22"/>
          <w:szCs w:val="28"/>
        </w:rPr>
      </w:pPr>
      <w:r>
        <w:rPr>
          <w:rFonts w:hint="eastAsia"/>
          <w:sz w:val="22"/>
          <w:szCs w:val="28"/>
        </w:rPr>
        <w:t>（</w:t>
      </w:r>
      <w:r>
        <w:rPr>
          <w:sz w:val="22"/>
          <w:szCs w:val="28"/>
        </w:rPr>
        <w:t>1</w:t>
      </w:r>
      <w:r>
        <w:rPr>
          <w:rFonts w:hint="eastAsia"/>
          <w:sz w:val="22"/>
          <w:szCs w:val="28"/>
        </w:rPr>
        <w:t>）在收到中标通知书后，在中标通知书规定的期限内与你方签订合同；</w:t>
      </w:r>
    </w:p>
    <w:p>
      <w:pPr>
        <w:spacing w:line="400" w:lineRule="exact"/>
        <w:ind w:firstLine="405"/>
        <w:rPr>
          <w:sz w:val="22"/>
          <w:szCs w:val="28"/>
        </w:rPr>
      </w:pPr>
      <w:r>
        <w:rPr>
          <w:rFonts w:hint="eastAsia"/>
          <w:sz w:val="22"/>
          <w:szCs w:val="28"/>
        </w:rPr>
        <w:t>（</w:t>
      </w:r>
      <w:r>
        <w:rPr>
          <w:sz w:val="22"/>
          <w:szCs w:val="28"/>
        </w:rPr>
        <w:t>2</w:t>
      </w:r>
      <w:r>
        <w:rPr>
          <w:rFonts w:hint="eastAsia"/>
          <w:sz w:val="22"/>
          <w:szCs w:val="28"/>
        </w:rPr>
        <w:t>）在签订合同时不向你方提出附加条件；</w:t>
      </w:r>
    </w:p>
    <w:p>
      <w:pPr>
        <w:spacing w:line="400" w:lineRule="exact"/>
        <w:ind w:firstLine="405"/>
        <w:rPr>
          <w:sz w:val="22"/>
          <w:szCs w:val="28"/>
        </w:rPr>
      </w:pPr>
      <w:r>
        <w:rPr>
          <w:rFonts w:hint="eastAsia"/>
          <w:sz w:val="22"/>
          <w:szCs w:val="28"/>
        </w:rPr>
        <w:t>（</w:t>
      </w:r>
      <w:r>
        <w:rPr>
          <w:sz w:val="22"/>
          <w:szCs w:val="28"/>
        </w:rPr>
        <w:t>3</w:t>
      </w:r>
      <w:r>
        <w:rPr>
          <w:rFonts w:hint="eastAsia"/>
          <w:sz w:val="22"/>
          <w:szCs w:val="28"/>
        </w:rPr>
        <w:t>）按照招标文件要求提交履约保证金；</w:t>
      </w:r>
      <w:bookmarkStart w:id="470" w:name="_Toc369531694"/>
      <w:bookmarkStart w:id="471" w:name="_Toc352691658"/>
      <w:bookmarkStart w:id="472" w:name="_Toc1187"/>
    </w:p>
    <w:p>
      <w:pPr>
        <w:spacing w:line="400" w:lineRule="exact"/>
        <w:ind w:firstLine="405"/>
        <w:rPr>
          <w:sz w:val="22"/>
          <w:szCs w:val="28"/>
        </w:rPr>
      </w:pPr>
      <w:r>
        <w:rPr>
          <w:rFonts w:hint="eastAsia"/>
          <w:sz w:val="22"/>
          <w:szCs w:val="28"/>
        </w:rPr>
        <w:t>（</w:t>
      </w:r>
      <w:r>
        <w:rPr>
          <w:sz w:val="22"/>
          <w:szCs w:val="28"/>
        </w:rPr>
        <w:t>4</w:t>
      </w:r>
      <w:bookmarkEnd w:id="470"/>
      <w:bookmarkEnd w:id="471"/>
      <w:bookmarkEnd w:id="472"/>
      <w:r>
        <w:rPr>
          <w:rFonts w:hint="eastAsia"/>
          <w:sz w:val="22"/>
          <w:szCs w:val="28"/>
        </w:rPr>
        <w:t>）在合同约定的期限内完成合同规定的全部义务。</w:t>
      </w:r>
    </w:p>
    <w:p>
      <w:pPr>
        <w:spacing w:line="400" w:lineRule="exact"/>
        <w:ind w:firstLine="440" w:firstLineChars="200"/>
        <w:rPr>
          <w:rFonts w:hint="eastAsia"/>
          <w:sz w:val="22"/>
          <w:szCs w:val="22"/>
        </w:rPr>
      </w:pPr>
      <w:r>
        <w:rPr>
          <w:rFonts w:hint="eastAsia"/>
          <w:sz w:val="22"/>
          <w:szCs w:val="22"/>
        </w:rPr>
        <w:t>（5）我方承诺响应招标文件要求的本地化服务。</w:t>
      </w:r>
    </w:p>
    <w:p>
      <w:pPr>
        <w:spacing w:line="400" w:lineRule="exact"/>
        <w:ind w:firstLine="440" w:firstLineChars="200"/>
        <w:rPr>
          <w:rFonts w:hint="eastAsia"/>
          <w:sz w:val="22"/>
          <w:szCs w:val="22"/>
        </w:rPr>
      </w:pPr>
      <w:r>
        <w:rPr>
          <w:rFonts w:hint="eastAsia"/>
          <w:sz w:val="22"/>
          <w:szCs w:val="22"/>
        </w:rPr>
        <w:t>（6）我方承诺为所投配电箱（或配电柜）生产厂家。</w:t>
      </w:r>
    </w:p>
    <w:p>
      <w:pPr>
        <w:spacing w:line="400" w:lineRule="exact"/>
        <w:ind w:firstLine="440" w:firstLineChars="200"/>
        <w:rPr>
          <w:rFonts w:hint="eastAsia"/>
          <w:sz w:val="22"/>
          <w:szCs w:val="22"/>
        </w:rPr>
      </w:pPr>
      <w:r>
        <w:rPr>
          <w:rFonts w:hint="eastAsia"/>
          <w:sz w:val="22"/>
          <w:szCs w:val="22"/>
        </w:rPr>
        <w:t>（7）我方承诺在本项目中选用产品品牌档次均不低于推荐品牌；本次投标产品达到或优于本项目招标文件的技术参数要求，并在领取中标通知书后三十个日历日内提供相关产品的证明材料，无条件接受招标人对我方投标方案、投标产品及证明资料进行核查，如经核查认定我方所投产品不满足招标文件要求，招标人有权取消合同签订，并由我公司承担因虚假应标产生的一切相关责任和后果，招标人有权上报合肥市公共资源交易监督部门处理。</w:t>
      </w:r>
    </w:p>
    <w:p>
      <w:pPr>
        <w:spacing w:line="400" w:lineRule="exact"/>
        <w:ind w:firstLine="440" w:firstLineChars="200"/>
        <w:rPr>
          <w:rFonts w:hint="eastAsia"/>
          <w:sz w:val="22"/>
          <w:szCs w:val="22"/>
        </w:rPr>
      </w:pPr>
      <w:r>
        <w:rPr>
          <w:rFonts w:hint="eastAsia"/>
          <w:sz w:val="22"/>
          <w:szCs w:val="22"/>
        </w:rPr>
        <w:t>（8）中标后，我方无条件接受招标人对我方投标方案及投标产品的核查，如经核查认定我方所投产品不满足招标人要求，我方将从《招标人推荐品牌表》 中选取符合招标文件技术参数要求的产品提供给招标人确认，经招标人确认后方可供货安装，且我方承诺投标报价不增加。如有虚假，或我方后期未按承诺执行的，招标人有权解除合同，并由我方承担由此产生的一切相关责任和后果。</w:t>
      </w:r>
    </w:p>
    <w:p>
      <w:pPr>
        <w:spacing w:line="400" w:lineRule="exact"/>
        <w:ind w:firstLine="440" w:firstLineChars="200"/>
        <w:rPr>
          <w:sz w:val="22"/>
          <w:szCs w:val="22"/>
        </w:rPr>
      </w:pPr>
      <w:r>
        <w:rPr>
          <w:rFonts w:hint="eastAsia"/>
          <w:sz w:val="22"/>
          <w:szCs w:val="22"/>
        </w:rPr>
        <w:t xml:space="preserve">5. </w:t>
      </w:r>
      <w:r>
        <w:rPr>
          <w:sz w:val="22"/>
          <w:szCs w:val="28"/>
        </w:rPr>
        <w:t>我方在此声明，所递交的投标文件及有关资料内容完整、真实和准确，且不存在第二章“投标人须知”第1.4.3项</w:t>
      </w:r>
      <w:r>
        <w:rPr>
          <w:rFonts w:hint="eastAsia"/>
          <w:sz w:val="22"/>
          <w:szCs w:val="28"/>
        </w:rPr>
        <w:t>、</w:t>
      </w:r>
      <w:r>
        <w:rPr>
          <w:sz w:val="22"/>
          <w:szCs w:val="28"/>
        </w:rPr>
        <w:t>第1.4.</w:t>
      </w:r>
      <w:r>
        <w:rPr>
          <w:rFonts w:hint="eastAsia"/>
          <w:sz w:val="22"/>
          <w:szCs w:val="28"/>
        </w:rPr>
        <w:t>4</w:t>
      </w:r>
      <w:r>
        <w:rPr>
          <w:sz w:val="22"/>
          <w:szCs w:val="28"/>
        </w:rPr>
        <w:t>项规定的任何一种情形。</w:t>
      </w:r>
    </w:p>
    <w:p>
      <w:pPr>
        <w:adjustRightInd w:val="0"/>
        <w:snapToGrid w:val="0"/>
        <w:spacing w:beforeLines="20" w:afterLines="20" w:line="400" w:lineRule="exact"/>
        <w:ind w:firstLine="385" w:firstLineChars="175"/>
        <w:rPr>
          <w:rFonts w:hint="eastAsia"/>
          <w:bCs/>
          <w:sz w:val="22"/>
          <w:szCs w:val="36"/>
        </w:rPr>
      </w:pPr>
      <w:r>
        <w:rPr>
          <w:rFonts w:hint="eastAsia"/>
          <w:sz w:val="22"/>
          <w:szCs w:val="22"/>
        </w:rPr>
        <w:t xml:space="preserve">6. </w:t>
      </w:r>
      <w:r>
        <w:rPr>
          <w:rFonts w:hint="eastAsia"/>
          <w:sz w:val="22"/>
          <w:u w:val="single"/>
        </w:rPr>
        <w:t xml:space="preserve">                 </w:t>
      </w:r>
      <w:r>
        <w:rPr>
          <w:sz w:val="22"/>
          <w:szCs w:val="22"/>
        </w:rPr>
        <w:t>（其他补充说明）。</w:t>
      </w:r>
    </w:p>
    <w:p>
      <w:pPr>
        <w:adjustRightInd w:val="0"/>
        <w:snapToGrid w:val="0"/>
        <w:spacing w:beforeLines="20" w:afterLines="20" w:line="400" w:lineRule="exact"/>
        <w:rPr>
          <w:rFonts w:hint="eastAsia"/>
          <w:bCs/>
          <w:sz w:val="22"/>
          <w:szCs w:val="22"/>
          <w:u w:val="single"/>
        </w:rPr>
      </w:pPr>
      <w:r>
        <w:rPr>
          <w:rFonts w:hint="eastAsia"/>
          <w:bCs/>
          <w:sz w:val="22"/>
          <w:szCs w:val="22"/>
        </w:rPr>
        <w:t>投 标 人：</w:t>
      </w:r>
      <w:r>
        <w:rPr>
          <w:rFonts w:hint="eastAsia"/>
          <w:bCs/>
          <w:sz w:val="22"/>
          <w:szCs w:val="22"/>
          <w:u w:val="single"/>
        </w:rPr>
        <w:t xml:space="preserve">                                             </w:t>
      </w:r>
      <w:r>
        <w:rPr>
          <w:rFonts w:hint="eastAsia"/>
          <w:bCs/>
          <w:sz w:val="22"/>
          <w:szCs w:val="22"/>
        </w:rPr>
        <w:t>（盖单位章）</w:t>
      </w:r>
    </w:p>
    <w:p>
      <w:pPr>
        <w:adjustRightInd w:val="0"/>
        <w:snapToGrid w:val="0"/>
        <w:spacing w:beforeLines="20" w:afterLines="20" w:line="400" w:lineRule="exact"/>
        <w:jc w:val="left"/>
        <w:rPr>
          <w:rFonts w:hint="eastAsia"/>
          <w:sz w:val="22"/>
          <w:szCs w:val="22"/>
          <w:u w:val="single"/>
        </w:rPr>
      </w:pPr>
      <w:r>
        <w:rPr>
          <w:rFonts w:hint="eastAsia"/>
          <w:sz w:val="22"/>
          <w:szCs w:val="22"/>
        </w:rPr>
        <w:t>法定代表人（单位负责人）：</w:t>
      </w:r>
      <w:r>
        <w:rPr>
          <w:rFonts w:hint="eastAsia"/>
          <w:sz w:val="22"/>
          <w:szCs w:val="22"/>
          <w:u w:val="single"/>
        </w:rPr>
        <w:t xml:space="preserve">      </w:t>
      </w:r>
      <w:r>
        <w:rPr>
          <w:rFonts w:hint="eastAsia"/>
          <w:sz w:val="22"/>
          <w:szCs w:val="22"/>
        </w:rPr>
        <w:t>（签字或加盖其个人电子印章/电子签名章）</w:t>
      </w:r>
    </w:p>
    <w:p>
      <w:pPr>
        <w:adjustRightInd w:val="0"/>
        <w:snapToGrid w:val="0"/>
        <w:spacing w:beforeLines="20" w:afterLines="20" w:line="400" w:lineRule="exact"/>
        <w:rPr>
          <w:rFonts w:hint="eastAsia"/>
          <w:sz w:val="22"/>
          <w:szCs w:val="22"/>
          <w:u w:val="single"/>
        </w:rPr>
      </w:pPr>
      <w:r>
        <w:rPr>
          <w:rFonts w:hint="eastAsia"/>
          <w:sz w:val="22"/>
          <w:szCs w:val="22"/>
        </w:rPr>
        <w:t>单位地址：</w:t>
      </w:r>
      <w:r>
        <w:rPr>
          <w:rFonts w:hint="eastAsia"/>
          <w:sz w:val="22"/>
          <w:szCs w:val="22"/>
          <w:u w:val="single"/>
        </w:rPr>
        <w:t xml:space="preserve">                                                       </w:t>
      </w:r>
    </w:p>
    <w:p>
      <w:pPr>
        <w:adjustRightInd w:val="0"/>
        <w:snapToGrid w:val="0"/>
        <w:spacing w:beforeLines="20" w:afterLines="20" w:line="400" w:lineRule="exact"/>
        <w:rPr>
          <w:rFonts w:hint="eastAsia"/>
          <w:sz w:val="22"/>
          <w:szCs w:val="22"/>
        </w:rPr>
      </w:pPr>
      <w:r>
        <w:rPr>
          <w:rFonts w:hint="eastAsia"/>
          <w:bCs/>
          <w:sz w:val="22"/>
          <w:szCs w:val="22"/>
        </w:rPr>
        <w:t>邮政编码</w:t>
      </w:r>
      <w:r>
        <w:rPr>
          <w:rFonts w:hint="eastAsia"/>
          <w:sz w:val="22"/>
          <w:szCs w:val="22"/>
        </w:rPr>
        <w:t>：</w:t>
      </w:r>
      <w:r>
        <w:rPr>
          <w:rFonts w:hint="eastAsia"/>
          <w:bCs/>
          <w:sz w:val="22"/>
          <w:szCs w:val="36"/>
          <w:u w:val="single"/>
        </w:rPr>
        <w:t xml:space="preserve">           </w:t>
      </w:r>
      <w:r>
        <w:rPr>
          <w:rFonts w:hint="eastAsia"/>
          <w:sz w:val="22"/>
          <w:szCs w:val="22"/>
        </w:rPr>
        <w:t>电话：</w:t>
      </w:r>
      <w:r>
        <w:rPr>
          <w:rFonts w:hint="eastAsia"/>
          <w:bCs/>
          <w:sz w:val="22"/>
          <w:szCs w:val="36"/>
          <w:u w:val="single"/>
        </w:rPr>
        <w:t xml:space="preserve">           </w:t>
      </w:r>
      <w:r>
        <w:rPr>
          <w:rFonts w:hint="eastAsia"/>
          <w:sz w:val="22"/>
          <w:szCs w:val="22"/>
        </w:rPr>
        <w:t xml:space="preserve"> 传真：</w:t>
      </w:r>
      <w:r>
        <w:rPr>
          <w:rFonts w:hint="eastAsia"/>
          <w:sz w:val="22"/>
          <w:szCs w:val="22"/>
          <w:u w:val="single"/>
        </w:rPr>
        <w:t xml:space="preserve">                    </w:t>
      </w:r>
    </w:p>
    <w:p>
      <w:pPr>
        <w:adjustRightInd w:val="0"/>
        <w:snapToGrid w:val="0"/>
        <w:spacing w:beforeLines="20" w:afterLines="20" w:line="400" w:lineRule="exact"/>
        <w:ind w:firstLine="385" w:firstLineChars="175"/>
        <w:jc w:val="right"/>
        <w:rPr>
          <w:rFonts w:hint="eastAsia"/>
          <w:sz w:val="22"/>
          <w:szCs w:val="22"/>
        </w:rPr>
      </w:pPr>
      <w:r>
        <w:rPr>
          <w:sz w:val="22"/>
          <w:szCs w:val="22"/>
          <w:u w:val="single"/>
        </w:rPr>
        <w:t xml:space="preserve">    </w:t>
      </w:r>
      <w:r>
        <w:rPr>
          <w:sz w:val="22"/>
          <w:szCs w:val="22"/>
        </w:rPr>
        <w:t>_</w:t>
      </w:r>
      <w:r>
        <w:rPr>
          <w:rFonts w:hint="eastAsia"/>
          <w:sz w:val="22"/>
          <w:szCs w:val="22"/>
        </w:rPr>
        <w:t>年</w:t>
      </w:r>
      <w:r>
        <w:rPr>
          <w:sz w:val="22"/>
          <w:szCs w:val="22"/>
          <w:u w:val="single"/>
        </w:rPr>
        <w:t xml:space="preserve">   </w:t>
      </w:r>
      <w:r>
        <w:rPr>
          <w:rFonts w:hint="eastAsia"/>
          <w:sz w:val="22"/>
          <w:szCs w:val="22"/>
          <w:u w:val="single"/>
        </w:rPr>
        <w:t xml:space="preserve"> </w:t>
      </w:r>
      <w:r>
        <w:rPr>
          <w:sz w:val="22"/>
          <w:szCs w:val="22"/>
          <w:u w:val="single"/>
        </w:rPr>
        <w:t>_</w:t>
      </w:r>
      <w:r>
        <w:rPr>
          <w:rFonts w:hint="eastAsia"/>
          <w:sz w:val="22"/>
          <w:szCs w:val="22"/>
        </w:rPr>
        <w:t>月</w:t>
      </w:r>
      <w:r>
        <w:rPr>
          <w:sz w:val="22"/>
          <w:szCs w:val="22"/>
          <w:u w:val="single"/>
        </w:rPr>
        <w:t xml:space="preserve">    </w:t>
      </w:r>
      <w:r>
        <w:rPr>
          <w:rFonts w:hint="eastAsia"/>
          <w:sz w:val="22"/>
          <w:szCs w:val="22"/>
        </w:rPr>
        <w:t>日</w:t>
      </w:r>
    </w:p>
    <w:p>
      <w:pPr>
        <w:spacing w:beforeLines="100" w:line="400" w:lineRule="exact"/>
        <w:jc w:val="center"/>
        <w:rPr>
          <w:rFonts w:hint="eastAsia" w:eastAsia="黑体"/>
          <w:bCs/>
          <w:sz w:val="24"/>
        </w:rPr>
      </w:pPr>
      <w:r>
        <w:rPr>
          <w:rFonts w:eastAsia="黑体"/>
          <w:sz w:val="28"/>
          <w:szCs w:val="28"/>
        </w:rPr>
        <w:br w:type="page"/>
      </w:r>
      <w:r>
        <w:rPr>
          <w:rFonts w:hint="eastAsia" w:eastAsia="黑体"/>
          <w:bCs/>
          <w:sz w:val="24"/>
        </w:rPr>
        <w:t>二、</w:t>
      </w:r>
      <w:bookmarkEnd w:id="465"/>
      <w:bookmarkEnd w:id="466"/>
      <w:bookmarkEnd w:id="467"/>
      <w:bookmarkEnd w:id="468"/>
      <w:r>
        <w:rPr>
          <w:rFonts w:hint="eastAsia" w:eastAsia="黑体"/>
          <w:bCs/>
          <w:sz w:val="24"/>
        </w:rPr>
        <w:t>法定代表人（单位负责人）身份证明或授权委托书</w:t>
      </w:r>
    </w:p>
    <w:p>
      <w:pPr>
        <w:jc w:val="center"/>
        <w:rPr>
          <w:rFonts w:hint="eastAsia" w:eastAsia="黑体"/>
          <w:bCs/>
          <w:sz w:val="24"/>
        </w:rPr>
      </w:pPr>
      <w:r>
        <w:rPr>
          <w:rFonts w:hint="eastAsia" w:eastAsia="黑体"/>
          <w:bCs/>
          <w:sz w:val="24"/>
        </w:rPr>
        <w:t>法定代表人（单位负责人）身份证明</w:t>
      </w:r>
    </w:p>
    <w:p>
      <w:pPr>
        <w:ind w:left="765"/>
        <w:rPr>
          <w:szCs w:val="22"/>
        </w:rPr>
      </w:pPr>
    </w:p>
    <w:p>
      <w:pPr>
        <w:spacing w:line="500" w:lineRule="exact"/>
        <w:rPr>
          <w:rFonts w:hint="eastAsia"/>
          <w:sz w:val="22"/>
          <w:szCs w:val="22"/>
        </w:rPr>
      </w:pPr>
      <w:r>
        <w:rPr>
          <w:rFonts w:hint="eastAsia"/>
          <w:sz w:val="22"/>
          <w:szCs w:val="22"/>
        </w:rPr>
        <w:t>投 标 人：</w:t>
      </w:r>
      <w:r>
        <w:rPr>
          <w:rFonts w:hint="eastAsia"/>
          <w:sz w:val="22"/>
          <w:szCs w:val="22"/>
          <w:u w:val="single"/>
        </w:rPr>
        <w:t xml:space="preserve">                                                        </w:t>
      </w:r>
    </w:p>
    <w:p>
      <w:pPr>
        <w:spacing w:line="500" w:lineRule="exact"/>
        <w:rPr>
          <w:rFonts w:hint="eastAsia"/>
          <w:sz w:val="22"/>
          <w:szCs w:val="22"/>
        </w:rPr>
      </w:pPr>
      <w:r>
        <w:rPr>
          <w:rFonts w:hint="eastAsia"/>
          <w:sz w:val="22"/>
          <w:szCs w:val="22"/>
        </w:rPr>
        <w:t>单位性质：</w:t>
      </w:r>
      <w:r>
        <w:rPr>
          <w:rFonts w:hint="eastAsia"/>
          <w:sz w:val="22"/>
          <w:szCs w:val="22"/>
          <w:u w:val="single"/>
        </w:rPr>
        <w:t xml:space="preserve">                                                        </w:t>
      </w:r>
    </w:p>
    <w:p>
      <w:pPr>
        <w:spacing w:line="500" w:lineRule="exact"/>
        <w:rPr>
          <w:rFonts w:hint="eastAsia"/>
          <w:sz w:val="22"/>
          <w:szCs w:val="22"/>
        </w:rPr>
      </w:pPr>
      <w:r>
        <w:rPr>
          <w:rFonts w:hint="eastAsia"/>
          <w:sz w:val="22"/>
          <w:szCs w:val="22"/>
        </w:rPr>
        <w:t>地    址：</w:t>
      </w:r>
      <w:r>
        <w:rPr>
          <w:rFonts w:hint="eastAsia"/>
          <w:sz w:val="22"/>
          <w:szCs w:val="22"/>
          <w:u w:val="single"/>
        </w:rPr>
        <w:t xml:space="preserve">                                                        </w:t>
      </w:r>
    </w:p>
    <w:p>
      <w:pPr>
        <w:spacing w:line="500" w:lineRule="exact"/>
        <w:rPr>
          <w:rFonts w:hint="eastAsia"/>
          <w:sz w:val="22"/>
          <w:szCs w:val="22"/>
        </w:rPr>
      </w:pPr>
      <w:r>
        <w:rPr>
          <w:rFonts w:hint="eastAsia"/>
          <w:sz w:val="22"/>
          <w:szCs w:val="22"/>
        </w:rPr>
        <w:t>成立时间：</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月</w:t>
      </w:r>
      <w:r>
        <w:rPr>
          <w:rFonts w:hint="eastAsia"/>
          <w:sz w:val="22"/>
          <w:szCs w:val="22"/>
          <w:u w:val="single"/>
        </w:rPr>
        <w:t xml:space="preserve">              </w:t>
      </w:r>
      <w:r>
        <w:rPr>
          <w:rFonts w:hint="eastAsia"/>
          <w:sz w:val="22"/>
          <w:szCs w:val="22"/>
        </w:rPr>
        <w:t>日</w:t>
      </w:r>
    </w:p>
    <w:p>
      <w:pPr>
        <w:spacing w:line="500" w:lineRule="exact"/>
        <w:rPr>
          <w:rFonts w:hint="eastAsia"/>
          <w:sz w:val="22"/>
          <w:szCs w:val="22"/>
        </w:rPr>
      </w:pPr>
      <w:r>
        <w:rPr>
          <w:rFonts w:hint="eastAsia"/>
          <w:sz w:val="22"/>
          <w:szCs w:val="22"/>
        </w:rPr>
        <w:t>经营期限：</w:t>
      </w:r>
      <w:r>
        <w:rPr>
          <w:rFonts w:hint="eastAsia"/>
          <w:sz w:val="22"/>
          <w:szCs w:val="22"/>
          <w:u w:val="single"/>
        </w:rPr>
        <w:t xml:space="preserve">                                                        </w:t>
      </w:r>
    </w:p>
    <w:p>
      <w:pPr>
        <w:spacing w:line="500" w:lineRule="exact"/>
        <w:rPr>
          <w:rFonts w:hint="eastAsia"/>
          <w:sz w:val="22"/>
          <w:szCs w:val="22"/>
        </w:rPr>
      </w:pPr>
      <w:r>
        <w:rPr>
          <w:rFonts w:hint="eastAsia"/>
          <w:sz w:val="22"/>
          <w:szCs w:val="22"/>
        </w:rPr>
        <w:t>姓    名：</w:t>
      </w:r>
      <w:r>
        <w:rPr>
          <w:rFonts w:hint="eastAsia"/>
          <w:sz w:val="22"/>
          <w:szCs w:val="22"/>
          <w:u w:val="single"/>
        </w:rPr>
        <w:t xml:space="preserve">                          </w:t>
      </w:r>
      <w:r>
        <w:rPr>
          <w:rFonts w:hint="eastAsia"/>
          <w:sz w:val="22"/>
          <w:szCs w:val="22"/>
        </w:rPr>
        <w:t>性        别：</w:t>
      </w:r>
      <w:r>
        <w:rPr>
          <w:rFonts w:hint="eastAsia"/>
          <w:sz w:val="22"/>
          <w:szCs w:val="22"/>
          <w:u w:val="single"/>
        </w:rPr>
        <w:t xml:space="preserve">                </w:t>
      </w:r>
    </w:p>
    <w:p>
      <w:pPr>
        <w:spacing w:line="500" w:lineRule="exact"/>
        <w:rPr>
          <w:rFonts w:hint="eastAsia"/>
          <w:sz w:val="22"/>
          <w:szCs w:val="22"/>
        </w:rPr>
      </w:pPr>
      <w:r>
        <w:rPr>
          <w:rFonts w:hint="eastAsia"/>
          <w:sz w:val="22"/>
          <w:szCs w:val="22"/>
        </w:rPr>
        <w:t>年    龄：</w:t>
      </w:r>
      <w:r>
        <w:rPr>
          <w:rFonts w:hint="eastAsia"/>
          <w:sz w:val="22"/>
          <w:szCs w:val="22"/>
          <w:u w:val="single"/>
        </w:rPr>
        <w:t xml:space="preserve">                          </w:t>
      </w:r>
      <w:r>
        <w:rPr>
          <w:rFonts w:hint="eastAsia"/>
          <w:sz w:val="22"/>
          <w:szCs w:val="22"/>
        </w:rPr>
        <w:t>职        务：</w:t>
      </w:r>
      <w:r>
        <w:rPr>
          <w:rFonts w:hint="eastAsia"/>
          <w:sz w:val="22"/>
          <w:szCs w:val="22"/>
          <w:u w:val="single"/>
        </w:rPr>
        <w:t xml:space="preserve">                </w:t>
      </w:r>
    </w:p>
    <w:p>
      <w:pPr>
        <w:spacing w:line="500" w:lineRule="exact"/>
        <w:rPr>
          <w:rFonts w:hint="eastAsia"/>
          <w:sz w:val="22"/>
          <w:szCs w:val="22"/>
        </w:rPr>
      </w:pPr>
      <w:r>
        <w:rPr>
          <w:rFonts w:hint="eastAsia"/>
          <w:sz w:val="22"/>
          <w:szCs w:val="22"/>
        </w:rPr>
        <w:t>系</w:t>
      </w:r>
      <w:r>
        <w:rPr>
          <w:rFonts w:hint="eastAsia"/>
          <w:sz w:val="22"/>
          <w:szCs w:val="22"/>
          <w:u w:val="single"/>
        </w:rPr>
        <w:t xml:space="preserve">                                        </w:t>
      </w:r>
      <w:r>
        <w:rPr>
          <w:rFonts w:hint="eastAsia"/>
          <w:sz w:val="22"/>
          <w:szCs w:val="22"/>
        </w:rPr>
        <w:t>（投标人名称）的法定代表人（单位负责人）。</w:t>
      </w:r>
    </w:p>
    <w:p>
      <w:pPr>
        <w:spacing w:line="500" w:lineRule="exact"/>
        <w:rPr>
          <w:rFonts w:hint="eastAsia"/>
          <w:sz w:val="22"/>
          <w:szCs w:val="22"/>
        </w:rPr>
      </w:pPr>
      <w:r>
        <w:rPr>
          <w:rFonts w:hint="eastAsia"/>
          <w:sz w:val="22"/>
          <w:szCs w:val="22"/>
        </w:rPr>
        <w:t>特此证明。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330" w:type="dxa"/>
            <w:vAlign w:val="center"/>
          </w:tcPr>
          <w:p>
            <w:pPr>
              <w:spacing w:line="480" w:lineRule="exact"/>
              <w:jc w:val="center"/>
              <w:rPr>
                <w:sz w:val="24"/>
              </w:rPr>
            </w:pPr>
            <w:r>
              <w:rPr>
                <w:rFonts w:hAnsi="宋体"/>
                <w:sz w:val="24"/>
              </w:rPr>
              <w:t>法人</w:t>
            </w:r>
            <w:r>
              <w:rPr>
                <w:sz w:val="24"/>
              </w:rPr>
              <w:t>代表</w:t>
            </w:r>
            <w:r>
              <w:rPr>
                <w:rFonts w:hAnsi="宋体"/>
                <w:sz w:val="24"/>
              </w:rPr>
              <w:t>身份证</w:t>
            </w:r>
            <w:r>
              <w:rPr>
                <w:rFonts w:hint="eastAsia" w:hAnsi="宋体"/>
                <w:sz w:val="24"/>
              </w:rPr>
              <w:t>扫描件或影印件</w:t>
            </w:r>
            <w:r>
              <w:rPr>
                <w:rFonts w:hAnsi="宋体"/>
                <w:sz w:val="24"/>
              </w:rPr>
              <w:t>正面</w:t>
            </w:r>
          </w:p>
        </w:tc>
        <w:tc>
          <w:tcPr>
            <w:tcW w:w="4330" w:type="dxa"/>
            <w:vAlign w:val="center"/>
          </w:tcPr>
          <w:p>
            <w:pPr>
              <w:spacing w:line="480" w:lineRule="exact"/>
              <w:jc w:val="center"/>
              <w:rPr>
                <w:sz w:val="24"/>
              </w:rPr>
            </w:pPr>
            <w:r>
              <w:rPr>
                <w:rFonts w:hAnsi="宋体"/>
                <w:sz w:val="24"/>
              </w:rPr>
              <w:t>法人</w:t>
            </w:r>
            <w:r>
              <w:rPr>
                <w:sz w:val="24"/>
              </w:rPr>
              <w:t>代表</w:t>
            </w:r>
            <w:r>
              <w:rPr>
                <w:rFonts w:hAnsi="宋体"/>
                <w:sz w:val="24"/>
              </w:rPr>
              <w:t>身份证</w:t>
            </w:r>
            <w:r>
              <w:rPr>
                <w:rFonts w:hint="eastAsia" w:hAnsi="宋体"/>
                <w:sz w:val="24"/>
              </w:rPr>
              <w:t>扫描件或影印件</w:t>
            </w:r>
            <w:r>
              <w:rPr>
                <w:rFonts w:hAnsi="宋体"/>
                <w:sz w:val="24"/>
              </w:rPr>
              <w:t>背面</w:t>
            </w:r>
          </w:p>
        </w:tc>
      </w:tr>
    </w:tbl>
    <w:p>
      <w:pPr>
        <w:spacing w:line="500" w:lineRule="exact"/>
        <w:rPr>
          <w:rFonts w:hint="eastAsia"/>
          <w:sz w:val="22"/>
          <w:szCs w:val="22"/>
        </w:rPr>
      </w:pPr>
    </w:p>
    <w:p>
      <w:pPr>
        <w:spacing w:line="500" w:lineRule="exact"/>
        <w:rPr>
          <w:rFonts w:hint="eastAsia"/>
          <w:sz w:val="22"/>
          <w:szCs w:val="22"/>
        </w:rPr>
      </w:pPr>
    </w:p>
    <w:p>
      <w:pPr>
        <w:wordWrap w:val="0"/>
        <w:spacing w:line="500" w:lineRule="exact"/>
        <w:jc w:val="right"/>
        <w:rPr>
          <w:rFonts w:hint="eastAsia"/>
          <w:sz w:val="22"/>
          <w:szCs w:val="22"/>
        </w:rPr>
      </w:pPr>
      <w:r>
        <w:rPr>
          <w:rFonts w:hint="eastAsia"/>
          <w:sz w:val="22"/>
          <w:szCs w:val="22"/>
        </w:rPr>
        <w:t>投标人：</w:t>
      </w:r>
      <w:r>
        <w:rPr>
          <w:rFonts w:hint="eastAsia"/>
          <w:sz w:val="22"/>
          <w:szCs w:val="22"/>
          <w:u w:val="single"/>
        </w:rPr>
        <w:t xml:space="preserve">                          </w:t>
      </w:r>
      <w:r>
        <w:rPr>
          <w:rFonts w:hint="eastAsia"/>
          <w:sz w:val="22"/>
          <w:szCs w:val="22"/>
        </w:rPr>
        <w:t>（盖单位章）</w:t>
      </w:r>
    </w:p>
    <w:p>
      <w:pPr>
        <w:spacing w:beforeLines="20" w:afterLines="20" w:line="540" w:lineRule="exact"/>
        <w:ind w:firstLine="5830" w:firstLineChars="2650"/>
        <w:rPr>
          <w:rFonts w:hint="eastAsia"/>
          <w:sz w:val="28"/>
        </w:rPr>
      </w:pP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月</w:t>
      </w:r>
      <w:r>
        <w:rPr>
          <w:rFonts w:hint="eastAsia"/>
          <w:sz w:val="22"/>
          <w:szCs w:val="22"/>
          <w:u w:val="single"/>
        </w:rPr>
        <w:t xml:space="preserve">        </w:t>
      </w:r>
      <w:r>
        <w:rPr>
          <w:rFonts w:hint="eastAsia"/>
          <w:sz w:val="22"/>
          <w:szCs w:val="22"/>
        </w:rPr>
        <w:t>日</w:t>
      </w:r>
    </w:p>
    <w:p>
      <w:pPr>
        <w:spacing w:beforeLines="20" w:afterLines="20" w:line="540" w:lineRule="exact"/>
        <w:ind w:firstLine="3840" w:firstLineChars="1600"/>
        <w:rPr>
          <w:rFonts w:hint="eastAsia"/>
          <w:sz w:val="24"/>
          <w:szCs w:val="22"/>
        </w:rPr>
      </w:pPr>
    </w:p>
    <w:p>
      <w:pPr>
        <w:spacing w:beforeLines="20" w:afterLines="20" w:line="540" w:lineRule="exact"/>
        <w:rPr>
          <w:rFonts w:hint="eastAsia"/>
          <w:b/>
          <w:bCs/>
          <w:sz w:val="24"/>
          <w:szCs w:val="22"/>
        </w:rPr>
      </w:pPr>
    </w:p>
    <w:p>
      <w:pPr>
        <w:spacing w:beforeLines="20" w:afterLines="20" w:line="540" w:lineRule="exact"/>
        <w:rPr>
          <w:rFonts w:hint="eastAsia"/>
          <w:b/>
          <w:bCs/>
          <w:sz w:val="24"/>
          <w:szCs w:val="22"/>
        </w:rPr>
      </w:pPr>
    </w:p>
    <w:p>
      <w:pPr>
        <w:spacing w:beforeLines="20" w:afterLines="20" w:line="540" w:lineRule="exact"/>
        <w:rPr>
          <w:rFonts w:hint="eastAsia"/>
          <w:b/>
          <w:bCs/>
          <w:sz w:val="24"/>
          <w:szCs w:val="22"/>
        </w:rPr>
      </w:pPr>
    </w:p>
    <w:bookmarkEnd w:id="469"/>
    <w:p>
      <w:pPr>
        <w:jc w:val="center"/>
        <w:rPr>
          <w:rFonts w:hint="eastAsia"/>
          <w:sz w:val="32"/>
          <w:szCs w:val="32"/>
        </w:rPr>
      </w:pPr>
      <w:bookmarkStart w:id="473" w:name="_Toc535241084"/>
      <w:bookmarkStart w:id="474" w:name="_Toc535241130"/>
      <w:bookmarkStart w:id="475" w:name="_Toc535241227"/>
      <w:bookmarkStart w:id="476" w:name="_Toc224103497"/>
      <w:bookmarkStart w:id="477" w:name="_Toc224103498"/>
      <w:r>
        <w:rPr>
          <w:sz w:val="32"/>
          <w:szCs w:val="32"/>
        </w:rPr>
        <w:br w:type="page"/>
      </w:r>
      <w:r>
        <w:rPr>
          <w:rFonts w:hint="eastAsia" w:eastAsia="黑体"/>
          <w:bCs/>
          <w:sz w:val="24"/>
        </w:rPr>
        <w:t>授权委托书</w:t>
      </w:r>
      <w:bookmarkEnd w:id="473"/>
      <w:bookmarkEnd w:id="474"/>
      <w:bookmarkEnd w:id="475"/>
    </w:p>
    <w:p>
      <w:pPr>
        <w:rPr>
          <w:rFonts w:hint="eastAsia"/>
        </w:rPr>
      </w:pPr>
    </w:p>
    <w:p>
      <w:pPr>
        <w:snapToGrid w:val="0"/>
        <w:spacing w:line="360" w:lineRule="auto"/>
        <w:ind w:firstLine="440" w:firstLineChars="200"/>
        <w:jc w:val="left"/>
        <w:rPr>
          <w:rFonts w:hint="eastAsia"/>
          <w:sz w:val="22"/>
          <w:szCs w:val="22"/>
        </w:rPr>
      </w:pPr>
      <w:r>
        <w:rPr>
          <w:rFonts w:hint="eastAsia"/>
          <w:sz w:val="22"/>
          <w:szCs w:val="22"/>
        </w:rPr>
        <w:t>本人</w:t>
      </w:r>
      <w:r>
        <w:rPr>
          <w:rFonts w:hint="eastAsia"/>
          <w:sz w:val="22"/>
          <w:szCs w:val="22"/>
          <w:u w:val="single"/>
        </w:rPr>
        <w:t xml:space="preserve">           </w:t>
      </w:r>
      <w:r>
        <w:rPr>
          <w:rFonts w:hint="eastAsia"/>
          <w:sz w:val="22"/>
          <w:szCs w:val="22"/>
        </w:rPr>
        <w:t>（姓名）系</w:t>
      </w:r>
      <w:r>
        <w:rPr>
          <w:rFonts w:hint="eastAsia"/>
          <w:sz w:val="22"/>
          <w:szCs w:val="22"/>
          <w:u w:val="single"/>
        </w:rPr>
        <w:t xml:space="preserve">             </w:t>
      </w:r>
      <w:r>
        <w:rPr>
          <w:rFonts w:hint="eastAsia"/>
          <w:sz w:val="22"/>
          <w:szCs w:val="22"/>
        </w:rPr>
        <w:t>（投标人名称）的法定代表人（单位负责人），现委托</w:t>
      </w:r>
      <w:r>
        <w:rPr>
          <w:rFonts w:hint="eastAsia"/>
          <w:sz w:val="22"/>
          <w:szCs w:val="22"/>
          <w:u w:val="single"/>
        </w:rPr>
        <w:t xml:space="preserve">      </w:t>
      </w:r>
      <w:r>
        <w:rPr>
          <w:rFonts w:hint="eastAsia"/>
          <w:sz w:val="22"/>
          <w:szCs w:val="22"/>
        </w:rPr>
        <w:t>（姓名）为我方代理人。代理人根据授权，以我方名义签署、澄清、说明、补正、递交、撤回、修改</w:t>
      </w:r>
      <w:r>
        <w:rPr>
          <w:rFonts w:hint="eastAsia"/>
          <w:sz w:val="22"/>
          <w:szCs w:val="22"/>
          <w:u w:val="single"/>
        </w:rPr>
        <w:t xml:space="preserve">        </w:t>
      </w:r>
      <w:r>
        <w:rPr>
          <w:rFonts w:hint="eastAsia"/>
          <w:sz w:val="22"/>
          <w:szCs w:val="22"/>
        </w:rPr>
        <w:t>（招标项目名称）货物采购招标项目投标文件、签订合同和处理有关事宜，其法律后果由我方承担。</w:t>
      </w:r>
    </w:p>
    <w:p>
      <w:pPr>
        <w:snapToGrid w:val="0"/>
        <w:spacing w:line="360" w:lineRule="auto"/>
        <w:ind w:firstLine="440" w:firstLineChars="200"/>
        <w:rPr>
          <w:rFonts w:hint="eastAsia"/>
          <w:sz w:val="22"/>
          <w:szCs w:val="22"/>
        </w:rPr>
      </w:pPr>
      <w:r>
        <w:rPr>
          <w:rFonts w:hint="eastAsia"/>
          <w:sz w:val="22"/>
          <w:szCs w:val="22"/>
        </w:rPr>
        <w:t>委托期限：</w:t>
      </w:r>
      <w:r>
        <w:rPr>
          <w:rFonts w:hAnsi="宋体"/>
          <w:sz w:val="22"/>
          <w:szCs w:val="22"/>
          <w:u w:val="single"/>
        </w:rPr>
        <w:t>自投标截止之日起至合同完工止</w:t>
      </w:r>
      <w:r>
        <w:rPr>
          <w:rFonts w:hint="eastAsia"/>
          <w:sz w:val="22"/>
          <w:szCs w:val="22"/>
        </w:rPr>
        <w:t>。</w:t>
      </w:r>
    </w:p>
    <w:p>
      <w:pPr>
        <w:snapToGrid w:val="0"/>
        <w:spacing w:line="360" w:lineRule="auto"/>
        <w:ind w:firstLine="440" w:firstLineChars="200"/>
        <w:rPr>
          <w:rFonts w:hint="eastAsia"/>
          <w:sz w:val="22"/>
          <w:szCs w:val="22"/>
        </w:rPr>
      </w:pPr>
      <w:r>
        <w:rPr>
          <w:rFonts w:hint="eastAsia"/>
          <w:sz w:val="22"/>
          <w:szCs w:val="22"/>
        </w:rPr>
        <w:t>代理人无转委托权。</w:t>
      </w:r>
    </w:p>
    <w:p>
      <w:pPr>
        <w:spacing w:line="480" w:lineRule="exact"/>
        <w:ind w:firstLine="440" w:firstLineChars="200"/>
        <w:rPr>
          <w:rFonts w:hAnsi="宋体"/>
          <w:color w:val="0000FF"/>
          <w:sz w:val="22"/>
          <w:szCs w:val="22"/>
        </w:rPr>
      </w:pPr>
      <w:r>
        <w:rPr>
          <w:rFonts w:hAnsi="宋体"/>
          <w:color w:val="0000FF"/>
          <w:sz w:val="22"/>
          <w:szCs w:val="22"/>
        </w:rPr>
        <w:t>注：授权委托人参与开投标活动相关事宜的，必须附上述《</w:t>
      </w:r>
      <w:r>
        <w:rPr>
          <w:color w:val="0000FF"/>
          <w:sz w:val="22"/>
          <w:szCs w:val="22"/>
        </w:rPr>
        <w:t>2.1</w:t>
      </w:r>
      <w:r>
        <w:rPr>
          <w:rFonts w:hAnsi="宋体"/>
          <w:color w:val="0000FF"/>
          <w:sz w:val="22"/>
          <w:szCs w:val="22"/>
        </w:rPr>
        <w:t>法定代表人身份证明》。</w:t>
      </w:r>
    </w:p>
    <w:tbl>
      <w:tblPr>
        <w:tblStyle w:val="55"/>
        <w:tblpPr w:leftFromText="180" w:rightFromText="180" w:vertAnchor="text" w:horzAnchor="page" w:tblpX="1721" w:tblpY="838"/>
        <w:tblOverlap w:val="never"/>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4366" w:type="dxa"/>
            <w:vAlign w:val="center"/>
          </w:tcPr>
          <w:p>
            <w:pPr>
              <w:spacing w:line="480" w:lineRule="exact"/>
              <w:jc w:val="center"/>
              <w:rPr>
                <w:sz w:val="22"/>
                <w:szCs w:val="22"/>
              </w:rPr>
            </w:pPr>
            <w:r>
              <w:rPr>
                <w:rFonts w:hint="eastAsia" w:hAnsi="宋体"/>
                <w:sz w:val="22"/>
                <w:szCs w:val="22"/>
              </w:rPr>
              <w:t>法定代表人身份证明</w:t>
            </w:r>
            <w:r>
              <w:rPr>
                <w:rFonts w:hAnsi="宋体"/>
                <w:sz w:val="22"/>
                <w:szCs w:val="22"/>
              </w:rPr>
              <w:t>正面</w:t>
            </w:r>
            <w:r>
              <w:rPr>
                <w:rFonts w:hint="eastAsia" w:hAnsi="宋体"/>
                <w:sz w:val="22"/>
                <w:szCs w:val="22"/>
              </w:rPr>
              <w:t>扫描件或影印件</w:t>
            </w:r>
          </w:p>
        </w:tc>
        <w:tc>
          <w:tcPr>
            <w:tcW w:w="4317" w:type="dxa"/>
            <w:vAlign w:val="center"/>
          </w:tcPr>
          <w:p>
            <w:pPr>
              <w:spacing w:line="480" w:lineRule="exact"/>
              <w:jc w:val="center"/>
              <w:rPr>
                <w:sz w:val="22"/>
                <w:szCs w:val="22"/>
              </w:rPr>
            </w:pPr>
            <w:r>
              <w:rPr>
                <w:rFonts w:hint="eastAsia" w:hAnsi="宋体"/>
                <w:sz w:val="22"/>
                <w:szCs w:val="22"/>
              </w:rPr>
              <w:t>法定代表人身份证明背面扫描件或影印件</w:t>
            </w:r>
          </w:p>
        </w:tc>
      </w:tr>
    </w:tbl>
    <w:p>
      <w:pPr>
        <w:pStyle w:val="13"/>
        <w:ind w:firstLine="440"/>
        <w:rPr>
          <w:sz w:val="22"/>
          <w:szCs w:val="22"/>
        </w:rPr>
      </w:pPr>
    </w:p>
    <w:p>
      <w:pPr>
        <w:pStyle w:val="13"/>
        <w:ind w:firstLine="440"/>
        <w:rPr>
          <w:sz w:val="22"/>
          <w:szCs w:val="22"/>
        </w:rPr>
      </w:pPr>
    </w:p>
    <w:p>
      <w:pPr>
        <w:pStyle w:val="13"/>
        <w:ind w:firstLine="440"/>
        <w:rPr>
          <w:sz w:val="22"/>
          <w:szCs w:val="22"/>
        </w:rPr>
      </w:pPr>
    </w:p>
    <w:p>
      <w:pPr>
        <w:pStyle w:val="13"/>
        <w:ind w:firstLine="440"/>
        <w:rPr>
          <w:sz w:val="22"/>
          <w:szCs w:val="22"/>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330" w:type="dxa"/>
            <w:vAlign w:val="center"/>
          </w:tcPr>
          <w:p>
            <w:pPr>
              <w:spacing w:line="480" w:lineRule="exact"/>
              <w:jc w:val="center"/>
              <w:rPr>
                <w:sz w:val="22"/>
                <w:szCs w:val="22"/>
              </w:rPr>
            </w:pPr>
            <w:r>
              <w:rPr>
                <w:rFonts w:hAnsi="宋体"/>
                <w:sz w:val="22"/>
                <w:szCs w:val="22"/>
              </w:rPr>
              <w:t>授权委托代理人身份</w:t>
            </w:r>
            <w:r>
              <w:rPr>
                <w:rFonts w:hint="eastAsia" w:hAnsi="宋体"/>
                <w:sz w:val="22"/>
                <w:szCs w:val="22"/>
              </w:rPr>
              <w:t>证</w:t>
            </w:r>
            <w:r>
              <w:rPr>
                <w:rFonts w:hAnsi="宋体"/>
                <w:sz w:val="22"/>
                <w:szCs w:val="22"/>
              </w:rPr>
              <w:t>正面</w:t>
            </w:r>
            <w:r>
              <w:rPr>
                <w:rFonts w:hint="eastAsia" w:hAnsi="宋体"/>
                <w:sz w:val="22"/>
                <w:szCs w:val="22"/>
              </w:rPr>
              <w:t>扫描件或影印件</w:t>
            </w:r>
          </w:p>
        </w:tc>
        <w:tc>
          <w:tcPr>
            <w:tcW w:w="4330" w:type="dxa"/>
            <w:vAlign w:val="center"/>
          </w:tcPr>
          <w:p>
            <w:pPr>
              <w:spacing w:line="480" w:lineRule="exact"/>
              <w:jc w:val="center"/>
              <w:rPr>
                <w:rFonts w:hint="eastAsia"/>
                <w:sz w:val="22"/>
                <w:szCs w:val="22"/>
              </w:rPr>
            </w:pPr>
            <w:r>
              <w:rPr>
                <w:rFonts w:hAnsi="宋体"/>
                <w:sz w:val="22"/>
                <w:szCs w:val="22"/>
              </w:rPr>
              <w:t>授权委托代理人身份</w:t>
            </w:r>
            <w:r>
              <w:rPr>
                <w:rFonts w:hint="eastAsia" w:hAnsi="宋体"/>
                <w:sz w:val="22"/>
                <w:szCs w:val="22"/>
              </w:rPr>
              <w:t>证背面扫描件或影印件</w:t>
            </w:r>
          </w:p>
        </w:tc>
      </w:tr>
      <w:bookmarkEnd w:id="476"/>
      <w:bookmarkEnd w:id="477"/>
    </w:tbl>
    <w:p>
      <w:pPr>
        <w:spacing w:line="900" w:lineRule="exact"/>
        <w:ind w:firstLine="1513" w:firstLineChars="688"/>
        <w:rPr>
          <w:sz w:val="22"/>
          <w:szCs w:val="22"/>
        </w:rPr>
      </w:pPr>
      <w:bookmarkStart w:id="478" w:name="_Toc421917002"/>
      <w:bookmarkStart w:id="479" w:name="_Toc224103499"/>
      <w:bookmarkStart w:id="480" w:name="_Toc390411622"/>
      <w:bookmarkStart w:id="481" w:name="_Toc460660224"/>
      <w:bookmarkStart w:id="482" w:name="_Toc460227109"/>
      <w:r>
        <w:rPr>
          <w:rFonts w:hAnsi="宋体"/>
          <w:sz w:val="22"/>
          <w:szCs w:val="22"/>
        </w:rPr>
        <w:t>投</w:t>
      </w:r>
      <w:r>
        <w:rPr>
          <w:sz w:val="22"/>
          <w:szCs w:val="22"/>
        </w:rPr>
        <w:t xml:space="preserve">  </w:t>
      </w:r>
      <w:r>
        <w:rPr>
          <w:rFonts w:hAnsi="宋体"/>
          <w:sz w:val="22"/>
          <w:szCs w:val="22"/>
        </w:rPr>
        <w:t>标</w:t>
      </w:r>
      <w:r>
        <w:rPr>
          <w:sz w:val="22"/>
          <w:szCs w:val="22"/>
        </w:rPr>
        <w:t xml:space="preserve">  </w:t>
      </w:r>
      <w:r>
        <w:rPr>
          <w:rFonts w:hAnsi="宋体"/>
          <w:sz w:val="22"/>
          <w:szCs w:val="22"/>
        </w:rPr>
        <w:t>人：</w:t>
      </w:r>
      <w:r>
        <w:rPr>
          <w:sz w:val="22"/>
          <w:szCs w:val="22"/>
          <w:u w:val="single"/>
        </w:rPr>
        <w:t xml:space="preserve">                               </w:t>
      </w:r>
      <w:r>
        <w:rPr>
          <w:rFonts w:hint="eastAsia"/>
          <w:sz w:val="22"/>
          <w:szCs w:val="22"/>
          <w:u w:val="single"/>
          <w:lang w:eastAsia="zh-CN"/>
        </w:rPr>
        <w:t>（</w:t>
      </w:r>
      <w:r>
        <w:rPr>
          <w:rFonts w:hAnsi="宋体"/>
          <w:sz w:val="22"/>
          <w:szCs w:val="22"/>
        </w:rPr>
        <w:t>盖单位公章</w:t>
      </w:r>
      <w:r>
        <w:rPr>
          <w:rFonts w:hint="eastAsia" w:hAnsi="宋体"/>
          <w:sz w:val="22"/>
          <w:szCs w:val="22"/>
          <w:lang w:eastAsia="zh-CN"/>
        </w:rPr>
        <w:t>）</w:t>
      </w:r>
    </w:p>
    <w:p>
      <w:pPr>
        <w:spacing w:line="900" w:lineRule="exact"/>
        <w:ind w:firstLine="1513" w:firstLineChars="688"/>
        <w:rPr>
          <w:sz w:val="22"/>
          <w:szCs w:val="22"/>
        </w:rPr>
      </w:pPr>
      <w:r>
        <w:rPr>
          <w:rFonts w:hAnsi="宋体"/>
          <w:sz w:val="22"/>
          <w:szCs w:val="22"/>
        </w:rPr>
        <w:t>法定代表人：</w:t>
      </w:r>
      <w:r>
        <w:rPr>
          <w:sz w:val="22"/>
          <w:szCs w:val="22"/>
          <w:u w:val="single"/>
        </w:rPr>
        <w:t xml:space="preserve">                </w:t>
      </w:r>
      <w:r>
        <w:rPr>
          <w:sz w:val="22"/>
          <w:szCs w:val="22"/>
        </w:rPr>
        <w:t xml:space="preserve"> </w:t>
      </w:r>
      <w:r>
        <w:rPr>
          <w:rFonts w:hint="eastAsia"/>
          <w:sz w:val="22"/>
          <w:szCs w:val="22"/>
          <w:lang w:eastAsia="zh-CN"/>
        </w:rPr>
        <w:t>（</w:t>
      </w:r>
      <w:r>
        <w:rPr>
          <w:rFonts w:hint="eastAsia" w:hAnsi="宋体"/>
          <w:sz w:val="22"/>
          <w:szCs w:val="22"/>
        </w:rPr>
        <w:t>签字或加盖其个人电子印章/电子签名章</w:t>
      </w:r>
      <w:r>
        <w:rPr>
          <w:rFonts w:hint="eastAsia" w:hAnsi="宋体"/>
          <w:sz w:val="22"/>
          <w:szCs w:val="22"/>
          <w:lang w:eastAsia="zh-CN"/>
        </w:rPr>
        <w:t>）</w:t>
      </w:r>
    </w:p>
    <w:p>
      <w:pPr>
        <w:spacing w:line="900" w:lineRule="exact"/>
        <w:ind w:firstLine="1513" w:firstLineChars="688"/>
        <w:rPr>
          <w:sz w:val="22"/>
          <w:szCs w:val="22"/>
          <w:u w:val="single"/>
        </w:rPr>
      </w:pPr>
      <w:r>
        <w:rPr>
          <w:rFonts w:hAnsi="宋体"/>
          <w:sz w:val="22"/>
          <w:szCs w:val="22"/>
        </w:rPr>
        <w:t>身份证号码：</w:t>
      </w:r>
      <w:r>
        <w:rPr>
          <w:sz w:val="22"/>
          <w:szCs w:val="22"/>
          <w:u w:val="single"/>
        </w:rPr>
        <w:t xml:space="preserve">                               </w:t>
      </w:r>
    </w:p>
    <w:p>
      <w:pPr>
        <w:spacing w:line="900" w:lineRule="exact"/>
        <w:ind w:firstLine="1513" w:firstLineChars="688"/>
        <w:rPr>
          <w:sz w:val="22"/>
          <w:szCs w:val="22"/>
        </w:rPr>
      </w:pPr>
      <w:r>
        <w:rPr>
          <w:rFonts w:hAnsi="宋体"/>
          <w:sz w:val="22"/>
          <w:szCs w:val="22"/>
        </w:rPr>
        <w:t>授权委托代理人：</w:t>
      </w:r>
      <w:r>
        <w:rPr>
          <w:sz w:val="22"/>
          <w:szCs w:val="22"/>
          <w:u w:val="single"/>
        </w:rPr>
        <w:t xml:space="preserve">              </w:t>
      </w:r>
      <w:r>
        <w:rPr>
          <w:sz w:val="22"/>
          <w:szCs w:val="22"/>
        </w:rPr>
        <w:t xml:space="preserve"> </w:t>
      </w:r>
      <w:r>
        <w:rPr>
          <w:rFonts w:hint="eastAsia"/>
          <w:sz w:val="22"/>
          <w:szCs w:val="22"/>
          <w:lang w:eastAsia="zh-CN"/>
        </w:rPr>
        <w:t>（</w:t>
      </w:r>
      <w:r>
        <w:rPr>
          <w:rFonts w:hint="eastAsia" w:hAnsi="宋体"/>
          <w:sz w:val="22"/>
          <w:szCs w:val="22"/>
        </w:rPr>
        <w:t>签字或加盖其个人电子印章/电子签名章</w:t>
      </w:r>
      <w:r>
        <w:rPr>
          <w:rFonts w:hint="eastAsia" w:hAnsi="宋体"/>
          <w:sz w:val="22"/>
          <w:szCs w:val="22"/>
          <w:lang w:eastAsia="zh-CN"/>
        </w:rPr>
        <w:t>）</w:t>
      </w:r>
    </w:p>
    <w:p>
      <w:pPr>
        <w:spacing w:line="900" w:lineRule="exact"/>
        <w:ind w:firstLine="1513" w:firstLineChars="688"/>
        <w:rPr>
          <w:sz w:val="22"/>
          <w:szCs w:val="22"/>
        </w:rPr>
      </w:pPr>
      <w:r>
        <w:rPr>
          <w:rFonts w:hAnsi="宋体"/>
          <w:sz w:val="22"/>
          <w:szCs w:val="22"/>
        </w:rPr>
        <w:t>身份证号码：</w:t>
      </w:r>
      <w:r>
        <w:rPr>
          <w:sz w:val="22"/>
          <w:szCs w:val="22"/>
          <w:u w:val="single"/>
        </w:rPr>
        <w:t xml:space="preserve">                               </w:t>
      </w:r>
    </w:p>
    <w:p>
      <w:pPr>
        <w:spacing w:line="800" w:lineRule="exact"/>
        <w:jc w:val="right"/>
        <w:rPr>
          <w:rFonts w:hint="eastAsia"/>
          <w:sz w:val="22"/>
          <w:szCs w:val="22"/>
        </w:rPr>
      </w:pPr>
      <w:r>
        <w:rPr>
          <w:sz w:val="22"/>
          <w:szCs w:val="22"/>
        </w:rPr>
        <w:t xml:space="preserve"> </w:t>
      </w:r>
      <w:r>
        <w:rPr>
          <w:sz w:val="22"/>
          <w:szCs w:val="22"/>
          <w:u w:val="single"/>
        </w:rPr>
        <w:t xml:space="preserve">      </w:t>
      </w:r>
      <w:r>
        <w:rPr>
          <w:rFonts w:hAnsi="宋体"/>
          <w:sz w:val="22"/>
          <w:szCs w:val="22"/>
        </w:rPr>
        <w:t>年</w:t>
      </w:r>
      <w:r>
        <w:rPr>
          <w:sz w:val="22"/>
          <w:szCs w:val="22"/>
          <w:u w:val="single"/>
        </w:rPr>
        <w:t xml:space="preserve">    </w:t>
      </w:r>
      <w:r>
        <w:rPr>
          <w:rFonts w:hAnsi="宋体"/>
          <w:sz w:val="22"/>
          <w:szCs w:val="22"/>
        </w:rPr>
        <w:t>月</w:t>
      </w:r>
      <w:r>
        <w:rPr>
          <w:sz w:val="22"/>
          <w:szCs w:val="22"/>
          <w:u w:val="single"/>
        </w:rPr>
        <w:t xml:space="preserve">    </w:t>
      </w:r>
      <w:r>
        <w:rPr>
          <w:rFonts w:hAnsi="宋体"/>
          <w:sz w:val="22"/>
          <w:szCs w:val="22"/>
        </w:rPr>
        <w:t>日</w:t>
      </w:r>
      <w:bookmarkEnd w:id="478"/>
      <w:bookmarkEnd w:id="479"/>
      <w:bookmarkEnd w:id="480"/>
      <w:bookmarkEnd w:id="481"/>
      <w:bookmarkEnd w:id="482"/>
      <w:bookmarkStart w:id="483" w:name="_Toc460660225"/>
      <w:bookmarkStart w:id="484" w:name="_Toc460227110"/>
    </w:p>
    <w:p>
      <w:pPr>
        <w:pStyle w:val="4"/>
        <w:jc w:val="center"/>
      </w:pPr>
      <w:bookmarkStart w:id="485" w:name="_Toc460227114"/>
      <w:bookmarkStart w:id="486" w:name="_Toc460660229"/>
      <w:bookmarkStart w:id="487" w:name="_Toc535241086"/>
      <w:bookmarkStart w:id="488" w:name="_Toc535241132"/>
      <w:bookmarkStart w:id="489" w:name="_Toc535241229"/>
      <w:r>
        <w:rPr>
          <w:rFonts w:hint="eastAsia" w:ascii="Times New Roman" w:hAnsi="Times New Roman"/>
        </w:rPr>
        <w:t>三、投标保证金</w:t>
      </w:r>
      <w:bookmarkEnd w:id="485"/>
      <w:bookmarkEnd w:id="486"/>
    </w:p>
    <w:p>
      <w:pPr>
        <w:spacing w:line="440" w:lineRule="exact"/>
        <w:ind w:left="105" w:leftChars="50" w:right="105" w:rightChars="50" w:firstLine="440" w:firstLineChars="200"/>
        <w:jc w:val="left"/>
        <w:rPr>
          <w:rFonts w:hint="eastAsia"/>
          <w:sz w:val="22"/>
          <w:szCs w:val="28"/>
        </w:rPr>
      </w:pPr>
      <w:r>
        <w:rPr>
          <w:rFonts w:hint="eastAsia"/>
          <w:sz w:val="22"/>
          <w:szCs w:val="28"/>
        </w:rPr>
        <w:t>如采用前附表中第一</w:t>
      </w:r>
      <w:r>
        <w:rPr>
          <w:rFonts w:hint="eastAsia"/>
          <w:sz w:val="22"/>
          <w:szCs w:val="28"/>
          <w:lang w:eastAsia="zh-CN"/>
        </w:rPr>
        <w:t>类形式</w:t>
      </w:r>
      <w:r>
        <w:rPr>
          <w:rFonts w:hint="eastAsia"/>
          <w:sz w:val="22"/>
          <w:szCs w:val="28"/>
        </w:rPr>
        <w:t>的投标担保，投标人应在此提供银行回单的扫描件、基本账户开户许可证扫描件（或基本存款账户编号）。</w:t>
      </w:r>
    </w:p>
    <w:p>
      <w:pPr>
        <w:spacing w:line="440" w:lineRule="exact"/>
        <w:ind w:left="105" w:leftChars="50" w:right="105" w:rightChars="50" w:firstLine="440" w:firstLineChars="200"/>
        <w:jc w:val="left"/>
        <w:rPr>
          <w:rFonts w:hint="eastAsia"/>
          <w:sz w:val="22"/>
          <w:szCs w:val="28"/>
        </w:rPr>
      </w:pPr>
      <w:r>
        <w:rPr>
          <w:rFonts w:hint="eastAsia"/>
          <w:sz w:val="22"/>
          <w:szCs w:val="28"/>
        </w:rPr>
        <w:t>如采用前附表中第二</w:t>
      </w:r>
      <w:r>
        <w:rPr>
          <w:rFonts w:hint="eastAsia"/>
          <w:sz w:val="22"/>
          <w:szCs w:val="28"/>
          <w:lang w:eastAsia="zh-CN"/>
        </w:rPr>
        <w:t>类型</w:t>
      </w:r>
      <w:r>
        <w:rPr>
          <w:rFonts w:hint="eastAsia"/>
          <w:sz w:val="22"/>
          <w:szCs w:val="28"/>
        </w:rPr>
        <w:t>式的银行保函，投标人应在此提供基本账户开户许可证扫描件，</w:t>
      </w:r>
      <w:r>
        <w:rPr>
          <w:rFonts w:hint="eastAsia"/>
          <w:sz w:val="22"/>
          <w:szCs w:val="28"/>
          <w:lang w:eastAsia="zh-CN"/>
        </w:rPr>
        <w:t>同时</w:t>
      </w:r>
    </w:p>
    <w:p>
      <w:pPr>
        <w:spacing w:line="440" w:lineRule="exact"/>
        <w:ind w:right="105" w:rightChars="50"/>
        <w:jc w:val="left"/>
        <w:rPr>
          <w:rFonts w:hint="eastAsia"/>
          <w:sz w:val="22"/>
          <w:szCs w:val="28"/>
        </w:rPr>
      </w:pPr>
      <w:r>
        <w:rPr>
          <w:rFonts w:hint="eastAsia"/>
          <w:sz w:val="22"/>
          <w:szCs w:val="28"/>
        </w:rPr>
        <w:t xml:space="preserve">时将银行保函扫描件提供在投标文件中，格式见投标保函示范文本。 </w:t>
      </w:r>
    </w:p>
    <w:p>
      <w:pPr>
        <w:spacing w:line="440" w:lineRule="exact"/>
        <w:ind w:left="105" w:leftChars="50" w:right="105" w:rightChars="50" w:firstLine="440" w:firstLineChars="200"/>
        <w:jc w:val="left"/>
        <w:rPr>
          <w:rFonts w:hint="eastAsia"/>
          <w:sz w:val="22"/>
          <w:szCs w:val="28"/>
        </w:rPr>
      </w:pPr>
      <w:r>
        <w:rPr>
          <w:rFonts w:hint="eastAsia"/>
          <w:sz w:val="22"/>
          <w:szCs w:val="28"/>
        </w:rPr>
        <w:t>如采用前附表中第二</w:t>
      </w:r>
      <w:r>
        <w:rPr>
          <w:rFonts w:hint="eastAsia"/>
          <w:sz w:val="22"/>
          <w:szCs w:val="28"/>
          <w:lang w:eastAsia="zh-CN"/>
        </w:rPr>
        <w:t>类型</w:t>
      </w:r>
      <w:r>
        <w:rPr>
          <w:rFonts w:hint="eastAsia"/>
          <w:sz w:val="22"/>
          <w:szCs w:val="28"/>
        </w:rPr>
        <w:t>式的担保机构担保或保证保险，担保机构担保或保证保险扫描件提</w:t>
      </w:r>
    </w:p>
    <w:p>
      <w:pPr>
        <w:spacing w:line="440" w:lineRule="exact"/>
        <w:ind w:right="105" w:rightChars="50"/>
        <w:jc w:val="left"/>
        <w:rPr>
          <w:rFonts w:hint="eastAsia"/>
          <w:sz w:val="22"/>
          <w:szCs w:val="28"/>
        </w:rPr>
      </w:pPr>
      <w:r>
        <w:rPr>
          <w:rFonts w:hint="eastAsia"/>
          <w:sz w:val="22"/>
          <w:szCs w:val="28"/>
        </w:rPr>
        <w:t xml:space="preserve">供在投标文件中，格式见投标保函示范文本。 </w:t>
      </w:r>
    </w:p>
    <w:p>
      <w:pPr>
        <w:spacing w:line="440" w:lineRule="exact"/>
        <w:ind w:left="105" w:leftChars="50" w:right="105" w:rightChars="50" w:firstLine="440" w:firstLineChars="200"/>
        <w:jc w:val="left"/>
        <w:rPr>
          <w:rFonts w:hint="eastAsia"/>
          <w:sz w:val="22"/>
          <w:szCs w:val="28"/>
        </w:rPr>
      </w:pPr>
      <w:r>
        <w:rPr>
          <w:rFonts w:hint="eastAsia"/>
          <w:sz w:val="22"/>
          <w:szCs w:val="28"/>
        </w:rPr>
        <w:t>如采用前附表中第三类电子保函形式，系统自动抓取电子保函信息，投标文件无需提供。</w:t>
      </w:r>
    </w:p>
    <w:p>
      <w:pPr>
        <w:widowControl/>
        <w:jc w:val="center"/>
        <w:rPr>
          <w:rFonts w:hint="eastAsia" w:ascii="宋体" w:hAnsi="宋体" w:cs="宋体"/>
          <w:b/>
          <w:bCs/>
          <w:color w:val="000000"/>
          <w:kern w:val="0"/>
          <w:szCs w:val="21"/>
        </w:rPr>
      </w:pPr>
    </w:p>
    <w:p>
      <w:pPr>
        <w:widowControl/>
        <w:jc w:val="center"/>
        <w:rPr>
          <w:rFonts w:hint="eastAsia" w:ascii="宋体" w:hAnsi="宋体" w:cs="宋体"/>
          <w:b/>
          <w:bCs/>
          <w:color w:val="000000"/>
          <w:kern w:val="0"/>
          <w:szCs w:val="21"/>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widowControl/>
        <w:jc w:val="center"/>
      </w:pPr>
      <w:r>
        <w:rPr>
          <w:rFonts w:hint="eastAsia" w:ascii="宋体" w:hAnsi="宋体" w:cs="宋体"/>
          <w:b/>
          <w:bCs/>
          <w:color w:val="000000"/>
          <w:kern w:val="0"/>
          <w:szCs w:val="21"/>
        </w:rPr>
        <w:t>投标保函示范文本</w:t>
      </w:r>
    </w:p>
    <w:p>
      <w:pPr>
        <w:widowControl/>
        <w:jc w:val="right"/>
      </w:pPr>
      <w:r>
        <w:rPr>
          <w:rFonts w:hint="eastAsia" w:ascii="宋体" w:hAnsi="宋体" w:cs="宋体"/>
          <w:color w:val="000000"/>
          <w:kern w:val="0"/>
          <w:szCs w:val="21"/>
        </w:rPr>
        <w:t xml:space="preserve">编号： </w:t>
      </w:r>
    </w:p>
    <w:p>
      <w:pPr>
        <w:spacing w:line="440" w:lineRule="exact"/>
        <w:ind w:left="105" w:leftChars="50" w:right="105" w:rightChars="50" w:firstLine="55" w:firstLineChars="25"/>
        <w:jc w:val="left"/>
        <w:rPr>
          <w:snapToGrid w:val="0"/>
          <w:kern w:val="0"/>
          <w:sz w:val="22"/>
          <w:szCs w:val="22"/>
        </w:rPr>
      </w:pPr>
      <w:r>
        <w:rPr>
          <w:rFonts w:hint="eastAsia" w:eastAsia="黑体"/>
          <w:snapToGrid w:val="0"/>
          <w:color w:val="000000"/>
          <w:kern w:val="0"/>
          <w:sz w:val="22"/>
          <w:szCs w:val="22"/>
          <w:u w:val="single"/>
        </w:rPr>
        <w:t xml:space="preserve">           </w:t>
      </w:r>
      <w:r>
        <w:rPr>
          <w:snapToGrid w:val="0"/>
          <w:color w:val="000000"/>
          <w:kern w:val="0"/>
          <w:sz w:val="22"/>
          <w:szCs w:val="22"/>
        </w:rPr>
        <w:t>（招标人名称）：</w:t>
      </w:r>
    </w:p>
    <w:p>
      <w:pPr>
        <w:spacing w:line="440" w:lineRule="exact"/>
        <w:ind w:left="105" w:leftChars="50" w:right="105" w:rightChars="50" w:firstLine="55" w:firstLineChars="25"/>
        <w:jc w:val="left"/>
        <w:rPr>
          <w:snapToGrid w:val="0"/>
          <w:kern w:val="0"/>
          <w:sz w:val="22"/>
          <w:szCs w:val="22"/>
        </w:rPr>
      </w:pPr>
    </w:p>
    <w:p>
      <w:pPr>
        <w:spacing w:line="440" w:lineRule="exact"/>
        <w:ind w:left="105" w:leftChars="50" w:right="105" w:rightChars="50" w:firstLine="440" w:firstLineChars="200"/>
        <w:jc w:val="left"/>
        <w:rPr>
          <w:rFonts w:hint="eastAsia"/>
          <w:sz w:val="22"/>
          <w:szCs w:val="22"/>
        </w:rPr>
      </w:pPr>
      <w:r>
        <w:rPr>
          <w:rFonts w:hint="eastAsia"/>
          <w:sz w:val="22"/>
          <w:szCs w:val="22"/>
        </w:rPr>
        <w:t>开立人获得通知，</w:t>
      </w:r>
      <w:r>
        <w:rPr>
          <w:rFonts w:hint="eastAsia"/>
          <w:sz w:val="22"/>
          <w:szCs w:val="22"/>
          <w:u w:val="single"/>
        </w:rPr>
        <w:t xml:space="preserve">      </w:t>
      </w:r>
      <w:r>
        <w:rPr>
          <w:rFonts w:hint="eastAsia"/>
          <w:sz w:val="22"/>
          <w:szCs w:val="22"/>
        </w:rPr>
        <w:t>（投标人）于</w:t>
      </w:r>
      <w:r>
        <w:rPr>
          <w:rFonts w:hint="eastAsia"/>
          <w:sz w:val="22"/>
          <w:szCs w:val="22"/>
          <w:u w:val="single"/>
        </w:rPr>
        <w:t xml:space="preserve">    </w:t>
      </w:r>
      <w:r>
        <w:rPr>
          <w:rFonts w:hint="eastAsia"/>
          <w:sz w:val="22"/>
          <w:szCs w:val="22"/>
        </w:rPr>
        <w:t xml:space="preserve">年 </w:t>
      </w:r>
      <w:r>
        <w:rPr>
          <w:rFonts w:hint="eastAsia"/>
          <w:sz w:val="22"/>
          <w:szCs w:val="22"/>
          <w:u w:val="single"/>
        </w:rPr>
        <w:t xml:space="preserve">  </w:t>
      </w:r>
      <w:r>
        <w:rPr>
          <w:rFonts w:hint="eastAsia"/>
          <w:sz w:val="22"/>
          <w:szCs w:val="22"/>
        </w:rPr>
        <w:t xml:space="preserve"> 月 </w:t>
      </w:r>
      <w:r>
        <w:rPr>
          <w:rFonts w:hint="eastAsia"/>
          <w:sz w:val="22"/>
          <w:szCs w:val="22"/>
          <w:u w:val="single"/>
        </w:rPr>
        <w:t xml:space="preserve">  </w:t>
      </w:r>
      <w:r>
        <w:rPr>
          <w:rFonts w:hint="eastAsia"/>
          <w:sz w:val="22"/>
          <w:szCs w:val="22"/>
        </w:rPr>
        <w:t xml:space="preserve"> 日参加编号为</w:t>
      </w:r>
      <w:r>
        <w:rPr>
          <w:rFonts w:hint="eastAsia"/>
          <w:sz w:val="22"/>
          <w:szCs w:val="22"/>
          <w:u w:val="single"/>
        </w:rPr>
        <w:t xml:space="preserve">          </w:t>
      </w:r>
      <w:r>
        <w:rPr>
          <w:rFonts w:hint="eastAsia"/>
          <w:sz w:val="22"/>
          <w:szCs w:val="22"/>
        </w:rPr>
        <w:t>的安徽省第二人民医院专科医疗及科教功能区建设项目楼层配电箱采购项目投标（即“基础交易”）。</w:t>
      </w:r>
    </w:p>
    <w:p>
      <w:pPr>
        <w:spacing w:line="440" w:lineRule="exact"/>
        <w:ind w:left="105" w:leftChars="50" w:right="105" w:rightChars="50" w:firstLine="440" w:firstLineChars="200"/>
        <w:jc w:val="left"/>
        <w:rPr>
          <w:rFonts w:hint="eastAsia"/>
          <w:sz w:val="22"/>
          <w:szCs w:val="22"/>
        </w:rPr>
      </w:pPr>
      <w:r>
        <w:rPr>
          <w:rFonts w:hint="eastAsia"/>
          <w:sz w:val="22"/>
          <w:szCs w:val="22"/>
        </w:rPr>
        <w:t>一、开立人理解根据招标条件，投标人必须提交一份投标保函（以下简称“本保函”），以担</w:t>
      </w:r>
    </w:p>
    <w:p>
      <w:pPr>
        <w:spacing w:line="440" w:lineRule="exact"/>
        <w:ind w:left="105" w:leftChars="50" w:right="105" w:rightChars="50" w:firstLine="440" w:firstLineChars="200"/>
        <w:jc w:val="left"/>
        <w:rPr>
          <w:rFonts w:hint="eastAsia"/>
          <w:sz w:val="22"/>
          <w:szCs w:val="22"/>
        </w:rPr>
      </w:pPr>
      <w:r>
        <w:rPr>
          <w:rFonts w:hint="eastAsia"/>
          <w:sz w:val="22"/>
          <w:szCs w:val="22"/>
          <w:lang w:eastAsia="zh-CN"/>
        </w:rPr>
        <w:t>保证</w:t>
      </w:r>
      <w:r>
        <w:rPr>
          <w:rFonts w:hint="eastAsia"/>
          <w:sz w:val="22"/>
          <w:szCs w:val="22"/>
        </w:rPr>
        <w:t>投标人诚信履行其在上述基础交易中承担</w:t>
      </w:r>
      <w:r>
        <w:rPr>
          <w:rFonts w:hint="eastAsia"/>
          <w:snapToGrid w:val="0"/>
          <w:color w:val="000000"/>
          <w:kern w:val="0"/>
          <w:sz w:val="22"/>
          <w:szCs w:val="22"/>
        </w:rPr>
        <w:t>的投标人义务。</w:t>
      </w:r>
      <w:r>
        <w:rPr>
          <w:rFonts w:hint="eastAsia"/>
          <w:snapToGrid w:val="0"/>
          <w:color w:val="000000"/>
          <w:kern w:val="0"/>
          <w:sz w:val="22"/>
          <w:szCs w:val="22"/>
          <w:lang w:eastAsia="zh-CN"/>
        </w:rPr>
        <w:t>鉴（之）于此</w:t>
      </w:r>
      <w:r>
        <w:rPr>
          <w:rFonts w:hint="eastAsia"/>
          <w:sz w:val="22"/>
          <w:szCs w:val="22"/>
        </w:rPr>
        <w:t>，应申请人要求，开立人在此同意向受益人出具此投标保函，本保函担保金额为人民币（大写）</w:t>
      </w:r>
      <w:r>
        <w:rPr>
          <w:rFonts w:hint="eastAsia"/>
          <w:sz w:val="22"/>
          <w:szCs w:val="22"/>
          <w:u w:val="single"/>
        </w:rPr>
        <w:t xml:space="preserve">    </w:t>
      </w:r>
      <w:r>
        <w:rPr>
          <w:rFonts w:hint="eastAsia"/>
          <w:sz w:val="22"/>
          <w:szCs w:val="22"/>
        </w:rPr>
        <w:t>元（¥</w:t>
      </w:r>
      <w:r>
        <w:rPr>
          <w:rFonts w:hint="eastAsia"/>
          <w:sz w:val="22"/>
          <w:szCs w:val="22"/>
          <w:u w:val="single"/>
        </w:rPr>
        <w:t xml:space="preserve">      </w:t>
      </w:r>
      <w:r>
        <w:rPr>
          <w:rFonts w:hint="eastAsia"/>
          <w:sz w:val="22"/>
          <w:szCs w:val="22"/>
        </w:rPr>
        <w:t>）。</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二、开立人在投标人发生以下情形时承担保证担保责任：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（1）投标人在投标有效期内撤销投标文件；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（2）投标人在中标后无正当理由不与招标人订立合同；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（3）投标人在签订合同时向招标人提出附加条件；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（4）投标人不按照招标文件要求提交履约保证金；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（5）发生招标文件明确规定可以不予退还投标保证金的其他情形。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三、本保函为不可撤销、不可转让的见索即付独立保函。本保函有效期自开立之日起至投标有效期届满之日止。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四、开立人承诺，在收到受益人发来的书面付款通知后的七日内无条件支付，前述书面付款通知即为付款要求之单据，且应满足以下要求：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（1）付款通知到达的日期在本保函的有效期内；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（2）载明要求支付的金额；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（3）载明申请人违反招投标文件规定的义务内容和具体条款；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（4）声明不存在招标文件规定或我国法律规定免除申请人或我方支付责任的情形； </w:t>
      </w:r>
    </w:p>
    <w:p>
      <w:pPr>
        <w:spacing w:line="440" w:lineRule="exact"/>
        <w:ind w:left="105" w:leftChars="50" w:right="105" w:rightChars="50" w:firstLine="440" w:firstLineChars="200"/>
        <w:jc w:val="left"/>
        <w:rPr>
          <w:rFonts w:hint="eastAsia"/>
          <w:sz w:val="22"/>
          <w:szCs w:val="22"/>
        </w:rPr>
      </w:pPr>
      <w:r>
        <w:rPr>
          <w:rFonts w:hint="eastAsia"/>
          <w:sz w:val="22"/>
          <w:szCs w:val="22"/>
        </w:rPr>
        <w:t>（5）书面付款通知应在本保函有效期内到达的地址是：</w:t>
      </w:r>
      <w:r>
        <w:rPr>
          <w:rFonts w:hint="eastAsia"/>
          <w:sz w:val="22"/>
          <w:szCs w:val="22"/>
          <w:u w:val="single"/>
        </w:rPr>
        <w:t xml:space="preserve">               </w:t>
      </w:r>
      <w:r>
        <w:rPr>
          <w:rFonts w:hint="eastAsia"/>
          <w:sz w:val="22"/>
          <w:szCs w:val="22"/>
        </w:rPr>
        <w:t xml:space="preserve">。 </w:t>
      </w:r>
    </w:p>
    <w:p>
      <w:pPr>
        <w:spacing w:line="440" w:lineRule="exact"/>
        <w:ind w:left="105" w:leftChars="50" w:right="105" w:rightChars="50" w:firstLine="440" w:firstLineChars="200"/>
        <w:jc w:val="left"/>
        <w:rPr>
          <w:rFonts w:hint="eastAsia"/>
          <w:sz w:val="22"/>
          <w:szCs w:val="22"/>
        </w:rPr>
      </w:pPr>
      <w:r>
        <w:rPr>
          <w:rFonts w:hint="eastAsia"/>
          <w:sz w:val="22"/>
          <w:szCs w:val="22"/>
        </w:rPr>
        <w:t>受益人发出的书面付款通知应由其法定代表人（负责人）或授权代理人签字并加盖公章。</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五、本保函项下的权利不得转让，不得设定担保。受益人未经开立人书面同意转让本保函或其项下任何权利，对开立人不发生法律效力。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六、本保函项下的基础交易不成立、不生效、无效、被撤销、被解除，不影响本保函的独立有效。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七、本保函项下的义务和责任均在保函有效期到期后自动消灭。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八、本保函适用的法律为中华人民共和国法律，因本保函产生的纠纷案件，由受益人所在地人民法院管辖。 </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九、本保函自我方法定代表人或授权代表签字并加盖公章之日起生效。 </w:t>
      </w:r>
    </w:p>
    <w:p>
      <w:pPr>
        <w:spacing w:line="440" w:lineRule="exact"/>
        <w:ind w:left="105" w:leftChars="50" w:right="105" w:rightChars="50" w:firstLine="440" w:firstLineChars="200"/>
        <w:jc w:val="left"/>
        <w:rPr>
          <w:rFonts w:hint="eastAsia"/>
          <w:sz w:val="22"/>
          <w:szCs w:val="22"/>
        </w:rPr>
      </w:pPr>
    </w:p>
    <w:p>
      <w:pPr>
        <w:tabs>
          <w:tab w:val="left" w:pos="8664"/>
        </w:tabs>
        <w:spacing w:line="440" w:lineRule="exact"/>
        <w:ind w:left="105" w:leftChars="50" w:right="105" w:rightChars="50" w:firstLine="2208" w:firstLineChars="1004"/>
        <w:jc w:val="left"/>
        <w:rPr>
          <w:snapToGrid w:val="0"/>
          <w:kern w:val="0"/>
          <w:sz w:val="22"/>
          <w:szCs w:val="22"/>
        </w:rPr>
      </w:pPr>
      <w:r>
        <w:rPr>
          <w:snapToGrid w:val="0"/>
          <w:color w:val="000000"/>
          <w:kern w:val="0"/>
          <w:sz w:val="22"/>
          <w:szCs w:val="22"/>
        </w:rPr>
        <w:t>担保人名称：</w:t>
      </w:r>
      <w:r>
        <w:rPr>
          <w:rFonts w:hint="eastAsia" w:eastAsia="黑体"/>
          <w:snapToGrid w:val="0"/>
          <w:color w:val="000000"/>
          <w:kern w:val="0"/>
          <w:sz w:val="22"/>
          <w:szCs w:val="22"/>
          <w:u w:val="single"/>
        </w:rPr>
        <w:t xml:space="preserve">                                        </w:t>
      </w:r>
      <w:r>
        <w:rPr>
          <w:snapToGrid w:val="0"/>
          <w:color w:val="000000"/>
          <w:kern w:val="0"/>
          <w:sz w:val="22"/>
          <w:szCs w:val="22"/>
        </w:rPr>
        <w:t>（盖单位章）</w:t>
      </w:r>
    </w:p>
    <w:p>
      <w:pPr>
        <w:tabs>
          <w:tab w:val="left" w:pos="9144"/>
        </w:tabs>
        <w:spacing w:line="440" w:lineRule="exact"/>
        <w:ind w:left="105" w:leftChars="50" w:right="105" w:rightChars="50" w:firstLine="2208" w:firstLineChars="1004"/>
        <w:jc w:val="left"/>
        <w:rPr>
          <w:snapToGrid w:val="0"/>
          <w:color w:val="000000"/>
          <w:kern w:val="0"/>
          <w:sz w:val="22"/>
          <w:szCs w:val="22"/>
        </w:rPr>
      </w:pPr>
      <w:r>
        <w:rPr>
          <w:snapToGrid w:val="0"/>
          <w:color w:val="000000"/>
          <w:kern w:val="0"/>
          <w:sz w:val="22"/>
          <w:szCs w:val="22"/>
        </w:rPr>
        <w:t>法定代表人</w:t>
      </w:r>
      <w:r>
        <w:rPr>
          <w:rFonts w:hint="eastAsia"/>
          <w:snapToGrid w:val="0"/>
          <w:color w:val="000000"/>
          <w:kern w:val="0"/>
          <w:sz w:val="22"/>
          <w:szCs w:val="22"/>
        </w:rPr>
        <w:t>（单位负责人）</w:t>
      </w:r>
      <w:r>
        <w:rPr>
          <w:rFonts w:hint="eastAsia" w:eastAsia="黑体"/>
          <w:snapToGrid w:val="0"/>
          <w:color w:val="000000"/>
          <w:kern w:val="0"/>
          <w:sz w:val="22"/>
          <w:szCs w:val="22"/>
          <w:u w:val="single"/>
        </w:rPr>
        <w:t xml:space="preserve">   </w:t>
      </w:r>
      <w:r>
        <w:rPr>
          <w:snapToGrid w:val="0"/>
          <w:color w:val="000000"/>
          <w:kern w:val="0"/>
          <w:sz w:val="22"/>
          <w:szCs w:val="22"/>
        </w:rPr>
        <w:t>（</w:t>
      </w:r>
      <w:r>
        <w:rPr>
          <w:rFonts w:hint="eastAsia"/>
          <w:snapToGrid w:val="0"/>
          <w:color w:val="000000"/>
          <w:kern w:val="0"/>
          <w:sz w:val="22"/>
          <w:szCs w:val="22"/>
        </w:rPr>
        <w:t>签字或加盖其个人电子印章/电子签名章</w:t>
      </w:r>
      <w:r>
        <w:rPr>
          <w:snapToGrid w:val="0"/>
          <w:color w:val="000000"/>
          <w:kern w:val="0"/>
          <w:sz w:val="22"/>
          <w:szCs w:val="22"/>
        </w:rPr>
        <w:t>）</w:t>
      </w:r>
    </w:p>
    <w:p>
      <w:pPr>
        <w:tabs>
          <w:tab w:val="left" w:pos="4344"/>
        </w:tabs>
        <w:spacing w:line="440" w:lineRule="exact"/>
        <w:ind w:left="105" w:leftChars="50" w:right="105" w:rightChars="50" w:firstLine="2208" w:firstLineChars="1004"/>
        <w:jc w:val="left"/>
        <w:rPr>
          <w:snapToGrid w:val="0"/>
          <w:kern w:val="0"/>
          <w:sz w:val="22"/>
          <w:szCs w:val="22"/>
          <w:u w:val="single"/>
        </w:rPr>
      </w:pPr>
      <w:r>
        <w:rPr>
          <w:snapToGrid w:val="0"/>
          <w:color w:val="000000"/>
          <w:kern w:val="0"/>
          <w:sz w:val="22"/>
          <w:szCs w:val="22"/>
        </w:rPr>
        <w:t>地址：</w:t>
      </w:r>
      <w:r>
        <w:rPr>
          <w:rFonts w:hint="eastAsia" w:eastAsia="黑体"/>
          <w:snapToGrid w:val="0"/>
          <w:color w:val="000000"/>
          <w:kern w:val="0"/>
          <w:sz w:val="22"/>
          <w:szCs w:val="22"/>
          <w:u w:val="single"/>
        </w:rPr>
        <w:t xml:space="preserve">                                          </w:t>
      </w:r>
    </w:p>
    <w:p>
      <w:pPr>
        <w:spacing w:line="440" w:lineRule="exact"/>
        <w:ind w:left="105" w:leftChars="50" w:right="105" w:rightChars="50" w:firstLine="2208" w:firstLineChars="1004"/>
        <w:jc w:val="left"/>
        <w:rPr>
          <w:snapToGrid w:val="0"/>
          <w:color w:val="000000"/>
          <w:kern w:val="0"/>
          <w:sz w:val="22"/>
          <w:szCs w:val="22"/>
          <w:u w:val="single"/>
        </w:rPr>
      </w:pPr>
      <w:r>
        <w:rPr>
          <w:snapToGrid w:val="0"/>
          <w:color w:val="000000"/>
          <w:kern w:val="0"/>
          <w:sz w:val="22"/>
          <w:szCs w:val="22"/>
        </w:rPr>
        <w:t>邮政编码：</w:t>
      </w:r>
      <w:r>
        <w:rPr>
          <w:rFonts w:hint="eastAsia" w:eastAsia="黑体"/>
          <w:snapToGrid w:val="0"/>
          <w:color w:val="000000"/>
          <w:kern w:val="0"/>
          <w:sz w:val="22"/>
          <w:szCs w:val="22"/>
          <w:u w:val="single"/>
        </w:rPr>
        <w:t xml:space="preserve">                                     </w:t>
      </w:r>
    </w:p>
    <w:p>
      <w:pPr>
        <w:spacing w:line="440" w:lineRule="exact"/>
        <w:ind w:left="105" w:leftChars="50" w:right="105" w:rightChars="50" w:firstLine="2208" w:firstLineChars="1004"/>
        <w:jc w:val="left"/>
        <w:rPr>
          <w:snapToGrid w:val="0"/>
          <w:kern w:val="0"/>
          <w:sz w:val="22"/>
          <w:szCs w:val="22"/>
          <w:u w:val="single"/>
        </w:rPr>
      </w:pPr>
      <w:r>
        <w:rPr>
          <w:snapToGrid w:val="0"/>
          <w:color w:val="000000"/>
          <w:kern w:val="0"/>
          <w:sz w:val="22"/>
          <w:szCs w:val="22"/>
        </w:rPr>
        <w:t>电话：</w:t>
      </w:r>
      <w:r>
        <w:rPr>
          <w:rFonts w:hint="eastAsia" w:eastAsia="黑体"/>
          <w:snapToGrid w:val="0"/>
          <w:color w:val="000000"/>
          <w:kern w:val="0"/>
          <w:sz w:val="22"/>
          <w:szCs w:val="22"/>
          <w:u w:val="single"/>
        </w:rPr>
        <w:t xml:space="preserve">                                        </w:t>
      </w:r>
    </w:p>
    <w:p>
      <w:pPr>
        <w:tabs>
          <w:tab w:val="left" w:pos="4344"/>
        </w:tabs>
        <w:spacing w:line="440" w:lineRule="exact"/>
        <w:ind w:left="105" w:leftChars="50" w:right="105" w:rightChars="50" w:firstLine="2208" w:firstLineChars="1004"/>
        <w:jc w:val="left"/>
        <w:rPr>
          <w:snapToGrid w:val="0"/>
          <w:color w:val="000000"/>
          <w:kern w:val="0"/>
          <w:sz w:val="22"/>
          <w:szCs w:val="22"/>
          <w:u w:val="single"/>
        </w:rPr>
      </w:pPr>
      <w:r>
        <w:rPr>
          <w:snapToGrid w:val="0"/>
          <w:color w:val="000000"/>
          <w:kern w:val="0"/>
          <w:sz w:val="22"/>
          <w:szCs w:val="22"/>
        </w:rPr>
        <w:t>传真：</w:t>
      </w:r>
      <w:r>
        <w:rPr>
          <w:rFonts w:hint="eastAsia" w:eastAsia="黑体"/>
          <w:snapToGrid w:val="0"/>
          <w:color w:val="000000"/>
          <w:kern w:val="0"/>
          <w:sz w:val="22"/>
          <w:szCs w:val="22"/>
          <w:u w:val="single"/>
        </w:rPr>
        <w:t xml:space="preserve">                                         </w:t>
      </w:r>
    </w:p>
    <w:p>
      <w:pPr>
        <w:tabs>
          <w:tab w:val="left" w:pos="4344"/>
        </w:tabs>
        <w:spacing w:line="440" w:lineRule="exact"/>
        <w:ind w:left="105" w:leftChars="50" w:right="105" w:rightChars="50" w:firstLine="2208" w:firstLineChars="1004"/>
        <w:jc w:val="left"/>
        <w:rPr>
          <w:snapToGrid w:val="0"/>
          <w:kern w:val="0"/>
          <w:sz w:val="22"/>
          <w:szCs w:val="22"/>
          <w:u w:val="single"/>
        </w:rPr>
      </w:pPr>
    </w:p>
    <w:p>
      <w:pPr>
        <w:tabs>
          <w:tab w:val="left" w:pos="8422"/>
          <w:tab w:val="left" w:pos="9622"/>
        </w:tabs>
        <w:spacing w:line="320" w:lineRule="exact"/>
        <w:ind w:left="105" w:leftChars="50" w:right="105" w:rightChars="50" w:firstLine="2208" w:firstLineChars="1004"/>
        <w:jc w:val="right"/>
        <w:rPr>
          <w:rFonts w:hint="eastAsia"/>
          <w:snapToGrid w:val="0"/>
          <w:color w:val="000000"/>
          <w:kern w:val="0"/>
          <w:sz w:val="22"/>
          <w:szCs w:val="22"/>
        </w:rPr>
      </w:pPr>
      <w:r>
        <w:rPr>
          <w:rFonts w:hint="eastAsia" w:eastAsia="黑体"/>
          <w:snapToGrid w:val="0"/>
          <w:color w:val="000000"/>
          <w:kern w:val="0"/>
          <w:sz w:val="22"/>
          <w:szCs w:val="22"/>
          <w:u w:val="single"/>
        </w:rPr>
        <w:t xml:space="preserve">     </w:t>
      </w:r>
      <w:r>
        <w:rPr>
          <w:snapToGrid w:val="0"/>
          <w:color w:val="000000"/>
          <w:kern w:val="0"/>
          <w:sz w:val="22"/>
          <w:szCs w:val="22"/>
        </w:rPr>
        <w:t>年</w:t>
      </w:r>
      <w:r>
        <w:rPr>
          <w:rFonts w:hint="eastAsia" w:eastAsia="黑体"/>
          <w:snapToGrid w:val="0"/>
          <w:color w:val="000000"/>
          <w:kern w:val="0"/>
          <w:sz w:val="22"/>
          <w:szCs w:val="22"/>
          <w:u w:val="single"/>
        </w:rPr>
        <w:t xml:space="preserve">    </w:t>
      </w:r>
      <w:r>
        <w:rPr>
          <w:snapToGrid w:val="0"/>
          <w:color w:val="000000"/>
          <w:kern w:val="0"/>
          <w:sz w:val="22"/>
          <w:szCs w:val="22"/>
        </w:rPr>
        <w:t>月</w:t>
      </w:r>
      <w:r>
        <w:rPr>
          <w:rFonts w:hint="eastAsia" w:eastAsia="黑体"/>
          <w:snapToGrid w:val="0"/>
          <w:color w:val="000000"/>
          <w:kern w:val="0"/>
          <w:sz w:val="22"/>
          <w:szCs w:val="22"/>
          <w:u w:val="single"/>
        </w:rPr>
        <w:t xml:space="preserve">    </w:t>
      </w:r>
      <w:r>
        <w:rPr>
          <w:snapToGrid w:val="0"/>
          <w:color w:val="000000"/>
          <w:kern w:val="0"/>
          <w:sz w:val="22"/>
          <w:szCs w:val="22"/>
        </w:rPr>
        <w:t>日</w:t>
      </w:r>
    </w:p>
    <w:p>
      <w:pPr>
        <w:spacing w:line="440" w:lineRule="exact"/>
        <w:ind w:left="105" w:leftChars="50" w:right="105" w:rightChars="50" w:firstLine="440" w:firstLineChars="200"/>
        <w:jc w:val="left"/>
        <w:rPr>
          <w:rFonts w:hint="eastAsia"/>
          <w:sz w:val="22"/>
          <w:szCs w:val="22"/>
        </w:rPr>
      </w:pPr>
      <w:r>
        <w:rPr>
          <w:rFonts w:hint="eastAsia"/>
          <w:sz w:val="22"/>
          <w:szCs w:val="22"/>
        </w:rPr>
        <w:t xml:space="preserve">注：1、允许投标人实际开具的银行保函或担保机构或保证保险机构出具的担保的格式与本文件提供的格式有所不同，但不得更改本文件提供的银行保函或担保格式中的实质性内容。 </w:t>
      </w:r>
    </w:p>
    <w:p>
      <w:pPr>
        <w:spacing w:line="440" w:lineRule="exact"/>
        <w:ind w:left="105" w:leftChars="50" w:right="105" w:rightChars="50" w:firstLine="440" w:firstLineChars="200"/>
        <w:jc w:val="left"/>
        <w:rPr>
          <w:rFonts w:hint="eastAsia"/>
          <w:sz w:val="22"/>
          <w:szCs w:val="22"/>
        </w:rPr>
      </w:pPr>
      <w:r>
        <w:rPr>
          <w:rFonts w:hint="eastAsia"/>
          <w:sz w:val="22"/>
          <w:szCs w:val="22"/>
        </w:rPr>
        <w:t>2、投标人开具的银行保函（或担保机构担保或保证保险）必须具有明确有效的查询途径（二维码；或网址链接及查询方式）。</w:t>
      </w:r>
    </w:p>
    <w:p>
      <w:pPr>
        <w:pStyle w:val="4"/>
        <w:jc w:val="center"/>
        <w:rPr>
          <w:rFonts w:hint="eastAsia" w:ascii="Times New Roman" w:hAnsi="Times New Roman"/>
          <w:snapToGrid w:val="0"/>
          <w:color w:val="000000"/>
          <w:kern w:val="0"/>
        </w:rPr>
      </w:pPr>
      <w:r>
        <w:rPr>
          <w:rFonts w:ascii="Times New Roman" w:hAnsi="Times New Roman"/>
          <w:snapToGrid w:val="0"/>
          <w:color w:val="000000"/>
          <w:kern w:val="0"/>
        </w:rPr>
        <w:br w:type="page"/>
      </w:r>
      <w:r>
        <w:rPr>
          <w:rFonts w:hint="eastAsia" w:ascii="Times New Roman" w:hAnsi="Times New Roman"/>
          <w:bCs w:val="0"/>
        </w:rPr>
        <w:t>四、商务和</w:t>
      </w:r>
      <w:r>
        <w:rPr>
          <w:rFonts w:ascii="Times New Roman" w:hAnsi="Times New Roman"/>
          <w:bCs w:val="0"/>
        </w:rPr>
        <w:t>技术</w:t>
      </w:r>
      <w:r>
        <w:rPr>
          <w:rFonts w:hint="eastAsia" w:ascii="Times New Roman" w:hAnsi="Times New Roman"/>
          <w:bCs w:val="0"/>
        </w:rPr>
        <w:t>偏差表</w:t>
      </w:r>
    </w:p>
    <w:p>
      <w:pPr>
        <w:pStyle w:val="4"/>
        <w:jc w:val="center"/>
        <w:rPr>
          <w:rFonts w:hint="eastAsia" w:ascii="Times New Roman" w:hAnsi="Times New Roman"/>
        </w:rPr>
      </w:pPr>
      <w:r>
        <w:rPr>
          <w:rFonts w:hint="eastAsia" w:ascii="Times New Roman" w:hAnsi="Times New Roman"/>
        </w:rPr>
        <w:t>（一）商务条款偏差表</w:t>
      </w:r>
    </w:p>
    <w:tbl>
      <w:tblPr>
        <w:tblStyle w:val="5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754"/>
        <w:gridCol w:w="1448"/>
        <w:gridCol w:w="1769"/>
        <w:gridCol w:w="16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049" w:type="dxa"/>
            <w:vMerge w:val="restart"/>
            <w:vAlign w:val="center"/>
          </w:tcPr>
          <w:p>
            <w:pPr>
              <w:widowControl/>
              <w:snapToGrid w:val="0"/>
              <w:jc w:val="center"/>
              <w:rPr>
                <w:b/>
                <w:kern w:val="0"/>
                <w:sz w:val="22"/>
                <w:szCs w:val="22"/>
              </w:rPr>
            </w:pPr>
            <w:r>
              <w:rPr>
                <w:b/>
                <w:kern w:val="0"/>
                <w:sz w:val="22"/>
                <w:szCs w:val="22"/>
              </w:rPr>
              <w:t>序号</w:t>
            </w:r>
          </w:p>
        </w:tc>
        <w:tc>
          <w:tcPr>
            <w:tcW w:w="3202" w:type="dxa"/>
            <w:gridSpan w:val="2"/>
            <w:vAlign w:val="center"/>
          </w:tcPr>
          <w:p>
            <w:pPr>
              <w:widowControl/>
              <w:snapToGrid w:val="0"/>
              <w:jc w:val="center"/>
              <w:rPr>
                <w:b/>
                <w:kern w:val="0"/>
                <w:sz w:val="22"/>
                <w:szCs w:val="22"/>
              </w:rPr>
            </w:pPr>
            <w:r>
              <w:rPr>
                <w:b/>
                <w:kern w:val="0"/>
                <w:sz w:val="22"/>
                <w:szCs w:val="22"/>
              </w:rPr>
              <w:t>招标文件</w:t>
            </w:r>
            <w:r>
              <w:rPr>
                <w:rFonts w:hint="eastAsia"/>
                <w:b/>
                <w:kern w:val="0"/>
                <w:sz w:val="22"/>
                <w:szCs w:val="22"/>
              </w:rPr>
              <w:t>要求</w:t>
            </w:r>
          </w:p>
        </w:tc>
        <w:tc>
          <w:tcPr>
            <w:tcW w:w="3378" w:type="dxa"/>
            <w:gridSpan w:val="2"/>
            <w:vAlign w:val="center"/>
          </w:tcPr>
          <w:p>
            <w:pPr>
              <w:widowControl/>
              <w:snapToGrid w:val="0"/>
              <w:jc w:val="center"/>
              <w:rPr>
                <w:b/>
                <w:kern w:val="0"/>
                <w:sz w:val="22"/>
                <w:szCs w:val="22"/>
              </w:rPr>
            </w:pPr>
            <w:r>
              <w:rPr>
                <w:b/>
                <w:kern w:val="0"/>
                <w:sz w:val="22"/>
                <w:szCs w:val="22"/>
              </w:rPr>
              <w:t>投标文件</w:t>
            </w:r>
            <w:r>
              <w:rPr>
                <w:rFonts w:hint="eastAsia"/>
                <w:b/>
                <w:kern w:val="0"/>
                <w:sz w:val="22"/>
                <w:szCs w:val="22"/>
              </w:rPr>
              <w:t>响应</w:t>
            </w:r>
          </w:p>
        </w:tc>
        <w:tc>
          <w:tcPr>
            <w:tcW w:w="1709" w:type="dxa"/>
            <w:vMerge w:val="restart"/>
            <w:vAlign w:val="center"/>
          </w:tcPr>
          <w:p>
            <w:pPr>
              <w:widowControl/>
              <w:snapToGrid w:val="0"/>
              <w:jc w:val="center"/>
              <w:rPr>
                <w:b/>
                <w:kern w:val="0"/>
                <w:sz w:val="22"/>
                <w:szCs w:val="22"/>
              </w:rPr>
            </w:pPr>
            <w:r>
              <w:rPr>
                <w:b/>
                <w:kern w:val="0"/>
                <w:sz w:val="22"/>
                <w:szCs w:val="22"/>
              </w:rPr>
              <w:t>偏</w:t>
            </w:r>
            <w:r>
              <w:rPr>
                <w:rFonts w:hint="eastAsia"/>
                <w:b/>
                <w:kern w:val="0"/>
                <w:sz w:val="22"/>
                <w:szCs w:val="22"/>
              </w:rPr>
              <w:t>差</w:t>
            </w:r>
            <w:r>
              <w:rPr>
                <w:b/>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049" w:type="dxa"/>
            <w:vMerge w:val="continue"/>
            <w:vAlign w:val="center"/>
          </w:tcPr>
          <w:p>
            <w:pPr>
              <w:widowControl/>
              <w:snapToGrid w:val="0"/>
              <w:jc w:val="center"/>
              <w:rPr>
                <w:kern w:val="0"/>
                <w:sz w:val="22"/>
                <w:szCs w:val="22"/>
              </w:rPr>
            </w:pPr>
          </w:p>
        </w:tc>
        <w:tc>
          <w:tcPr>
            <w:tcW w:w="1754" w:type="dxa"/>
            <w:vAlign w:val="center"/>
          </w:tcPr>
          <w:p>
            <w:pPr>
              <w:widowControl/>
              <w:snapToGrid w:val="0"/>
              <w:jc w:val="center"/>
              <w:rPr>
                <w:b/>
                <w:kern w:val="0"/>
                <w:sz w:val="22"/>
                <w:szCs w:val="22"/>
              </w:rPr>
            </w:pPr>
            <w:r>
              <w:rPr>
                <w:b/>
                <w:kern w:val="0"/>
                <w:sz w:val="22"/>
                <w:szCs w:val="22"/>
              </w:rPr>
              <w:t>章节及条款号</w:t>
            </w:r>
          </w:p>
        </w:tc>
        <w:tc>
          <w:tcPr>
            <w:tcW w:w="1448" w:type="dxa"/>
            <w:vAlign w:val="center"/>
          </w:tcPr>
          <w:p>
            <w:pPr>
              <w:widowControl/>
              <w:snapToGrid w:val="0"/>
              <w:jc w:val="center"/>
              <w:rPr>
                <w:b/>
                <w:kern w:val="0"/>
                <w:sz w:val="22"/>
                <w:szCs w:val="22"/>
              </w:rPr>
            </w:pPr>
            <w:r>
              <w:rPr>
                <w:rFonts w:hint="eastAsia"/>
                <w:b/>
                <w:kern w:val="0"/>
                <w:sz w:val="22"/>
                <w:szCs w:val="22"/>
              </w:rPr>
              <w:t>具体要求</w:t>
            </w:r>
          </w:p>
        </w:tc>
        <w:tc>
          <w:tcPr>
            <w:tcW w:w="1769" w:type="dxa"/>
            <w:vAlign w:val="center"/>
          </w:tcPr>
          <w:p>
            <w:pPr>
              <w:widowControl/>
              <w:snapToGrid w:val="0"/>
              <w:jc w:val="center"/>
              <w:rPr>
                <w:b/>
                <w:kern w:val="0"/>
                <w:sz w:val="22"/>
                <w:szCs w:val="22"/>
              </w:rPr>
            </w:pPr>
            <w:r>
              <w:rPr>
                <w:b/>
                <w:kern w:val="0"/>
                <w:sz w:val="22"/>
                <w:szCs w:val="22"/>
              </w:rPr>
              <w:t>章节及条款号</w:t>
            </w:r>
          </w:p>
        </w:tc>
        <w:tc>
          <w:tcPr>
            <w:tcW w:w="1609" w:type="dxa"/>
            <w:vAlign w:val="center"/>
          </w:tcPr>
          <w:p>
            <w:pPr>
              <w:widowControl/>
              <w:snapToGrid w:val="0"/>
              <w:jc w:val="center"/>
              <w:rPr>
                <w:b/>
                <w:kern w:val="0"/>
                <w:sz w:val="22"/>
                <w:szCs w:val="22"/>
              </w:rPr>
            </w:pPr>
            <w:r>
              <w:rPr>
                <w:rFonts w:hint="eastAsia"/>
                <w:b/>
                <w:kern w:val="0"/>
                <w:sz w:val="22"/>
                <w:szCs w:val="22"/>
              </w:rPr>
              <w:t>具体内容</w:t>
            </w:r>
          </w:p>
        </w:tc>
        <w:tc>
          <w:tcPr>
            <w:tcW w:w="1709" w:type="dxa"/>
            <w:vMerge w:val="continue"/>
            <w:vAlign w:val="center"/>
          </w:tcPr>
          <w:p>
            <w:pPr>
              <w:widowControl/>
              <w:snapToGrid w:val="0"/>
              <w:jc w:val="center"/>
              <w:rPr>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049" w:type="dxa"/>
            <w:vAlign w:val="center"/>
          </w:tcPr>
          <w:p>
            <w:pPr>
              <w:widowControl/>
              <w:snapToGrid w:val="0"/>
              <w:jc w:val="center"/>
              <w:rPr>
                <w:kern w:val="0"/>
                <w:sz w:val="22"/>
                <w:szCs w:val="22"/>
              </w:rPr>
            </w:pPr>
            <w:r>
              <w:rPr>
                <w:kern w:val="0"/>
                <w:sz w:val="22"/>
                <w:szCs w:val="22"/>
              </w:rPr>
              <w:t>1</w:t>
            </w:r>
          </w:p>
        </w:tc>
        <w:tc>
          <w:tcPr>
            <w:tcW w:w="1754" w:type="dxa"/>
            <w:vAlign w:val="center"/>
          </w:tcPr>
          <w:p>
            <w:pPr>
              <w:widowControl/>
              <w:snapToGrid w:val="0"/>
              <w:jc w:val="center"/>
              <w:rPr>
                <w:kern w:val="0"/>
                <w:sz w:val="22"/>
                <w:szCs w:val="22"/>
              </w:rPr>
            </w:pPr>
          </w:p>
        </w:tc>
        <w:tc>
          <w:tcPr>
            <w:tcW w:w="1448" w:type="dxa"/>
            <w:vAlign w:val="center"/>
          </w:tcPr>
          <w:p>
            <w:pPr>
              <w:widowControl/>
              <w:snapToGrid w:val="0"/>
              <w:jc w:val="center"/>
              <w:rPr>
                <w:kern w:val="0"/>
                <w:sz w:val="22"/>
                <w:szCs w:val="22"/>
              </w:rPr>
            </w:pPr>
          </w:p>
        </w:tc>
        <w:tc>
          <w:tcPr>
            <w:tcW w:w="1769" w:type="dxa"/>
            <w:vAlign w:val="center"/>
          </w:tcPr>
          <w:p>
            <w:pPr>
              <w:widowControl/>
              <w:snapToGrid w:val="0"/>
              <w:jc w:val="center"/>
              <w:rPr>
                <w:kern w:val="0"/>
                <w:sz w:val="22"/>
                <w:szCs w:val="22"/>
              </w:rPr>
            </w:pPr>
          </w:p>
        </w:tc>
        <w:tc>
          <w:tcPr>
            <w:tcW w:w="1609" w:type="dxa"/>
            <w:vAlign w:val="center"/>
          </w:tcPr>
          <w:p>
            <w:pPr>
              <w:widowControl/>
              <w:snapToGrid w:val="0"/>
              <w:jc w:val="center"/>
              <w:rPr>
                <w:kern w:val="0"/>
                <w:sz w:val="22"/>
                <w:szCs w:val="22"/>
              </w:rPr>
            </w:pPr>
          </w:p>
        </w:tc>
        <w:tc>
          <w:tcPr>
            <w:tcW w:w="1709"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049" w:type="dxa"/>
            <w:vAlign w:val="center"/>
          </w:tcPr>
          <w:p>
            <w:pPr>
              <w:widowControl/>
              <w:snapToGrid w:val="0"/>
              <w:jc w:val="center"/>
              <w:rPr>
                <w:kern w:val="0"/>
                <w:sz w:val="22"/>
                <w:szCs w:val="22"/>
              </w:rPr>
            </w:pPr>
            <w:r>
              <w:rPr>
                <w:kern w:val="0"/>
                <w:sz w:val="22"/>
                <w:szCs w:val="22"/>
              </w:rPr>
              <w:t>2</w:t>
            </w:r>
          </w:p>
        </w:tc>
        <w:tc>
          <w:tcPr>
            <w:tcW w:w="1754" w:type="dxa"/>
            <w:vAlign w:val="center"/>
          </w:tcPr>
          <w:p>
            <w:pPr>
              <w:widowControl/>
              <w:snapToGrid w:val="0"/>
              <w:jc w:val="center"/>
              <w:rPr>
                <w:kern w:val="0"/>
                <w:sz w:val="22"/>
                <w:szCs w:val="22"/>
              </w:rPr>
            </w:pPr>
          </w:p>
        </w:tc>
        <w:tc>
          <w:tcPr>
            <w:tcW w:w="1448" w:type="dxa"/>
            <w:vAlign w:val="center"/>
          </w:tcPr>
          <w:p>
            <w:pPr>
              <w:widowControl/>
              <w:snapToGrid w:val="0"/>
              <w:jc w:val="center"/>
              <w:rPr>
                <w:kern w:val="0"/>
                <w:sz w:val="22"/>
                <w:szCs w:val="22"/>
              </w:rPr>
            </w:pPr>
          </w:p>
        </w:tc>
        <w:tc>
          <w:tcPr>
            <w:tcW w:w="1769" w:type="dxa"/>
            <w:vAlign w:val="center"/>
          </w:tcPr>
          <w:p>
            <w:pPr>
              <w:widowControl/>
              <w:snapToGrid w:val="0"/>
              <w:jc w:val="center"/>
              <w:rPr>
                <w:kern w:val="0"/>
                <w:sz w:val="22"/>
                <w:szCs w:val="22"/>
              </w:rPr>
            </w:pPr>
          </w:p>
        </w:tc>
        <w:tc>
          <w:tcPr>
            <w:tcW w:w="1609" w:type="dxa"/>
            <w:vAlign w:val="center"/>
          </w:tcPr>
          <w:p>
            <w:pPr>
              <w:widowControl/>
              <w:snapToGrid w:val="0"/>
              <w:jc w:val="center"/>
              <w:rPr>
                <w:kern w:val="0"/>
                <w:sz w:val="22"/>
                <w:szCs w:val="22"/>
              </w:rPr>
            </w:pPr>
          </w:p>
        </w:tc>
        <w:tc>
          <w:tcPr>
            <w:tcW w:w="1709"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049" w:type="dxa"/>
            <w:vAlign w:val="center"/>
          </w:tcPr>
          <w:p>
            <w:pPr>
              <w:widowControl/>
              <w:snapToGrid w:val="0"/>
              <w:jc w:val="center"/>
              <w:rPr>
                <w:kern w:val="0"/>
                <w:sz w:val="22"/>
                <w:szCs w:val="22"/>
              </w:rPr>
            </w:pPr>
            <w:r>
              <w:rPr>
                <w:kern w:val="0"/>
                <w:sz w:val="22"/>
                <w:szCs w:val="22"/>
              </w:rPr>
              <w:t>3</w:t>
            </w:r>
          </w:p>
        </w:tc>
        <w:tc>
          <w:tcPr>
            <w:tcW w:w="1754" w:type="dxa"/>
            <w:vAlign w:val="center"/>
          </w:tcPr>
          <w:p>
            <w:pPr>
              <w:widowControl/>
              <w:snapToGrid w:val="0"/>
              <w:jc w:val="center"/>
              <w:rPr>
                <w:kern w:val="0"/>
                <w:sz w:val="22"/>
                <w:szCs w:val="22"/>
              </w:rPr>
            </w:pPr>
          </w:p>
        </w:tc>
        <w:tc>
          <w:tcPr>
            <w:tcW w:w="1448" w:type="dxa"/>
            <w:vAlign w:val="center"/>
          </w:tcPr>
          <w:p>
            <w:pPr>
              <w:widowControl/>
              <w:snapToGrid w:val="0"/>
              <w:jc w:val="center"/>
              <w:rPr>
                <w:kern w:val="0"/>
                <w:sz w:val="22"/>
                <w:szCs w:val="22"/>
              </w:rPr>
            </w:pPr>
          </w:p>
        </w:tc>
        <w:tc>
          <w:tcPr>
            <w:tcW w:w="1769" w:type="dxa"/>
            <w:vAlign w:val="center"/>
          </w:tcPr>
          <w:p>
            <w:pPr>
              <w:widowControl/>
              <w:snapToGrid w:val="0"/>
              <w:jc w:val="center"/>
              <w:rPr>
                <w:kern w:val="0"/>
                <w:sz w:val="22"/>
                <w:szCs w:val="22"/>
              </w:rPr>
            </w:pPr>
          </w:p>
        </w:tc>
        <w:tc>
          <w:tcPr>
            <w:tcW w:w="1609" w:type="dxa"/>
            <w:vAlign w:val="center"/>
          </w:tcPr>
          <w:p>
            <w:pPr>
              <w:widowControl/>
              <w:snapToGrid w:val="0"/>
              <w:jc w:val="center"/>
              <w:rPr>
                <w:kern w:val="0"/>
                <w:sz w:val="22"/>
                <w:szCs w:val="22"/>
              </w:rPr>
            </w:pPr>
          </w:p>
        </w:tc>
        <w:tc>
          <w:tcPr>
            <w:tcW w:w="1709"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049" w:type="dxa"/>
            <w:vAlign w:val="center"/>
          </w:tcPr>
          <w:p>
            <w:pPr>
              <w:widowControl/>
              <w:snapToGrid w:val="0"/>
              <w:jc w:val="center"/>
              <w:rPr>
                <w:kern w:val="0"/>
                <w:sz w:val="22"/>
                <w:szCs w:val="22"/>
              </w:rPr>
            </w:pPr>
            <w:r>
              <w:rPr>
                <w:kern w:val="0"/>
                <w:sz w:val="22"/>
                <w:szCs w:val="22"/>
              </w:rPr>
              <w:t>4</w:t>
            </w:r>
          </w:p>
        </w:tc>
        <w:tc>
          <w:tcPr>
            <w:tcW w:w="1754" w:type="dxa"/>
            <w:vAlign w:val="center"/>
          </w:tcPr>
          <w:p>
            <w:pPr>
              <w:widowControl/>
              <w:snapToGrid w:val="0"/>
              <w:jc w:val="center"/>
              <w:rPr>
                <w:kern w:val="0"/>
                <w:sz w:val="22"/>
                <w:szCs w:val="22"/>
              </w:rPr>
            </w:pPr>
          </w:p>
        </w:tc>
        <w:tc>
          <w:tcPr>
            <w:tcW w:w="1448" w:type="dxa"/>
            <w:vAlign w:val="center"/>
          </w:tcPr>
          <w:p>
            <w:pPr>
              <w:widowControl/>
              <w:snapToGrid w:val="0"/>
              <w:jc w:val="center"/>
              <w:rPr>
                <w:kern w:val="0"/>
                <w:sz w:val="22"/>
                <w:szCs w:val="22"/>
              </w:rPr>
            </w:pPr>
          </w:p>
        </w:tc>
        <w:tc>
          <w:tcPr>
            <w:tcW w:w="1769" w:type="dxa"/>
            <w:vAlign w:val="center"/>
          </w:tcPr>
          <w:p>
            <w:pPr>
              <w:widowControl/>
              <w:snapToGrid w:val="0"/>
              <w:jc w:val="center"/>
              <w:rPr>
                <w:kern w:val="0"/>
                <w:sz w:val="22"/>
                <w:szCs w:val="22"/>
              </w:rPr>
            </w:pPr>
          </w:p>
        </w:tc>
        <w:tc>
          <w:tcPr>
            <w:tcW w:w="1609" w:type="dxa"/>
            <w:vAlign w:val="center"/>
          </w:tcPr>
          <w:p>
            <w:pPr>
              <w:widowControl/>
              <w:snapToGrid w:val="0"/>
              <w:jc w:val="center"/>
              <w:rPr>
                <w:kern w:val="0"/>
                <w:sz w:val="22"/>
                <w:szCs w:val="22"/>
              </w:rPr>
            </w:pPr>
          </w:p>
        </w:tc>
        <w:tc>
          <w:tcPr>
            <w:tcW w:w="1709"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1049" w:type="dxa"/>
            <w:vAlign w:val="center"/>
          </w:tcPr>
          <w:p>
            <w:pPr>
              <w:widowControl/>
              <w:snapToGrid w:val="0"/>
              <w:jc w:val="center"/>
              <w:rPr>
                <w:kern w:val="0"/>
                <w:sz w:val="22"/>
                <w:szCs w:val="22"/>
              </w:rPr>
            </w:pPr>
            <w:r>
              <w:rPr>
                <w:kern w:val="0"/>
                <w:sz w:val="22"/>
                <w:szCs w:val="22"/>
              </w:rPr>
              <w:t>……</w:t>
            </w:r>
          </w:p>
        </w:tc>
        <w:tc>
          <w:tcPr>
            <w:tcW w:w="1754" w:type="dxa"/>
            <w:vAlign w:val="center"/>
          </w:tcPr>
          <w:p>
            <w:pPr>
              <w:widowControl/>
              <w:snapToGrid w:val="0"/>
              <w:jc w:val="center"/>
              <w:rPr>
                <w:kern w:val="0"/>
                <w:sz w:val="22"/>
                <w:szCs w:val="22"/>
              </w:rPr>
            </w:pPr>
          </w:p>
        </w:tc>
        <w:tc>
          <w:tcPr>
            <w:tcW w:w="1448" w:type="dxa"/>
            <w:vAlign w:val="center"/>
          </w:tcPr>
          <w:p>
            <w:pPr>
              <w:widowControl/>
              <w:snapToGrid w:val="0"/>
              <w:jc w:val="center"/>
              <w:rPr>
                <w:kern w:val="0"/>
                <w:sz w:val="22"/>
                <w:szCs w:val="22"/>
              </w:rPr>
            </w:pPr>
          </w:p>
        </w:tc>
        <w:tc>
          <w:tcPr>
            <w:tcW w:w="1769" w:type="dxa"/>
            <w:vAlign w:val="center"/>
          </w:tcPr>
          <w:p>
            <w:pPr>
              <w:widowControl/>
              <w:snapToGrid w:val="0"/>
              <w:jc w:val="center"/>
              <w:rPr>
                <w:kern w:val="0"/>
                <w:sz w:val="22"/>
                <w:szCs w:val="22"/>
              </w:rPr>
            </w:pPr>
          </w:p>
        </w:tc>
        <w:tc>
          <w:tcPr>
            <w:tcW w:w="1609" w:type="dxa"/>
            <w:vAlign w:val="center"/>
          </w:tcPr>
          <w:p>
            <w:pPr>
              <w:widowControl/>
              <w:snapToGrid w:val="0"/>
              <w:jc w:val="center"/>
              <w:rPr>
                <w:kern w:val="0"/>
                <w:sz w:val="22"/>
                <w:szCs w:val="22"/>
              </w:rPr>
            </w:pPr>
          </w:p>
        </w:tc>
        <w:tc>
          <w:tcPr>
            <w:tcW w:w="1709" w:type="dxa"/>
            <w:vAlign w:val="center"/>
          </w:tcPr>
          <w:p>
            <w:pPr>
              <w:widowControl/>
              <w:snapToGrid w:val="0"/>
              <w:jc w:val="center"/>
              <w:rPr>
                <w:kern w:val="0"/>
                <w:sz w:val="22"/>
                <w:szCs w:val="22"/>
              </w:rPr>
            </w:pPr>
          </w:p>
        </w:tc>
      </w:tr>
    </w:tbl>
    <w:p>
      <w:pPr>
        <w:rPr>
          <w:rFonts w:hint="eastAsia"/>
          <w:sz w:val="22"/>
          <w:szCs w:val="22"/>
        </w:rPr>
      </w:pPr>
    </w:p>
    <w:p>
      <w:pPr>
        <w:rPr>
          <w:rFonts w:hint="eastAsia"/>
          <w:color w:val="0000FF"/>
          <w:sz w:val="22"/>
          <w:szCs w:val="22"/>
        </w:rPr>
      </w:pPr>
      <w:r>
        <w:rPr>
          <w:rFonts w:hint="eastAsia"/>
          <w:color w:val="0000FF"/>
          <w:sz w:val="22"/>
          <w:szCs w:val="22"/>
        </w:rPr>
        <w:t>注：投标人对付款方式、交货期、交货地点、质量保证期、投标有效期及其他商务条款未完全响应的，应当填写上表。</w:t>
      </w:r>
      <w:r>
        <w:rPr>
          <w:color w:val="0000FF"/>
          <w:sz w:val="22"/>
          <w:szCs w:val="22"/>
        </w:rPr>
        <w:t>投标人保证：除商务</w:t>
      </w:r>
      <w:r>
        <w:rPr>
          <w:rFonts w:hint="eastAsia"/>
          <w:color w:val="0000FF"/>
          <w:sz w:val="22"/>
          <w:szCs w:val="22"/>
        </w:rPr>
        <w:t>和</w:t>
      </w:r>
      <w:r>
        <w:rPr>
          <w:color w:val="0000FF"/>
          <w:sz w:val="22"/>
          <w:szCs w:val="22"/>
        </w:rPr>
        <w:t>技术偏</w:t>
      </w:r>
      <w:r>
        <w:rPr>
          <w:rFonts w:hint="eastAsia"/>
          <w:color w:val="0000FF"/>
          <w:sz w:val="22"/>
          <w:szCs w:val="22"/>
        </w:rPr>
        <w:t>差</w:t>
      </w:r>
      <w:r>
        <w:rPr>
          <w:color w:val="0000FF"/>
          <w:sz w:val="22"/>
          <w:szCs w:val="22"/>
        </w:rPr>
        <w:t>表列出的偏</w:t>
      </w:r>
      <w:r>
        <w:rPr>
          <w:rFonts w:hint="eastAsia"/>
          <w:color w:val="0000FF"/>
          <w:sz w:val="22"/>
          <w:szCs w:val="22"/>
        </w:rPr>
        <w:t>差</w:t>
      </w:r>
      <w:r>
        <w:rPr>
          <w:color w:val="0000FF"/>
          <w:sz w:val="22"/>
          <w:szCs w:val="22"/>
        </w:rPr>
        <w:t>外，投标人响应招标文件的全部要求。</w:t>
      </w:r>
    </w:p>
    <w:p>
      <w:pPr>
        <w:pStyle w:val="4"/>
        <w:jc w:val="center"/>
        <w:rPr>
          <w:rFonts w:hint="eastAsia" w:ascii="Times New Roman" w:hAnsi="Times New Roman"/>
          <w:color w:val="0000FF"/>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rPr>
          <w:rFonts w:hint="eastAsia" w:ascii="Times New Roman" w:hAnsi="Times New Roman"/>
        </w:rPr>
      </w:pPr>
      <w:r>
        <w:rPr>
          <w:rFonts w:hint="eastAsia" w:ascii="Times New Roman" w:hAnsi="Times New Roman"/>
        </w:rPr>
        <w:t>（二）技术条款偏差表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69"/>
        <w:gridCol w:w="1034"/>
        <w:gridCol w:w="1221"/>
        <w:gridCol w:w="1050"/>
        <w:gridCol w:w="150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783" w:type="dxa"/>
            <w:vMerge w:val="restart"/>
            <w:vAlign w:val="center"/>
          </w:tcPr>
          <w:p>
            <w:pPr>
              <w:widowControl/>
              <w:snapToGrid w:val="0"/>
              <w:jc w:val="center"/>
              <w:rPr>
                <w:b/>
                <w:kern w:val="0"/>
                <w:sz w:val="22"/>
                <w:szCs w:val="22"/>
              </w:rPr>
            </w:pPr>
            <w:r>
              <w:rPr>
                <w:b/>
                <w:kern w:val="0"/>
                <w:sz w:val="22"/>
                <w:szCs w:val="22"/>
              </w:rPr>
              <w:t>序号</w:t>
            </w:r>
          </w:p>
        </w:tc>
        <w:tc>
          <w:tcPr>
            <w:tcW w:w="4024" w:type="dxa"/>
            <w:gridSpan w:val="3"/>
            <w:vAlign w:val="center"/>
          </w:tcPr>
          <w:p>
            <w:pPr>
              <w:widowControl/>
              <w:snapToGrid w:val="0"/>
              <w:jc w:val="center"/>
              <w:rPr>
                <w:b/>
                <w:kern w:val="0"/>
                <w:sz w:val="22"/>
                <w:szCs w:val="22"/>
              </w:rPr>
            </w:pPr>
            <w:r>
              <w:rPr>
                <w:b/>
                <w:kern w:val="0"/>
                <w:sz w:val="22"/>
                <w:szCs w:val="22"/>
              </w:rPr>
              <w:t>招标文件</w:t>
            </w:r>
            <w:r>
              <w:rPr>
                <w:rFonts w:hint="eastAsia"/>
                <w:b/>
                <w:kern w:val="0"/>
                <w:sz w:val="22"/>
                <w:szCs w:val="22"/>
              </w:rPr>
              <w:t>要求</w:t>
            </w:r>
          </w:p>
        </w:tc>
        <w:tc>
          <w:tcPr>
            <w:tcW w:w="2555" w:type="dxa"/>
            <w:gridSpan w:val="2"/>
            <w:vAlign w:val="center"/>
          </w:tcPr>
          <w:p>
            <w:pPr>
              <w:widowControl/>
              <w:snapToGrid w:val="0"/>
              <w:jc w:val="center"/>
              <w:rPr>
                <w:b/>
                <w:kern w:val="0"/>
                <w:sz w:val="22"/>
                <w:szCs w:val="22"/>
              </w:rPr>
            </w:pPr>
            <w:r>
              <w:rPr>
                <w:b/>
                <w:kern w:val="0"/>
                <w:sz w:val="22"/>
                <w:szCs w:val="22"/>
              </w:rPr>
              <w:t>投标文件</w:t>
            </w:r>
            <w:r>
              <w:rPr>
                <w:rFonts w:hint="eastAsia"/>
                <w:b/>
                <w:kern w:val="0"/>
                <w:sz w:val="22"/>
                <w:szCs w:val="22"/>
              </w:rPr>
              <w:t>响应</w:t>
            </w:r>
          </w:p>
        </w:tc>
        <w:tc>
          <w:tcPr>
            <w:tcW w:w="1596" w:type="dxa"/>
            <w:vMerge w:val="restart"/>
            <w:vAlign w:val="center"/>
          </w:tcPr>
          <w:p>
            <w:pPr>
              <w:widowControl/>
              <w:snapToGrid w:val="0"/>
              <w:jc w:val="center"/>
              <w:rPr>
                <w:b/>
                <w:kern w:val="0"/>
                <w:sz w:val="22"/>
                <w:szCs w:val="22"/>
              </w:rPr>
            </w:pPr>
            <w:r>
              <w:rPr>
                <w:b/>
                <w:kern w:val="0"/>
                <w:sz w:val="22"/>
                <w:szCs w:val="22"/>
              </w:rPr>
              <w:t>偏</w:t>
            </w:r>
            <w:r>
              <w:rPr>
                <w:rFonts w:hint="eastAsia"/>
                <w:b/>
                <w:kern w:val="0"/>
                <w:sz w:val="22"/>
                <w:szCs w:val="22"/>
              </w:rPr>
              <w:t>差</w:t>
            </w:r>
            <w:r>
              <w:rPr>
                <w:b/>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83" w:type="dxa"/>
            <w:vMerge w:val="continue"/>
            <w:vAlign w:val="center"/>
          </w:tcPr>
          <w:p>
            <w:pPr>
              <w:widowControl/>
              <w:snapToGrid w:val="0"/>
              <w:jc w:val="center"/>
              <w:rPr>
                <w:kern w:val="0"/>
                <w:sz w:val="22"/>
                <w:szCs w:val="22"/>
              </w:rPr>
            </w:pPr>
          </w:p>
        </w:tc>
        <w:tc>
          <w:tcPr>
            <w:tcW w:w="1769" w:type="dxa"/>
            <w:vAlign w:val="center"/>
          </w:tcPr>
          <w:p>
            <w:pPr>
              <w:widowControl/>
              <w:snapToGrid w:val="0"/>
              <w:jc w:val="center"/>
              <w:rPr>
                <w:b/>
                <w:kern w:val="0"/>
                <w:sz w:val="22"/>
                <w:szCs w:val="22"/>
              </w:rPr>
            </w:pPr>
            <w:r>
              <w:rPr>
                <w:rFonts w:hint="eastAsia"/>
                <w:b/>
                <w:kern w:val="0"/>
                <w:sz w:val="22"/>
                <w:szCs w:val="22"/>
              </w:rPr>
              <w:t>供货要求</w:t>
            </w:r>
          </w:p>
        </w:tc>
        <w:tc>
          <w:tcPr>
            <w:tcW w:w="1034" w:type="dxa"/>
            <w:vAlign w:val="center"/>
          </w:tcPr>
          <w:p>
            <w:pPr>
              <w:widowControl/>
              <w:snapToGrid w:val="0"/>
              <w:jc w:val="center"/>
              <w:rPr>
                <w:b/>
                <w:kern w:val="0"/>
                <w:sz w:val="22"/>
                <w:szCs w:val="22"/>
              </w:rPr>
            </w:pPr>
            <w:r>
              <w:rPr>
                <w:b/>
                <w:kern w:val="0"/>
                <w:sz w:val="22"/>
                <w:szCs w:val="22"/>
              </w:rPr>
              <w:t>章节及条款号</w:t>
            </w:r>
          </w:p>
        </w:tc>
        <w:tc>
          <w:tcPr>
            <w:tcW w:w="1221" w:type="dxa"/>
            <w:vAlign w:val="center"/>
          </w:tcPr>
          <w:p>
            <w:pPr>
              <w:widowControl/>
              <w:snapToGrid w:val="0"/>
              <w:jc w:val="center"/>
              <w:rPr>
                <w:b/>
                <w:kern w:val="0"/>
                <w:sz w:val="22"/>
                <w:szCs w:val="22"/>
              </w:rPr>
            </w:pPr>
            <w:r>
              <w:rPr>
                <w:rFonts w:hint="eastAsia"/>
                <w:b/>
                <w:kern w:val="0"/>
                <w:sz w:val="22"/>
                <w:szCs w:val="22"/>
              </w:rPr>
              <w:t>具体要求</w:t>
            </w:r>
          </w:p>
        </w:tc>
        <w:tc>
          <w:tcPr>
            <w:tcW w:w="1050" w:type="dxa"/>
            <w:vAlign w:val="center"/>
          </w:tcPr>
          <w:p>
            <w:pPr>
              <w:widowControl/>
              <w:snapToGrid w:val="0"/>
              <w:jc w:val="center"/>
              <w:rPr>
                <w:b/>
                <w:kern w:val="0"/>
                <w:sz w:val="22"/>
                <w:szCs w:val="22"/>
              </w:rPr>
            </w:pPr>
            <w:r>
              <w:rPr>
                <w:b/>
                <w:kern w:val="0"/>
                <w:sz w:val="22"/>
                <w:szCs w:val="22"/>
              </w:rPr>
              <w:t>章节及条款号</w:t>
            </w:r>
          </w:p>
        </w:tc>
        <w:tc>
          <w:tcPr>
            <w:tcW w:w="1505" w:type="dxa"/>
            <w:vAlign w:val="center"/>
          </w:tcPr>
          <w:p>
            <w:pPr>
              <w:widowControl/>
              <w:snapToGrid w:val="0"/>
              <w:jc w:val="center"/>
              <w:rPr>
                <w:b/>
                <w:kern w:val="0"/>
                <w:sz w:val="22"/>
                <w:szCs w:val="22"/>
              </w:rPr>
            </w:pPr>
            <w:r>
              <w:rPr>
                <w:rFonts w:hint="eastAsia"/>
                <w:b/>
                <w:kern w:val="0"/>
                <w:sz w:val="22"/>
                <w:szCs w:val="22"/>
              </w:rPr>
              <w:t>具体内容</w:t>
            </w:r>
          </w:p>
        </w:tc>
        <w:tc>
          <w:tcPr>
            <w:tcW w:w="1596" w:type="dxa"/>
            <w:vMerge w:val="continue"/>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783" w:type="dxa"/>
            <w:vMerge w:val="restart"/>
            <w:vAlign w:val="center"/>
          </w:tcPr>
          <w:p>
            <w:pPr>
              <w:widowControl/>
              <w:snapToGrid w:val="0"/>
              <w:jc w:val="center"/>
              <w:rPr>
                <w:kern w:val="0"/>
                <w:sz w:val="22"/>
                <w:szCs w:val="22"/>
              </w:rPr>
            </w:pPr>
            <w:r>
              <w:rPr>
                <w:kern w:val="0"/>
                <w:sz w:val="22"/>
                <w:szCs w:val="22"/>
              </w:rPr>
              <w:t>1</w:t>
            </w:r>
          </w:p>
        </w:tc>
        <w:tc>
          <w:tcPr>
            <w:tcW w:w="1769" w:type="dxa"/>
            <w:vMerge w:val="restart"/>
            <w:vAlign w:val="center"/>
          </w:tcPr>
          <w:p>
            <w:pPr>
              <w:widowControl/>
              <w:snapToGrid w:val="0"/>
              <w:jc w:val="center"/>
              <w:rPr>
                <w:kern w:val="0"/>
                <w:sz w:val="22"/>
                <w:szCs w:val="22"/>
              </w:rPr>
            </w:pPr>
            <w:r>
              <w:rPr>
                <w:rFonts w:hint="eastAsia"/>
                <w:kern w:val="0"/>
                <w:sz w:val="22"/>
                <w:szCs w:val="22"/>
              </w:rPr>
              <w:t>供货范围</w:t>
            </w: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783" w:type="dxa"/>
            <w:vMerge w:val="restart"/>
            <w:vAlign w:val="center"/>
          </w:tcPr>
          <w:p>
            <w:pPr>
              <w:widowControl/>
              <w:snapToGrid w:val="0"/>
              <w:jc w:val="center"/>
              <w:rPr>
                <w:kern w:val="0"/>
                <w:sz w:val="22"/>
                <w:szCs w:val="22"/>
              </w:rPr>
            </w:pPr>
            <w:r>
              <w:rPr>
                <w:kern w:val="0"/>
                <w:sz w:val="22"/>
                <w:szCs w:val="22"/>
              </w:rPr>
              <w:t>2</w:t>
            </w:r>
          </w:p>
        </w:tc>
        <w:tc>
          <w:tcPr>
            <w:tcW w:w="1769" w:type="dxa"/>
            <w:vMerge w:val="restart"/>
            <w:vAlign w:val="center"/>
          </w:tcPr>
          <w:p>
            <w:pPr>
              <w:widowControl/>
              <w:snapToGrid w:val="0"/>
              <w:jc w:val="center"/>
              <w:rPr>
                <w:kern w:val="0"/>
                <w:sz w:val="22"/>
                <w:szCs w:val="22"/>
              </w:rPr>
            </w:pPr>
            <w:r>
              <w:rPr>
                <w:rFonts w:hint="eastAsia"/>
                <w:kern w:val="0"/>
                <w:sz w:val="22"/>
                <w:szCs w:val="22"/>
              </w:rPr>
              <w:t>相关配置、功能、技术性能参数等具体要求</w:t>
            </w: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783" w:type="dxa"/>
            <w:vMerge w:val="restart"/>
            <w:vAlign w:val="center"/>
          </w:tcPr>
          <w:p>
            <w:pPr>
              <w:widowControl/>
              <w:snapToGrid w:val="0"/>
              <w:jc w:val="center"/>
              <w:rPr>
                <w:kern w:val="0"/>
                <w:sz w:val="22"/>
                <w:szCs w:val="22"/>
              </w:rPr>
            </w:pPr>
            <w:r>
              <w:rPr>
                <w:kern w:val="0"/>
                <w:sz w:val="22"/>
                <w:szCs w:val="22"/>
              </w:rPr>
              <w:t>3</w:t>
            </w:r>
          </w:p>
        </w:tc>
        <w:tc>
          <w:tcPr>
            <w:tcW w:w="1769" w:type="dxa"/>
            <w:vMerge w:val="restart"/>
            <w:vAlign w:val="center"/>
          </w:tcPr>
          <w:p>
            <w:pPr>
              <w:widowControl/>
              <w:snapToGrid w:val="0"/>
              <w:jc w:val="center"/>
              <w:rPr>
                <w:kern w:val="0"/>
                <w:sz w:val="22"/>
                <w:szCs w:val="22"/>
              </w:rPr>
            </w:pPr>
            <w:r>
              <w:rPr>
                <w:rFonts w:hint="eastAsia"/>
                <w:kern w:val="0"/>
                <w:sz w:val="22"/>
                <w:szCs w:val="22"/>
              </w:rPr>
              <w:t>检验考核要求</w:t>
            </w: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783" w:type="dxa"/>
            <w:vMerge w:val="restart"/>
            <w:vAlign w:val="center"/>
          </w:tcPr>
          <w:p>
            <w:pPr>
              <w:widowControl/>
              <w:snapToGrid w:val="0"/>
              <w:jc w:val="center"/>
              <w:rPr>
                <w:kern w:val="0"/>
                <w:sz w:val="22"/>
                <w:szCs w:val="22"/>
              </w:rPr>
            </w:pPr>
            <w:r>
              <w:rPr>
                <w:kern w:val="0"/>
                <w:sz w:val="22"/>
                <w:szCs w:val="22"/>
              </w:rPr>
              <w:t>4</w:t>
            </w:r>
          </w:p>
        </w:tc>
        <w:tc>
          <w:tcPr>
            <w:tcW w:w="1769" w:type="dxa"/>
            <w:vMerge w:val="restart"/>
            <w:vAlign w:val="center"/>
          </w:tcPr>
          <w:p>
            <w:pPr>
              <w:widowControl/>
              <w:snapToGrid w:val="0"/>
              <w:jc w:val="center"/>
              <w:rPr>
                <w:kern w:val="0"/>
                <w:sz w:val="22"/>
                <w:szCs w:val="22"/>
              </w:rPr>
            </w:pPr>
            <w:r>
              <w:rPr>
                <w:rFonts w:hint="eastAsia"/>
                <w:kern w:val="0"/>
                <w:sz w:val="22"/>
                <w:szCs w:val="22"/>
              </w:rPr>
              <w:t>技术服务要求</w:t>
            </w: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83" w:type="dxa"/>
            <w:vMerge w:val="restart"/>
            <w:vAlign w:val="center"/>
          </w:tcPr>
          <w:p>
            <w:pPr>
              <w:widowControl/>
              <w:snapToGrid w:val="0"/>
              <w:jc w:val="center"/>
              <w:rPr>
                <w:kern w:val="0"/>
                <w:sz w:val="22"/>
                <w:szCs w:val="22"/>
              </w:rPr>
            </w:pPr>
            <w:r>
              <w:rPr>
                <w:kern w:val="0"/>
                <w:sz w:val="22"/>
                <w:szCs w:val="22"/>
              </w:rPr>
              <w:t>……</w:t>
            </w:r>
          </w:p>
        </w:tc>
        <w:tc>
          <w:tcPr>
            <w:tcW w:w="1769" w:type="dxa"/>
            <w:vMerge w:val="restart"/>
            <w:vAlign w:val="center"/>
          </w:tcPr>
          <w:p>
            <w:pPr>
              <w:widowControl/>
              <w:snapToGrid w:val="0"/>
              <w:jc w:val="center"/>
              <w:rPr>
                <w:kern w:val="0"/>
                <w:sz w:val="22"/>
                <w:szCs w:val="22"/>
              </w:rPr>
            </w:pPr>
            <w:r>
              <w:rPr>
                <w:rFonts w:hint="eastAsia"/>
                <w:kern w:val="0"/>
                <w:sz w:val="22"/>
                <w:szCs w:val="22"/>
              </w:rPr>
              <w:t>其他要求</w:t>
            </w: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783" w:type="dxa"/>
            <w:vMerge w:val="continue"/>
            <w:vAlign w:val="center"/>
          </w:tcPr>
          <w:p>
            <w:pPr>
              <w:widowControl/>
              <w:snapToGrid w:val="0"/>
              <w:jc w:val="center"/>
              <w:rPr>
                <w:kern w:val="0"/>
                <w:sz w:val="22"/>
                <w:szCs w:val="22"/>
              </w:rPr>
            </w:pPr>
          </w:p>
        </w:tc>
        <w:tc>
          <w:tcPr>
            <w:tcW w:w="1769" w:type="dxa"/>
            <w:vMerge w:val="continue"/>
            <w:vAlign w:val="center"/>
          </w:tcPr>
          <w:p>
            <w:pPr>
              <w:widowControl/>
              <w:snapToGrid w:val="0"/>
              <w:jc w:val="center"/>
              <w:rPr>
                <w:kern w:val="0"/>
                <w:sz w:val="22"/>
                <w:szCs w:val="22"/>
              </w:rPr>
            </w:pPr>
          </w:p>
        </w:tc>
        <w:tc>
          <w:tcPr>
            <w:tcW w:w="1034" w:type="dxa"/>
            <w:vAlign w:val="center"/>
          </w:tcPr>
          <w:p>
            <w:pPr>
              <w:widowControl/>
              <w:snapToGrid w:val="0"/>
              <w:jc w:val="center"/>
              <w:rPr>
                <w:kern w:val="0"/>
                <w:sz w:val="22"/>
                <w:szCs w:val="22"/>
              </w:rPr>
            </w:pPr>
          </w:p>
        </w:tc>
        <w:tc>
          <w:tcPr>
            <w:tcW w:w="1221" w:type="dxa"/>
            <w:vAlign w:val="center"/>
          </w:tcPr>
          <w:p>
            <w:pPr>
              <w:widowControl/>
              <w:snapToGrid w:val="0"/>
              <w:jc w:val="center"/>
              <w:rPr>
                <w:kern w:val="0"/>
                <w:sz w:val="22"/>
                <w:szCs w:val="22"/>
              </w:rPr>
            </w:pPr>
          </w:p>
        </w:tc>
        <w:tc>
          <w:tcPr>
            <w:tcW w:w="1050" w:type="dxa"/>
            <w:vAlign w:val="center"/>
          </w:tcPr>
          <w:p>
            <w:pPr>
              <w:widowControl/>
              <w:snapToGrid w:val="0"/>
              <w:jc w:val="center"/>
              <w:rPr>
                <w:kern w:val="0"/>
                <w:sz w:val="22"/>
                <w:szCs w:val="22"/>
              </w:rPr>
            </w:pPr>
          </w:p>
        </w:tc>
        <w:tc>
          <w:tcPr>
            <w:tcW w:w="1505" w:type="dxa"/>
            <w:vAlign w:val="center"/>
          </w:tcPr>
          <w:p>
            <w:pPr>
              <w:widowControl/>
              <w:snapToGrid w:val="0"/>
              <w:jc w:val="center"/>
              <w:rPr>
                <w:kern w:val="0"/>
                <w:sz w:val="22"/>
                <w:szCs w:val="22"/>
              </w:rPr>
            </w:pPr>
          </w:p>
        </w:tc>
        <w:tc>
          <w:tcPr>
            <w:tcW w:w="1596" w:type="dxa"/>
            <w:vAlign w:val="center"/>
          </w:tcPr>
          <w:p>
            <w:pPr>
              <w:widowControl/>
              <w:snapToGrid w:val="0"/>
              <w:jc w:val="center"/>
              <w:rPr>
                <w:kern w:val="0"/>
                <w:sz w:val="22"/>
                <w:szCs w:val="22"/>
              </w:rPr>
            </w:pPr>
          </w:p>
        </w:tc>
      </w:tr>
    </w:tbl>
    <w:p>
      <w:pPr>
        <w:rPr>
          <w:rFonts w:hint="eastAsia"/>
        </w:rPr>
      </w:pPr>
    </w:p>
    <w:p>
      <w:pPr>
        <w:widowControl/>
        <w:jc w:val="left"/>
        <w:rPr>
          <w:sz w:val="22"/>
          <w:szCs w:val="28"/>
        </w:rPr>
      </w:pPr>
      <w:r>
        <w:rPr>
          <w:rFonts w:hint="eastAsia" w:ascii="宋体" w:hAnsi="宋体" w:cs="宋体"/>
          <w:color w:val="000000"/>
          <w:kern w:val="0"/>
          <w:sz w:val="22"/>
          <w:szCs w:val="22"/>
        </w:rPr>
        <w:t>（</w:t>
      </w:r>
      <w:r>
        <w:rPr>
          <w:color w:val="000000"/>
          <w:kern w:val="0"/>
          <w:sz w:val="22"/>
          <w:szCs w:val="22"/>
        </w:rPr>
        <w:t>1</w:t>
      </w:r>
      <w:r>
        <w:rPr>
          <w:rFonts w:hint="eastAsia" w:ascii="宋体" w:hAnsi="宋体" w:cs="宋体"/>
          <w:color w:val="000000"/>
          <w:kern w:val="0"/>
          <w:sz w:val="22"/>
          <w:szCs w:val="22"/>
        </w:rPr>
        <w:t xml:space="preserve">）投标人保证：除商务和技术偏差表列出的偏差外，投标人响应招标文件的全部要求。 </w:t>
      </w:r>
    </w:p>
    <w:p>
      <w:pPr>
        <w:widowControl/>
        <w:jc w:val="left"/>
        <w:rPr>
          <w:sz w:val="22"/>
          <w:szCs w:val="28"/>
        </w:rPr>
      </w:pPr>
      <w:r>
        <w:rPr>
          <w:rFonts w:hint="eastAsia" w:ascii="宋体" w:hAnsi="宋体" w:cs="宋体"/>
          <w:color w:val="000000"/>
          <w:kern w:val="0"/>
          <w:sz w:val="22"/>
          <w:szCs w:val="22"/>
        </w:rPr>
        <w:t>（</w:t>
      </w:r>
      <w:r>
        <w:rPr>
          <w:color w:val="000000"/>
          <w:kern w:val="0"/>
          <w:sz w:val="22"/>
          <w:szCs w:val="22"/>
        </w:rPr>
        <w:t>2</w:t>
      </w:r>
      <w:r>
        <w:rPr>
          <w:rFonts w:hint="eastAsia" w:ascii="宋体" w:hAnsi="宋体" w:cs="宋体"/>
          <w:color w:val="000000"/>
          <w:kern w:val="0"/>
          <w:sz w:val="22"/>
          <w:szCs w:val="22"/>
        </w:rPr>
        <w:t>）采用其他品牌（或型号）的应在上述《技术条款偏差表》中注明并提供有关技术性能指标证 明资料等供评标委员会评审，未注明且未提供有关技术性能指标证明资料，或经评标委员会评审未 通过的，中标后只能从招标人推荐（或参考）品牌中进行选择，合同价格不予调整。</w:t>
      </w:r>
    </w:p>
    <w:p>
      <w:pPr>
        <w:pStyle w:val="4"/>
        <w:jc w:val="center"/>
        <w:rPr>
          <w:rFonts w:hint="eastAsia" w:ascii="Times New Roman" w:hAnsi="Times New Roman"/>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rPr>
          <w:rFonts w:hint="eastAsia" w:ascii="Times New Roman" w:hAnsi="Times New Roman"/>
        </w:rPr>
      </w:pPr>
      <w:r>
        <w:rPr>
          <w:rFonts w:hint="eastAsia" w:ascii="Times New Roman" w:hAnsi="Times New Roman"/>
        </w:rPr>
        <w:t>五、资格审查资料</w:t>
      </w:r>
    </w:p>
    <w:p>
      <w:pPr>
        <w:pStyle w:val="4"/>
        <w:jc w:val="center"/>
        <w:rPr>
          <w:rFonts w:ascii="Times New Roman" w:hAnsi="Times New Roman"/>
          <w:szCs w:val="22"/>
        </w:rPr>
      </w:pPr>
      <w:r>
        <w:rPr>
          <w:rFonts w:hint="eastAsia" w:ascii="Times New Roman" w:hAnsi="Times New Roman"/>
        </w:rPr>
        <w:t>（一）投标人基本情况表</w:t>
      </w:r>
      <w:bookmarkEnd w:id="483"/>
      <w:bookmarkEnd w:id="484"/>
      <w:bookmarkEnd w:id="487"/>
      <w:bookmarkEnd w:id="488"/>
      <w:bookmarkEnd w:id="489"/>
    </w:p>
    <w:tbl>
      <w:tblPr>
        <w:tblStyle w:val="55"/>
        <w:tblW w:w="95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1"/>
        <w:gridCol w:w="1013"/>
        <w:gridCol w:w="2584"/>
        <w:gridCol w:w="1217"/>
        <w:gridCol w:w="24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r>
              <w:rPr>
                <w:color w:val="000000"/>
                <w:sz w:val="22"/>
                <w:szCs w:val="22"/>
              </w:rPr>
              <w:t>投标人名称</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r>
              <w:rPr>
                <w:color w:val="000000"/>
                <w:sz w:val="22"/>
                <w:szCs w:val="22"/>
              </w:rPr>
              <w:t>注册</w:t>
            </w:r>
            <w:r>
              <w:rPr>
                <w:sz w:val="22"/>
                <w:szCs w:val="22"/>
              </w:rPr>
              <w:t>资金</w:t>
            </w:r>
          </w:p>
        </w:tc>
        <w:tc>
          <w:tcPr>
            <w:tcW w:w="359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p>
        </w:tc>
        <w:tc>
          <w:tcPr>
            <w:tcW w:w="1217"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r>
              <w:rPr>
                <w:sz w:val="22"/>
                <w:szCs w:val="22"/>
              </w:rPr>
              <w:t>成立时间</w:t>
            </w:r>
          </w:p>
        </w:tc>
        <w:tc>
          <w:tcPr>
            <w:tcW w:w="2434"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注册地址</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邮政编码</w:t>
            </w:r>
          </w:p>
        </w:tc>
        <w:tc>
          <w:tcPr>
            <w:tcW w:w="359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c>
          <w:tcPr>
            <w:tcW w:w="1217"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员工总数</w:t>
            </w:r>
          </w:p>
        </w:tc>
        <w:tc>
          <w:tcPr>
            <w:tcW w:w="243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联系方式</w:t>
            </w:r>
          </w:p>
        </w:tc>
        <w:tc>
          <w:tcPr>
            <w:tcW w:w="1013"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联系人</w:t>
            </w:r>
          </w:p>
        </w:tc>
        <w:tc>
          <w:tcPr>
            <w:tcW w:w="258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c>
          <w:tcPr>
            <w:tcW w:w="1217"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电话</w:t>
            </w:r>
          </w:p>
        </w:tc>
        <w:tc>
          <w:tcPr>
            <w:tcW w:w="243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vMerge w:val="continue"/>
            <w:tcBorders>
              <w:top w:val="single" w:color="auto" w:sz="4" w:space="0"/>
              <w:left w:val="single" w:color="auto" w:sz="4" w:space="0"/>
              <w:bottom w:val="single" w:color="auto" w:sz="4" w:space="0"/>
              <w:right w:val="single" w:color="auto" w:sz="4" w:space="0"/>
            </w:tcBorders>
            <w:vAlign w:val="center"/>
          </w:tcPr>
          <w:p>
            <w:pPr>
              <w:rPr>
                <w:sz w:val="22"/>
                <w:szCs w:val="22"/>
              </w:rPr>
            </w:pPr>
          </w:p>
        </w:tc>
        <w:tc>
          <w:tcPr>
            <w:tcW w:w="1013"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网址</w:t>
            </w:r>
          </w:p>
        </w:tc>
        <w:tc>
          <w:tcPr>
            <w:tcW w:w="258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c>
          <w:tcPr>
            <w:tcW w:w="1217"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传真</w:t>
            </w:r>
          </w:p>
        </w:tc>
        <w:tc>
          <w:tcPr>
            <w:tcW w:w="243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法定代表人</w:t>
            </w:r>
          </w:p>
          <w:p>
            <w:pPr>
              <w:topLinePunct/>
              <w:jc w:val="center"/>
              <w:rPr>
                <w:sz w:val="22"/>
                <w:szCs w:val="22"/>
              </w:rPr>
            </w:pPr>
            <w:r>
              <w:rPr>
                <w:color w:val="000000"/>
                <w:sz w:val="22"/>
                <w:szCs w:val="22"/>
              </w:rPr>
              <w:t>（单位负责人）</w:t>
            </w:r>
          </w:p>
        </w:tc>
        <w:tc>
          <w:tcPr>
            <w:tcW w:w="1013"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姓名</w:t>
            </w:r>
          </w:p>
        </w:tc>
        <w:tc>
          <w:tcPr>
            <w:tcW w:w="258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c>
          <w:tcPr>
            <w:tcW w:w="1217"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电话</w:t>
            </w:r>
          </w:p>
        </w:tc>
        <w:tc>
          <w:tcPr>
            <w:tcW w:w="2434"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r>
              <w:rPr>
                <w:sz w:val="22"/>
                <w:szCs w:val="22"/>
              </w:rPr>
              <w:t>投标人须知要求投标人需具有的各类资质证书</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topLinePunct/>
              <w:ind w:firstLine="110" w:firstLineChars="50"/>
              <w:rPr>
                <w:color w:val="000000"/>
                <w:sz w:val="22"/>
                <w:szCs w:val="22"/>
              </w:rPr>
            </w:pPr>
            <w:r>
              <w:rPr>
                <w:rFonts w:hint="eastAsia"/>
                <w:sz w:val="22"/>
                <w:szCs w:val="22"/>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color w:val="000000"/>
                <w:sz w:val="22"/>
                <w:szCs w:val="22"/>
              </w:rPr>
            </w:pPr>
            <w:r>
              <w:rPr>
                <w:sz w:val="22"/>
                <w:szCs w:val="22"/>
              </w:rPr>
              <w:t>基本账户开户银行</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topLinePunct/>
              <w:ind w:firstLine="110" w:firstLineChars="50"/>
              <w:rPr>
                <w:color w:val="00000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right w:val="single" w:color="auto" w:sz="4" w:space="0"/>
            </w:tcBorders>
            <w:vAlign w:val="center"/>
          </w:tcPr>
          <w:p>
            <w:pPr>
              <w:topLinePunct/>
              <w:jc w:val="center"/>
              <w:rPr>
                <w:sz w:val="22"/>
                <w:szCs w:val="22"/>
              </w:rPr>
            </w:pPr>
            <w:r>
              <w:rPr>
                <w:sz w:val="22"/>
                <w:szCs w:val="22"/>
              </w:rPr>
              <w:t>基本账户银行账号</w:t>
            </w:r>
          </w:p>
        </w:tc>
        <w:tc>
          <w:tcPr>
            <w:tcW w:w="7248" w:type="dxa"/>
            <w:gridSpan w:val="4"/>
            <w:tcBorders>
              <w:top w:val="single" w:color="auto" w:sz="4" w:space="0"/>
              <w:left w:val="single" w:color="auto" w:sz="4" w:space="0"/>
              <w:right w:val="single" w:color="auto" w:sz="4" w:space="0"/>
            </w:tcBorders>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right w:val="single" w:color="auto" w:sz="4" w:space="0"/>
            </w:tcBorders>
            <w:vAlign w:val="center"/>
          </w:tcPr>
          <w:p>
            <w:pPr>
              <w:topLinePunct/>
              <w:jc w:val="center"/>
              <w:rPr>
                <w:sz w:val="22"/>
                <w:szCs w:val="22"/>
              </w:rPr>
            </w:pPr>
            <w:r>
              <w:rPr>
                <w:sz w:val="22"/>
                <w:szCs w:val="22"/>
              </w:rPr>
              <w:t>近三年营业额</w:t>
            </w:r>
          </w:p>
        </w:tc>
        <w:tc>
          <w:tcPr>
            <w:tcW w:w="7248" w:type="dxa"/>
            <w:gridSpan w:val="4"/>
            <w:tcBorders>
              <w:top w:val="single" w:color="auto" w:sz="4" w:space="0"/>
              <w:left w:val="single" w:color="auto" w:sz="4" w:space="0"/>
              <w:right w:val="single" w:color="auto" w:sz="4" w:space="0"/>
            </w:tcBorders>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right w:val="single" w:color="auto" w:sz="4" w:space="0"/>
            </w:tcBorders>
            <w:vAlign w:val="center"/>
          </w:tcPr>
          <w:p>
            <w:pPr>
              <w:topLinePunct/>
              <w:jc w:val="center"/>
              <w:rPr>
                <w:sz w:val="22"/>
                <w:szCs w:val="22"/>
              </w:rPr>
            </w:pPr>
            <w:r>
              <w:rPr>
                <w:sz w:val="22"/>
                <w:szCs w:val="22"/>
              </w:rPr>
              <w:t>投标人关联企业情况（包括但不限于与投标人法定代表人（单位负责人）为同一人或者存在控股、管理关系的不同单位）</w:t>
            </w:r>
          </w:p>
        </w:tc>
        <w:tc>
          <w:tcPr>
            <w:tcW w:w="7248" w:type="dxa"/>
            <w:gridSpan w:val="4"/>
            <w:tcBorders>
              <w:top w:val="single" w:color="auto" w:sz="4" w:space="0"/>
              <w:left w:val="single" w:color="auto" w:sz="4" w:space="0"/>
              <w:right w:val="single" w:color="auto" w:sz="4" w:space="0"/>
            </w:tcBorders>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right w:val="single" w:color="auto" w:sz="4" w:space="0"/>
            </w:tcBorders>
            <w:vAlign w:val="center"/>
          </w:tcPr>
          <w:p>
            <w:pPr>
              <w:topLinePunct/>
              <w:jc w:val="center"/>
              <w:rPr>
                <w:sz w:val="22"/>
                <w:szCs w:val="22"/>
              </w:rPr>
            </w:pPr>
            <w:r>
              <w:rPr>
                <w:sz w:val="22"/>
                <w:szCs w:val="22"/>
              </w:rPr>
              <w:t>投标货物制造商名称</w:t>
            </w:r>
          </w:p>
        </w:tc>
        <w:tc>
          <w:tcPr>
            <w:tcW w:w="7248" w:type="dxa"/>
            <w:gridSpan w:val="4"/>
            <w:tcBorders>
              <w:top w:val="single" w:color="auto" w:sz="4" w:space="0"/>
              <w:left w:val="single" w:color="auto" w:sz="4" w:space="0"/>
              <w:right w:val="single" w:color="auto" w:sz="4" w:space="0"/>
            </w:tcBorders>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right w:val="single" w:color="auto" w:sz="4" w:space="0"/>
            </w:tcBorders>
            <w:vAlign w:val="center"/>
          </w:tcPr>
          <w:p>
            <w:pPr>
              <w:topLinePunct/>
              <w:jc w:val="center"/>
              <w:rPr>
                <w:sz w:val="22"/>
                <w:szCs w:val="22"/>
              </w:rPr>
            </w:pPr>
            <w:r>
              <w:rPr>
                <w:sz w:val="22"/>
                <w:szCs w:val="22"/>
              </w:rPr>
              <w:t>投标人须知要求</w:t>
            </w:r>
          </w:p>
          <w:p>
            <w:pPr>
              <w:topLinePunct/>
              <w:jc w:val="center"/>
              <w:rPr>
                <w:sz w:val="22"/>
                <w:szCs w:val="22"/>
              </w:rPr>
            </w:pPr>
            <w:r>
              <w:rPr>
                <w:sz w:val="22"/>
                <w:szCs w:val="22"/>
              </w:rPr>
              <w:t>投标货物制造商需具有的资质证书</w:t>
            </w:r>
          </w:p>
        </w:tc>
        <w:tc>
          <w:tcPr>
            <w:tcW w:w="7248" w:type="dxa"/>
            <w:gridSpan w:val="4"/>
            <w:tcBorders>
              <w:top w:val="single" w:color="auto" w:sz="4" w:space="0"/>
              <w:left w:val="single" w:color="auto" w:sz="4" w:space="0"/>
              <w:right w:val="single" w:color="auto" w:sz="4" w:space="0"/>
            </w:tcBorders>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r>
              <w:rPr>
                <w:sz w:val="22"/>
                <w:szCs w:val="22"/>
              </w:rPr>
              <w:t>备注</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sz w:val="22"/>
                <w:szCs w:val="22"/>
              </w:rPr>
            </w:pPr>
          </w:p>
        </w:tc>
      </w:tr>
    </w:tbl>
    <w:p>
      <w:pPr>
        <w:spacing w:line="400" w:lineRule="exact"/>
        <w:rPr>
          <w:color w:val="000000"/>
          <w:sz w:val="22"/>
          <w:szCs w:val="28"/>
        </w:rPr>
      </w:pPr>
      <w:r>
        <w:rPr>
          <w:color w:val="000000"/>
          <w:sz w:val="22"/>
          <w:szCs w:val="28"/>
        </w:rPr>
        <w:t>注：</w:t>
      </w:r>
    </w:p>
    <w:p>
      <w:pPr>
        <w:spacing w:line="400" w:lineRule="exact"/>
        <w:ind w:firstLine="440" w:firstLineChars="200"/>
        <w:rPr>
          <w:color w:val="000000"/>
          <w:sz w:val="22"/>
          <w:szCs w:val="28"/>
        </w:rPr>
      </w:pPr>
      <w:r>
        <w:rPr>
          <w:color w:val="000000"/>
          <w:sz w:val="22"/>
          <w:szCs w:val="28"/>
        </w:rPr>
        <w:t>1. 投标人应根据投标人须知第3.5.1项的要求在本表后附相关证明材料。</w:t>
      </w:r>
      <w:r>
        <w:rPr>
          <w:rFonts w:hint="eastAsia"/>
          <w:color w:val="000000"/>
          <w:sz w:val="22"/>
          <w:szCs w:val="28"/>
        </w:rPr>
        <w:t>根据投标人</w:t>
      </w:r>
      <w:r>
        <w:rPr>
          <w:color w:val="000000"/>
          <w:sz w:val="22"/>
          <w:szCs w:val="28"/>
        </w:rPr>
        <w:t>须知前附表第</w:t>
      </w:r>
      <w:r>
        <w:rPr>
          <w:rFonts w:hint="eastAsia"/>
          <w:color w:val="000000"/>
          <w:sz w:val="22"/>
          <w:szCs w:val="28"/>
        </w:rPr>
        <w:t>3.4.1项</w:t>
      </w:r>
      <w:r>
        <w:rPr>
          <w:color w:val="000000"/>
          <w:sz w:val="22"/>
          <w:szCs w:val="28"/>
        </w:rPr>
        <w:t>的要求需要投标人提供基本账户开户证明的，还应附基本账户开户许可</w:t>
      </w:r>
      <w:r>
        <w:rPr>
          <w:rFonts w:hint="eastAsia"/>
          <w:color w:val="000000"/>
          <w:sz w:val="22"/>
          <w:szCs w:val="28"/>
        </w:rPr>
        <w:t>证明</w:t>
      </w:r>
      <w:r>
        <w:rPr>
          <w:color w:val="000000"/>
          <w:sz w:val="22"/>
          <w:szCs w:val="28"/>
        </w:rPr>
        <w:t>扫描件。</w:t>
      </w:r>
    </w:p>
    <w:p>
      <w:pPr>
        <w:spacing w:line="400" w:lineRule="exact"/>
        <w:ind w:firstLine="440" w:firstLineChars="200"/>
        <w:rPr>
          <w:rFonts w:hint="eastAsia"/>
          <w:sz w:val="22"/>
        </w:rPr>
      </w:pPr>
      <w:r>
        <w:rPr>
          <w:color w:val="000000"/>
          <w:sz w:val="22"/>
          <w:szCs w:val="28"/>
        </w:rPr>
        <w:t>2. 如</w:t>
      </w:r>
      <w:r>
        <w:rPr>
          <w:rFonts w:hint="eastAsia"/>
          <w:color w:val="000000"/>
          <w:sz w:val="22"/>
          <w:szCs w:val="28"/>
        </w:rPr>
        <w:t>果</w:t>
      </w:r>
      <w:r>
        <w:rPr>
          <w:color w:val="000000"/>
          <w:sz w:val="22"/>
          <w:szCs w:val="28"/>
        </w:rPr>
        <w:t>投标人须知第1.4.1项对投标货物制造商的资质提出了要求，投标人应根据投标人须知第3.5.1项的要求在本表后附相关资质证书</w:t>
      </w:r>
      <w:r>
        <w:rPr>
          <w:rFonts w:hint="eastAsia"/>
          <w:color w:val="000000"/>
          <w:sz w:val="22"/>
          <w:szCs w:val="28"/>
        </w:rPr>
        <w:t>扫描</w:t>
      </w:r>
      <w:r>
        <w:rPr>
          <w:color w:val="000000"/>
          <w:sz w:val="22"/>
          <w:szCs w:val="28"/>
        </w:rPr>
        <w:t>件。</w:t>
      </w:r>
    </w:p>
    <w:p>
      <w:pPr>
        <w:pStyle w:val="4"/>
        <w:jc w:val="center"/>
        <w:rPr>
          <w:rFonts w:hint="eastAsia" w:ascii="Times New Roman" w:hAnsi="Times New Roman"/>
        </w:rPr>
      </w:pPr>
      <w:r>
        <w:rPr>
          <w:rFonts w:ascii="Times New Roman" w:hAnsi="Times New Roman"/>
          <w:szCs w:val="22"/>
        </w:rPr>
        <w:br w:type="page"/>
      </w:r>
      <w:bookmarkStart w:id="490" w:name="_Toc535241230"/>
      <w:bookmarkStart w:id="491" w:name="_Toc535241133"/>
      <w:bookmarkStart w:id="492" w:name="_Toc535241087"/>
      <w:r>
        <w:rPr>
          <w:rFonts w:hint="eastAsia" w:ascii="Times New Roman" w:hAnsi="Times New Roman"/>
        </w:rPr>
        <w:t>（二）</w:t>
      </w:r>
      <w:bookmarkEnd w:id="490"/>
      <w:bookmarkEnd w:id="491"/>
      <w:bookmarkEnd w:id="492"/>
      <w:r>
        <w:rPr>
          <w:rFonts w:hint="eastAsia" w:ascii="Times New Roman" w:hAnsi="Times New Roman"/>
        </w:rPr>
        <w:t>近年完成的类似项目情况表</w:t>
      </w:r>
    </w:p>
    <w:tbl>
      <w:tblPr>
        <w:tblStyle w:val="5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rFonts w:hint="eastAsia"/>
                <w:sz w:val="22"/>
                <w:szCs w:val="22"/>
              </w:rPr>
              <w:t>货物</w:t>
            </w:r>
            <w:r>
              <w:rPr>
                <w:sz w:val="22"/>
                <w:szCs w:val="22"/>
              </w:rPr>
              <w:t>名称</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sz w:val="22"/>
                <w:szCs w:val="22"/>
              </w:rPr>
              <w:t>规格和型号</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sz w:val="22"/>
                <w:szCs w:val="22"/>
              </w:rPr>
              <w:t>项目名称</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sz w:val="22"/>
                <w:szCs w:val="22"/>
              </w:rPr>
              <w:t>买方名称</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sz w:val="22"/>
                <w:szCs w:val="22"/>
              </w:rPr>
              <w:t>买方联系人及电话</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vAlign w:val="center"/>
          </w:tcPr>
          <w:p>
            <w:pPr>
              <w:topLinePunct/>
              <w:jc w:val="center"/>
              <w:rPr>
                <w:sz w:val="22"/>
                <w:szCs w:val="22"/>
              </w:rPr>
            </w:pPr>
            <w:r>
              <w:rPr>
                <w:sz w:val="22"/>
                <w:szCs w:val="22"/>
              </w:rPr>
              <w:t>合同价格</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80" w:type="dxa"/>
            <w:vAlign w:val="center"/>
          </w:tcPr>
          <w:p>
            <w:pPr>
              <w:topLinePunct/>
              <w:jc w:val="center"/>
              <w:rPr>
                <w:rFonts w:hint="eastAsia"/>
                <w:sz w:val="22"/>
                <w:szCs w:val="22"/>
              </w:rPr>
            </w:pPr>
            <w:r>
              <w:rPr>
                <w:rFonts w:hint="eastAsia"/>
                <w:sz w:val="22"/>
                <w:szCs w:val="22"/>
              </w:rPr>
              <w:t>合同项目负责人（如</w:t>
            </w:r>
          </w:p>
          <w:p>
            <w:pPr>
              <w:topLinePunct/>
              <w:jc w:val="center"/>
              <w:rPr>
                <w:sz w:val="22"/>
                <w:szCs w:val="22"/>
              </w:rPr>
            </w:pPr>
            <w:r>
              <w:rPr>
                <w:rFonts w:hint="eastAsia"/>
                <w:sz w:val="22"/>
                <w:szCs w:val="22"/>
              </w:rPr>
              <w:t>有）</w:t>
            </w:r>
          </w:p>
        </w:tc>
        <w:tc>
          <w:tcPr>
            <w:tcW w:w="6559" w:type="dxa"/>
            <w:vAlign w:val="center"/>
          </w:tcPr>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380" w:type="dxa"/>
            <w:vAlign w:val="center"/>
          </w:tcPr>
          <w:p>
            <w:pPr>
              <w:topLinePunct/>
              <w:jc w:val="center"/>
              <w:rPr>
                <w:sz w:val="22"/>
                <w:szCs w:val="22"/>
              </w:rPr>
            </w:pPr>
            <w:r>
              <w:rPr>
                <w:sz w:val="22"/>
                <w:szCs w:val="22"/>
              </w:rPr>
              <w:t>项目概况及投标人履约情况</w:t>
            </w:r>
          </w:p>
        </w:tc>
        <w:tc>
          <w:tcPr>
            <w:tcW w:w="6559" w:type="dxa"/>
            <w:vAlign w:val="center"/>
          </w:tcPr>
          <w:p>
            <w:pPr>
              <w:topLinePunct/>
              <w:rPr>
                <w:sz w:val="22"/>
                <w:szCs w:val="22"/>
              </w:rPr>
            </w:pPr>
          </w:p>
          <w:p>
            <w:pPr>
              <w:topLinePunct/>
              <w:rPr>
                <w:sz w:val="22"/>
                <w:szCs w:val="22"/>
              </w:rPr>
            </w:pPr>
          </w:p>
          <w:p>
            <w:pPr>
              <w:topLinePunct/>
              <w:rPr>
                <w:sz w:val="22"/>
                <w:szCs w:val="22"/>
              </w:rPr>
            </w:pPr>
          </w:p>
          <w:p>
            <w:pPr>
              <w:topLinePunct/>
              <w:rPr>
                <w:sz w:val="22"/>
                <w:szCs w:val="22"/>
              </w:rPr>
            </w:pPr>
          </w:p>
          <w:p>
            <w:pPr>
              <w:topLinePunct/>
              <w:rPr>
                <w:sz w:val="22"/>
                <w:szCs w:val="22"/>
              </w:rPr>
            </w:pPr>
          </w:p>
          <w:p>
            <w:pPr>
              <w:topLinePunct/>
              <w:rPr>
                <w:sz w:val="22"/>
                <w:szCs w:val="22"/>
              </w:rPr>
            </w:pPr>
          </w:p>
          <w:p>
            <w:pPr>
              <w:topLinePun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80" w:type="dxa"/>
            <w:vAlign w:val="center"/>
          </w:tcPr>
          <w:p>
            <w:pPr>
              <w:topLinePunct/>
              <w:jc w:val="center"/>
              <w:rPr>
                <w:sz w:val="22"/>
                <w:szCs w:val="22"/>
              </w:rPr>
            </w:pPr>
            <w:r>
              <w:rPr>
                <w:sz w:val="22"/>
                <w:szCs w:val="22"/>
              </w:rPr>
              <w:t>备注</w:t>
            </w:r>
          </w:p>
        </w:tc>
        <w:tc>
          <w:tcPr>
            <w:tcW w:w="6559" w:type="dxa"/>
            <w:vAlign w:val="center"/>
          </w:tcPr>
          <w:p>
            <w:pPr>
              <w:topLinePunct/>
              <w:rPr>
                <w:sz w:val="22"/>
                <w:szCs w:val="22"/>
              </w:rPr>
            </w:pPr>
          </w:p>
        </w:tc>
      </w:tr>
    </w:tbl>
    <w:p>
      <w:pPr>
        <w:ind w:firstLine="440" w:firstLineChars="200"/>
        <w:rPr>
          <w:sz w:val="22"/>
          <w:szCs w:val="28"/>
        </w:rPr>
      </w:pPr>
      <w:r>
        <w:rPr>
          <w:sz w:val="22"/>
          <w:szCs w:val="28"/>
        </w:rPr>
        <w:t>注：</w:t>
      </w:r>
      <w:r>
        <w:rPr>
          <w:rFonts w:hint="eastAsia"/>
          <w:sz w:val="22"/>
          <w:szCs w:val="28"/>
        </w:rPr>
        <w:t>投标人应根据招标文件及符合“评标办法”要求在本表后附相关证明材料。</w:t>
      </w:r>
    </w:p>
    <w:p>
      <w:pPr>
        <w:adjustRightInd w:val="0"/>
        <w:snapToGrid w:val="0"/>
        <w:spacing w:line="360" w:lineRule="auto"/>
        <w:jc w:val="center"/>
        <w:rPr>
          <w:rFonts w:hint="eastAsia"/>
          <w:b/>
          <w:bCs/>
          <w:sz w:val="24"/>
          <w:szCs w:val="32"/>
        </w:rPr>
      </w:pPr>
      <w:bookmarkStart w:id="493" w:name="_Toc460660227"/>
      <w:bookmarkStart w:id="494" w:name="_Toc460227112"/>
      <w:bookmarkStart w:id="495" w:name="_Toc421917005"/>
      <w:bookmarkStart w:id="496" w:name="_Toc390411625"/>
      <w:r>
        <w:rPr>
          <w:b/>
          <w:bCs/>
          <w:szCs w:val="21"/>
        </w:rPr>
        <w:br w:type="page"/>
      </w:r>
      <w:bookmarkEnd w:id="493"/>
      <w:bookmarkEnd w:id="494"/>
      <w:bookmarkEnd w:id="495"/>
      <w:bookmarkEnd w:id="496"/>
      <w:bookmarkStart w:id="497" w:name="_Toc460660230"/>
      <w:bookmarkStart w:id="498" w:name="_Toc421917009"/>
      <w:bookmarkStart w:id="499" w:name="_Toc459832202"/>
      <w:r>
        <w:rPr>
          <w:rFonts w:hint="eastAsia"/>
          <w:b/>
          <w:bCs/>
          <w:sz w:val="24"/>
          <w:szCs w:val="32"/>
        </w:rPr>
        <w:t>（三）</w:t>
      </w:r>
      <w:bookmarkEnd w:id="497"/>
      <w:r>
        <w:rPr>
          <w:rFonts w:hint="eastAsia"/>
          <w:b/>
          <w:bCs/>
          <w:sz w:val="24"/>
          <w:szCs w:val="32"/>
        </w:rPr>
        <w:t>制造商授权书</w:t>
      </w:r>
      <w:r>
        <w:rPr>
          <w:rStyle w:val="64"/>
          <w:b/>
          <w:bCs/>
          <w:sz w:val="24"/>
          <w:szCs w:val="32"/>
        </w:rPr>
        <w:footnoteReference w:id="1"/>
      </w:r>
    </w:p>
    <w:bookmarkEnd w:id="498"/>
    <w:bookmarkEnd w:id="499"/>
    <w:p>
      <w:pPr>
        <w:spacing w:line="360" w:lineRule="auto"/>
        <w:ind w:firstLine="440" w:firstLineChars="200"/>
        <w:rPr>
          <w:rFonts w:hint="eastAsia"/>
          <w:bCs/>
          <w:sz w:val="22"/>
          <w:szCs w:val="22"/>
        </w:rPr>
      </w:pPr>
      <w:r>
        <w:rPr>
          <w:rFonts w:hint="eastAsia"/>
          <w:bCs/>
          <w:sz w:val="22"/>
          <w:szCs w:val="22"/>
        </w:rPr>
        <w:t>致：</w:t>
      </w:r>
      <w:r>
        <w:rPr>
          <w:rFonts w:hint="eastAsia"/>
          <w:bCs/>
          <w:sz w:val="22"/>
          <w:szCs w:val="22"/>
          <w:u w:val="single"/>
        </w:rPr>
        <w:t xml:space="preserve">                  </w:t>
      </w:r>
      <w:r>
        <w:rPr>
          <w:rFonts w:hint="eastAsia"/>
          <w:bCs/>
          <w:sz w:val="22"/>
          <w:szCs w:val="22"/>
        </w:rPr>
        <w:t>（招标人）</w:t>
      </w:r>
    </w:p>
    <w:p>
      <w:pPr>
        <w:spacing w:line="360" w:lineRule="auto"/>
        <w:ind w:firstLine="440" w:firstLineChars="200"/>
        <w:rPr>
          <w:rFonts w:hint="eastAsia"/>
          <w:bCs/>
          <w:sz w:val="22"/>
          <w:szCs w:val="22"/>
        </w:rPr>
      </w:pPr>
      <w:r>
        <w:rPr>
          <w:rFonts w:hint="eastAsia"/>
          <w:bCs/>
          <w:sz w:val="22"/>
          <w:szCs w:val="22"/>
        </w:rPr>
        <w:t>我单位</w:t>
      </w:r>
      <w:r>
        <w:rPr>
          <w:rFonts w:hint="eastAsia"/>
          <w:bCs/>
          <w:sz w:val="22"/>
          <w:szCs w:val="22"/>
          <w:u w:val="single"/>
        </w:rPr>
        <w:t xml:space="preserve">                  </w:t>
      </w:r>
      <w:r>
        <w:rPr>
          <w:rFonts w:hint="eastAsia"/>
          <w:bCs/>
          <w:sz w:val="22"/>
          <w:szCs w:val="22"/>
        </w:rPr>
        <w:t>（制造商名称）是按</w:t>
      </w:r>
      <w:r>
        <w:rPr>
          <w:rFonts w:hint="eastAsia"/>
          <w:bCs/>
          <w:sz w:val="22"/>
          <w:szCs w:val="22"/>
          <w:u w:val="single"/>
        </w:rPr>
        <w:t xml:space="preserve">            </w:t>
      </w:r>
      <w:r>
        <w:rPr>
          <w:rFonts w:hint="eastAsia"/>
          <w:bCs/>
          <w:sz w:val="22"/>
          <w:szCs w:val="22"/>
        </w:rPr>
        <w:t>（国家／地区名称）法律成立的一家制造商，主要营业地点设在</w:t>
      </w:r>
      <w:r>
        <w:rPr>
          <w:rFonts w:hint="eastAsia"/>
          <w:bCs/>
          <w:sz w:val="22"/>
          <w:szCs w:val="22"/>
          <w:u w:val="single"/>
        </w:rPr>
        <w:t xml:space="preserve">             </w:t>
      </w:r>
      <w:r>
        <w:rPr>
          <w:rFonts w:hint="eastAsia"/>
          <w:bCs/>
          <w:sz w:val="22"/>
          <w:szCs w:val="22"/>
        </w:rPr>
        <w:t>（制造商地址）。兹授权按</w:t>
      </w:r>
      <w:r>
        <w:rPr>
          <w:rFonts w:hint="eastAsia"/>
          <w:bCs/>
          <w:sz w:val="22"/>
          <w:szCs w:val="22"/>
          <w:u w:val="single"/>
        </w:rPr>
        <w:t xml:space="preserve">           </w:t>
      </w:r>
      <w:r>
        <w:rPr>
          <w:rFonts w:hint="eastAsia"/>
          <w:bCs/>
          <w:sz w:val="22"/>
          <w:szCs w:val="22"/>
        </w:rPr>
        <w:t>（国家／地区名称）的法律正式成立的，主要营业地点设在</w:t>
      </w:r>
      <w:r>
        <w:rPr>
          <w:rFonts w:hint="eastAsia"/>
          <w:bCs/>
          <w:sz w:val="22"/>
          <w:szCs w:val="22"/>
          <w:u w:val="single"/>
        </w:rPr>
        <w:t xml:space="preserve">         </w:t>
      </w:r>
      <w:r>
        <w:rPr>
          <w:rFonts w:hint="eastAsia"/>
          <w:bCs/>
          <w:sz w:val="22"/>
          <w:szCs w:val="22"/>
        </w:rPr>
        <w:t>（投标人的单位地址）的</w:t>
      </w:r>
      <w:r>
        <w:rPr>
          <w:rFonts w:hint="eastAsia"/>
          <w:bCs/>
          <w:sz w:val="22"/>
          <w:szCs w:val="22"/>
          <w:u w:val="single"/>
        </w:rPr>
        <w:t xml:space="preserve">         </w:t>
      </w:r>
      <w:r>
        <w:rPr>
          <w:rFonts w:hint="eastAsia"/>
          <w:bCs/>
          <w:sz w:val="22"/>
          <w:szCs w:val="22"/>
        </w:rPr>
        <w:t>（投标人名称）以我单位制造的</w:t>
      </w:r>
      <w:r>
        <w:rPr>
          <w:rFonts w:hint="eastAsia"/>
          <w:bCs/>
          <w:sz w:val="22"/>
          <w:szCs w:val="22"/>
          <w:u w:val="single"/>
        </w:rPr>
        <w:t xml:space="preserve">                  </w:t>
      </w:r>
      <w:r>
        <w:rPr>
          <w:rFonts w:hint="eastAsia"/>
          <w:bCs/>
          <w:sz w:val="22"/>
          <w:szCs w:val="22"/>
        </w:rPr>
        <w:t>（</w:t>
      </w:r>
      <w:r>
        <w:rPr>
          <w:rFonts w:hint="eastAsia"/>
          <w:sz w:val="22"/>
          <w:szCs w:val="22"/>
        </w:rPr>
        <w:t>货物</w:t>
      </w:r>
      <w:r>
        <w:rPr>
          <w:rFonts w:hint="eastAsia"/>
          <w:bCs/>
          <w:sz w:val="22"/>
          <w:szCs w:val="22"/>
        </w:rPr>
        <w:t>名称）进行</w:t>
      </w:r>
      <w:r>
        <w:rPr>
          <w:rFonts w:hint="eastAsia"/>
          <w:bCs/>
          <w:sz w:val="22"/>
          <w:szCs w:val="22"/>
          <w:u w:val="single"/>
        </w:rPr>
        <w:t xml:space="preserve">                  </w:t>
      </w:r>
      <w:r>
        <w:rPr>
          <w:rFonts w:hint="eastAsia"/>
          <w:bCs/>
          <w:sz w:val="22"/>
          <w:szCs w:val="22"/>
        </w:rPr>
        <w:t>（招标项目名称）投标活动。我单位同意按照中标合同供货，并对产品质量承担责任。</w:t>
      </w:r>
    </w:p>
    <w:p>
      <w:pPr>
        <w:spacing w:line="360" w:lineRule="auto"/>
        <w:ind w:firstLine="440" w:firstLineChars="200"/>
        <w:rPr>
          <w:rFonts w:hint="eastAsia"/>
          <w:bCs/>
          <w:sz w:val="22"/>
          <w:szCs w:val="22"/>
        </w:rPr>
      </w:pPr>
      <w:r>
        <w:rPr>
          <w:rFonts w:hint="eastAsia"/>
          <w:bCs/>
          <w:sz w:val="22"/>
          <w:szCs w:val="22"/>
        </w:rPr>
        <w:t>授权期限：</w:t>
      </w:r>
      <w:r>
        <w:rPr>
          <w:rFonts w:hint="eastAsia"/>
          <w:bCs/>
          <w:sz w:val="22"/>
          <w:szCs w:val="22"/>
          <w:u w:val="single"/>
        </w:rPr>
        <w:t xml:space="preserve">                  </w:t>
      </w:r>
      <w:r>
        <w:rPr>
          <w:rFonts w:hint="eastAsia"/>
          <w:bCs/>
          <w:sz w:val="22"/>
          <w:szCs w:val="22"/>
        </w:rPr>
        <w:t>。</w:t>
      </w:r>
    </w:p>
    <w:p>
      <w:pPr>
        <w:spacing w:line="360" w:lineRule="auto"/>
        <w:ind w:firstLine="440" w:firstLineChars="200"/>
        <w:rPr>
          <w:bCs/>
          <w:sz w:val="22"/>
          <w:szCs w:val="22"/>
        </w:rPr>
      </w:pPr>
    </w:p>
    <w:p>
      <w:pPr>
        <w:spacing w:line="360" w:lineRule="auto"/>
        <w:ind w:firstLine="440" w:firstLineChars="200"/>
        <w:rPr>
          <w:bCs/>
          <w:sz w:val="22"/>
          <w:szCs w:val="22"/>
        </w:rPr>
      </w:pPr>
    </w:p>
    <w:p>
      <w:pPr>
        <w:spacing w:line="360" w:lineRule="auto"/>
        <w:ind w:firstLine="440" w:firstLineChars="200"/>
        <w:rPr>
          <w:rFonts w:hint="eastAsia"/>
          <w:bCs/>
          <w:sz w:val="22"/>
          <w:szCs w:val="22"/>
        </w:rPr>
      </w:pPr>
      <w:r>
        <w:rPr>
          <w:rFonts w:hint="eastAsia"/>
          <w:bCs/>
          <w:sz w:val="22"/>
          <w:szCs w:val="22"/>
        </w:rPr>
        <w:t>投标人名称：</w:t>
      </w:r>
      <w:r>
        <w:rPr>
          <w:rFonts w:hint="eastAsia"/>
          <w:bCs/>
          <w:sz w:val="22"/>
          <w:szCs w:val="22"/>
          <w:u w:val="single"/>
        </w:rPr>
        <w:t xml:space="preserve">                  </w:t>
      </w:r>
      <w:r>
        <w:rPr>
          <w:rFonts w:hint="eastAsia"/>
          <w:bCs/>
          <w:sz w:val="22"/>
          <w:szCs w:val="22"/>
        </w:rPr>
        <w:t>（盖单位章）  制造商名称：</w:t>
      </w:r>
      <w:r>
        <w:rPr>
          <w:rFonts w:hint="eastAsia"/>
          <w:bCs/>
          <w:sz w:val="22"/>
          <w:szCs w:val="22"/>
          <w:u w:val="single"/>
        </w:rPr>
        <w:t xml:space="preserve">              </w:t>
      </w:r>
      <w:r>
        <w:rPr>
          <w:rFonts w:hint="eastAsia"/>
          <w:bCs/>
          <w:sz w:val="22"/>
          <w:szCs w:val="22"/>
        </w:rPr>
        <w:t>（盖单位章）</w:t>
      </w:r>
    </w:p>
    <w:p>
      <w:pPr>
        <w:spacing w:line="360" w:lineRule="auto"/>
        <w:ind w:firstLine="440" w:firstLineChars="200"/>
        <w:rPr>
          <w:rFonts w:hint="eastAsia"/>
          <w:bCs/>
          <w:sz w:val="22"/>
          <w:szCs w:val="22"/>
        </w:rPr>
      </w:pPr>
    </w:p>
    <w:p>
      <w:pPr>
        <w:spacing w:line="360" w:lineRule="auto"/>
        <w:ind w:firstLine="440" w:firstLineChars="200"/>
        <w:rPr>
          <w:rFonts w:hint="eastAsia"/>
          <w:bCs/>
          <w:sz w:val="22"/>
          <w:szCs w:val="22"/>
        </w:rPr>
      </w:pPr>
      <w:r>
        <w:rPr>
          <w:rFonts w:hint="eastAsia"/>
          <w:bCs/>
          <w:sz w:val="22"/>
          <w:szCs w:val="22"/>
        </w:rPr>
        <w:t>签字人职务：</w:t>
      </w:r>
      <w:r>
        <w:rPr>
          <w:rFonts w:hint="eastAsia"/>
          <w:bCs/>
          <w:sz w:val="22"/>
          <w:szCs w:val="22"/>
          <w:u w:val="single"/>
        </w:rPr>
        <w:t xml:space="preserve">                             </w:t>
      </w:r>
      <w:r>
        <w:rPr>
          <w:rFonts w:hint="eastAsia"/>
          <w:bCs/>
          <w:sz w:val="22"/>
          <w:szCs w:val="22"/>
        </w:rPr>
        <w:t xml:space="preserve">   签字人职务：</w:t>
      </w:r>
      <w:r>
        <w:rPr>
          <w:rFonts w:hint="eastAsia"/>
          <w:bCs/>
          <w:sz w:val="22"/>
          <w:szCs w:val="22"/>
          <w:u w:val="single"/>
        </w:rPr>
        <w:t xml:space="preserve">                       </w:t>
      </w:r>
    </w:p>
    <w:p>
      <w:pPr>
        <w:spacing w:line="360" w:lineRule="auto"/>
        <w:ind w:firstLine="440" w:firstLineChars="200"/>
        <w:rPr>
          <w:rFonts w:hint="eastAsia"/>
          <w:bCs/>
          <w:sz w:val="22"/>
          <w:szCs w:val="22"/>
        </w:rPr>
      </w:pPr>
      <w:r>
        <w:rPr>
          <w:rFonts w:hint="eastAsia"/>
          <w:bCs/>
          <w:sz w:val="22"/>
          <w:szCs w:val="22"/>
        </w:rPr>
        <w:t>签字人姓名：</w:t>
      </w:r>
      <w:r>
        <w:rPr>
          <w:rFonts w:hint="eastAsia"/>
          <w:bCs/>
          <w:sz w:val="22"/>
          <w:szCs w:val="22"/>
          <w:u w:val="single"/>
        </w:rPr>
        <w:t xml:space="preserve">                             </w:t>
      </w:r>
      <w:r>
        <w:rPr>
          <w:rFonts w:hint="eastAsia"/>
          <w:bCs/>
          <w:sz w:val="22"/>
          <w:szCs w:val="22"/>
        </w:rPr>
        <w:t xml:space="preserve">   签字人姓名：</w:t>
      </w:r>
      <w:r>
        <w:rPr>
          <w:rFonts w:hint="eastAsia"/>
          <w:bCs/>
          <w:sz w:val="22"/>
          <w:szCs w:val="22"/>
          <w:u w:val="single"/>
        </w:rPr>
        <w:t xml:space="preserve">                       </w:t>
      </w:r>
    </w:p>
    <w:p>
      <w:pPr>
        <w:spacing w:line="360" w:lineRule="auto"/>
        <w:ind w:firstLine="440" w:firstLineChars="200"/>
        <w:rPr>
          <w:bCs/>
          <w:sz w:val="22"/>
          <w:szCs w:val="22"/>
        </w:rPr>
      </w:pPr>
      <w:r>
        <w:rPr>
          <w:rFonts w:hint="eastAsia"/>
          <w:bCs/>
          <w:sz w:val="22"/>
          <w:szCs w:val="22"/>
        </w:rPr>
        <w:t>签字人签名：</w:t>
      </w:r>
      <w:r>
        <w:rPr>
          <w:rFonts w:hint="eastAsia"/>
          <w:bCs/>
          <w:sz w:val="22"/>
          <w:szCs w:val="22"/>
          <w:u w:val="single"/>
        </w:rPr>
        <w:t xml:space="preserve">                             </w:t>
      </w:r>
      <w:r>
        <w:rPr>
          <w:rFonts w:hint="eastAsia"/>
          <w:bCs/>
          <w:sz w:val="22"/>
          <w:szCs w:val="22"/>
        </w:rPr>
        <w:t xml:space="preserve">   签字人签名：</w:t>
      </w:r>
      <w:r>
        <w:rPr>
          <w:rFonts w:hint="eastAsia"/>
          <w:bCs/>
          <w:sz w:val="22"/>
          <w:szCs w:val="22"/>
          <w:u w:val="single"/>
        </w:rPr>
        <w:t xml:space="preserve">                       </w:t>
      </w:r>
    </w:p>
    <w:p>
      <w:pPr>
        <w:pStyle w:val="4"/>
        <w:jc w:val="center"/>
        <w:rPr>
          <w:rFonts w:hint="eastAsia" w:ascii="Times New Roman" w:hAnsi="Times New Roman"/>
        </w:rPr>
      </w:pPr>
      <w:r>
        <w:rPr>
          <w:rFonts w:ascii="Times New Roman" w:hAnsi="Times New Roman"/>
          <w:sz w:val="22"/>
          <w:szCs w:val="22"/>
        </w:rPr>
        <w:br w:type="page"/>
      </w:r>
      <w:r>
        <w:rPr>
          <w:rFonts w:hint="eastAsia" w:ascii="Times New Roman" w:hAnsi="Times New Roman"/>
        </w:rPr>
        <w:t>（四）拟</w:t>
      </w:r>
      <w:r>
        <w:rPr>
          <w:rFonts w:hint="eastAsia" w:ascii="Times New Roman" w:hAnsi="Times New Roman"/>
          <w:lang w:eastAsia="zh-CN"/>
        </w:rPr>
        <w:t>委派</w:t>
      </w:r>
      <w:r>
        <w:rPr>
          <w:rFonts w:hint="eastAsia" w:ascii="Times New Roman" w:hAnsi="Times New Roman"/>
        </w:rPr>
        <w:t>的项目负责人简历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szCs w:val="21"/>
              </w:rPr>
            </w:pPr>
            <w:r>
              <w:rPr>
                <w:szCs w:val="21"/>
              </w:rPr>
              <w:t>姓  名</w:t>
            </w:r>
          </w:p>
        </w:tc>
        <w:tc>
          <w:tcPr>
            <w:tcW w:w="792" w:type="pct"/>
            <w:gridSpan w:val="2"/>
            <w:vAlign w:val="center"/>
          </w:tcPr>
          <w:p>
            <w:pPr>
              <w:jc w:val="center"/>
              <w:rPr>
                <w:szCs w:val="21"/>
              </w:rPr>
            </w:pPr>
          </w:p>
        </w:tc>
        <w:tc>
          <w:tcPr>
            <w:tcW w:w="703" w:type="pct"/>
            <w:gridSpan w:val="2"/>
            <w:vAlign w:val="center"/>
          </w:tcPr>
          <w:p>
            <w:pPr>
              <w:jc w:val="center"/>
              <w:rPr>
                <w:szCs w:val="21"/>
              </w:rPr>
            </w:pPr>
            <w:r>
              <w:rPr>
                <w:szCs w:val="21"/>
              </w:rPr>
              <w:t>年 龄</w:t>
            </w:r>
          </w:p>
        </w:tc>
        <w:tc>
          <w:tcPr>
            <w:tcW w:w="803" w:type="pct"/>
            <w:vAlign w:val="center"/>
          </w:tcPr>
          <w:p>
            <w:pPr>
              <w:jc w:val="center"/>
              <w:rPr>
                <w:szCs w:val="21"/>
              </w:rPr>
            </w:pPr>
          </w:p>
        </w:tc>
        <w:tc>
          <w:tcPr>
            <w:tcW w:w="904" w:type="pct"/>
            <w:gridSpan w:val="2"/>
            <w:vAlign w:val="center"/>
          </w:tcPr>
          <w:p>
            <w:pPr>
              <w:jc w:val="center"/>
              <w:rPr>
                <w:szCs w:val="21"/>
              </w:rPr>
            </w:pPr>
            <w:r>
              <w:rPr>
                <w:szCs w:val="21"/>
              </w:rPr>
              <w:t>学</w:t>
            </w:r>
            <w:r>
              <w:rPr>
                <w:rFonts w:hint="eastAsia"/>
                <w:szCs w:val="21"/>
              </w:rPr>
              <w:t xml:space="preserve"> </w:t>
            </w:r>
            <w:r>
              <w:rPr>
                <w:szCs w:val="21"/>
              </w:rPr>
              <w:t>历</w:t>
            </w:r>
          </w:p>
        </w:tc>
        <w:tc>
          <w:tcPr>
            <w:tcW w:w="109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szCs w:val="21"/>
              </w:rPr>
            </w:pPr>
            <w:r>
              <w:rPr>
                <w:szCs w:val="21"/>
              </w:rPr>
              <w:t>职  称</w:t>
            </w:r>
          </w:p>
        </w:tc>
        <w:tc>
          <w:tcPr>
            <w:tcW w:w="792" w:type="pct"/>
            <w:gridSpan w:val="2"/>
            <w:vAlign w:val="center"/>
          </w:tcPr>
          <w:p>
            <w:pPr>
              <w:jc w:val="center"/>
              <w:rPr>
                <w:szCs w:val="21"/>
              </w:rPr>
            </w:pPr>
          </w:p>
        </w:tc>
        <w:tc>
          <w:tcPr>
            <w:tcW w:w="703" w:type="pct"/>
            <w:gridSpan w:val="2"/>
            <w:vAlign w:val="center"/>
          </w:tcPr>
          <w:p>
            <w:pPr>
              <w:jc w:val="center"/>
              <w:rPr>
                <w:szCs w:val="21"/>
              </w:rPr>
            </w:pPr>
            <w:r>
              <w:rPr>
                <w:rFonts w:hint="eastAsia"/>
                <w:szCs w:val="21"/>
              </w:rPr>
              <w:t>单位</w:t>
            </w:r>
          </w:p>
          <w:p>
            <w:pPr>
              <w:jc w:val="center"/>
              <w:rPr>
                <w:szCs w:val="21"/>
              </w:rPr>
            </w:pPr>
            <w:r>
              <w:rPr>
                <w:szCs w:val="21"/>
              </w:rPr>
              <w:t>职务</w:t>
            </w:r>
          </w:p>
        </w:tc>
        <w:tc>
          <w:tcPr>
            <w:tcW w:w="803" w:type="pct"/>
            <w:vAlign w:val="center"/>
          </w:tcPr>
          <w:p>
            <w:pPr>
              <w:jc w:val="center"/>
              <w:rPr>
                <w:szCs w:val="21"/>
              </w:rPr>
            </w:pPr>
          </w:p>
        </w:tc>
        <w:tc>
          <w:tcPr>
            <w:tcW w:w="904" w:type="pct"/>
            <w:gridSpan w:val="2"/>
            <w:vAlign w:val="center"/>
          </w:tcPr>
          <w:p>
            <w:pPr>
              <w:jc w:val="center"/>
              <w:rPr>
                <w:szCs w:val="21"/>
              </w:rPr>
            </w:pPr>
            <w:r>
              <w:rPr>
                <w:szCs w:val="21"/>
              </w:rPr>
              <w:t>拟在本</w:t>
            </w:r>
            <w:r>
              <w:rPr>
                <w:rFonts w:hint="eastAsia"/>
                <w:szCs w:val="21"/>
              </w:rPr>
              <w:t>标段</w:t>
            </w:r>
          </w:p>
          <w:p>
            <w:pPr>
              <w:jc w:val="center"/>
              <w:rPr>
                <w:szCs w:val="21"/>
              </w:rPr>
            </w:pPr>
            <w:r>
              <w:rPr>
                <w:rFonts w:hint="eastAsia"/>
                <w:szCs w:val="21"/>
              </w:rPr>
              <w:t>项目担任职务</w:t>
            </w:r>
          </w:p>
        </w:tc>
        <w:tc>
          <w:tcPr>
            <w:tcW w:w="109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szCs w:val="21"/>
              </w:rPr>
            </w:pPr>
            <w:r>
              <w:rPr>
                <w:szCs w:val="21"/>
              </w:rPr>
              <w:t>毕业学校</w:t>
            </w:r>
          </w:p>
        </w:tc>
        <w:tc>
          <w:tcPr>
            <w:tcW w:w="4298" w:type="pct"/>
            <w:gridSpan w:val="8"/>
            <w:vAlign w:val="center"/>
          </w:tcPr>
          <w:p>
            <w:pPr>
              <w:rPr>
                <w:szCs w:val="21"/>
              </w:rPr>
            </w:pPr>
            <w:r>
              <w:rPr>
                <w:szCs w:val="21"/>
                <w:u w:val="single"/>
              </w:rPr>
              <w:t xml:space="preserve">    </w:t>
            </w:r>
            <w:r>
              <w:rPr>
                <w:szCs w:val="21"/>
              </w:rPr>
              <w:t>年</w:t>
            </w:r>
            <w:r>
              <w:rPr>
                <w:rFonts w:hint="eastAsia"/>
                <w:szCs w:val="21"/>
                <w:u w:val="single"/>
              </w:rPr>
              <w:t xml:space="preserve">  </w:t>
            </w:r>
            <w:r>
              <w:rPr>
                <w:rFonts w:hint="eastAsia"/>
                <w:szCs w:val="21"/>
              </w:rPr>
              <w:t>月</w:t>
            </w:r>
            <w:r>
              <w:rPr>
                <w:szCs w:val="21"/>
              </w:rPr>
              <w:t>毕业于</w:t>
            </w:r>
            <w:r>
              <w:rPr>
                <w:szCs w:val="21"/>
                <w:u w:val="single"/>
              </w:rPr>
              <w:t xml:space="preserve">            </w:t>
            </w:r>
            <w:r>
              <w:rPr>
                <w:szCs w:val="21"/>
              </w:rPr>
              <w:t>学校</w:t>
            </w:r>
            <w:r>
              <w:rPr>
                <w:szCs w:val="21"/>
                <w:u w:val="single"/>
              </w:rPr>
              <w:t xml:space="preserve">        </w:t>
            </w:r>
            <w:r>
              <w:rPr>
                <w:szCs w:val="21"/>
              </w:rPr>
              <w:t>专业</w:t>
            </w:r>
            <w:r>
              <w:rPr>
                <w:rFonts w:hint="eastAsia"/>
                <w:szCs w:val="21"/>
              </w:rPr>
              <w:t>，学制</w:t>
            </w:r>
            <w:r>
              <w:rPr>
                <w:rFonts w:hint="eastAsia"/>
                <w:szCs w:val="21"/>
                <w:u w:val="single"/>
              </w:rPr>
              <w:t xml:space="preserve">   </w:t>
            </w:r>
            <w:r>
              <w:rPr>
                <w:rFonts w:hint="eastAsia"/>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pPr>
              <w:jc w:val="center"/>
            </w:pPr>
            <w:r>
              <w:rPr>
                <w:szCs w:val="21"/>
              </w:rPr>
              <w:t>经</w:t>
            </w:r>
            <w:r>
              <w:rPr>
                <w:rFonts w:hint="eastAsia"/>
                <w:szCs w:val="21"/>
              </w:rPr>
              <w:t xml:space="preserve">    </w:t>
            </w:r>
            <w:r>
              <w:rPr>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jc w:val="center"/>
              <w:rPr>
                <w:szCs w:val="21"/>
              </w:rPr>
            </w:pPr>
            <w:r>
              <w:rPr>
                <w:rFonts w:hint="eastAsia"/>
                <w:szCs w:val="21"/>
              </w:rPr>
              <w:t>时间</w:t>
            </w:r>
          </w:p>
        </w:tc>
        <w:tc>
          <w:tcPr>
            <w:tcW w:w="1370" w:type="pct"/>
            <w:gridSpan w:val="2"/>
            <w:vAlign w:val="center"/>
          </w:tcPr>
          <w:p>
            <w:pPr>
              <w:jc w:val="center"/>
              <w:rPr>
                <w:szCs w:val="21"/>
              </w:rPr>
            </w:pPr>
            <w:r>
              <w:rPr>
                <w:szCs w:val="21"/>
              </w:rPr>
              <w:t>参加过的项目</w:t>
            </w:r>
            <w:r>
              <w:rPr>
                <w:rFonts w:hint="eastAsia"/>
                <w:szCs w:val="21"/>
              </w:rPr>
              <w:t>名称</w:t>
            </w:r>
          </w:p>
        </w:tc>
        <w:tc>
          <w:tcPr>
            <w:tcW w:w="917" w:type="pct"/>
            <w:gridSpan w:val="2"/>
            <w:vAlign w:val="center"/>
          </w:tcPr>
          <w:p>
            <w:pPr>
              <w:jc w:val="center"/>
              <w:rPr>
                <w:szCs w:val="21"/>
              </w:rPr>
            </w:pPr>
            <w:r>
              <w:rPr>
                <w:rFonts w:hint="eastAsia"/>
                <w:szCs w:val="21"/>
              </w:rPr>
              <w:t>签约合同价金额（万元）</w:t>
            </w:r>
          </w:p>
        </w:tc>
        <w:tc>
          <w:tcPr>
            <w:tcW w:w="691" w:type="pct"/>
            <w:vAlign w:val="center"/>
          </w:tcPr>
          <w:p>
            <w:pPr>
              <w:jc w:val="center"/>
              <w:rPr>
                <w:szCs w:val="21"/>
              </w:rPr>
            </w:pPr>
            <w:r>
              <w:rPr>
                <w:szCs w:val="21"/>
              </w:rPr>
              <w:t>担任职务</w:t>
            </w:r>
          </w:p>
        </w:tc>
        <w:tc>
          <w:tcPr>
            <w:tcW w:w="1309" w:type="pct"/>
            <w:gridSpan w:val="2"/>
            <w:vAlign w:val="center"/>
          </w:tcPr>
          <w:p>
            <w:pPr>
              <w:rPr>
                <w:szCs w:val="21"/>
              </w:rPr>
            </w:pPr>
            <w:r>
              <w:rPr>
                <w:rFonts w:hint="eastAsia"/>
                <w:szCs w:val="21"/>
              </w:rPr>
              <w:t>买方</w:t>
            </w:r>
            <w:r>
              <w:rPr>
                <w:szCs w:val="21"/>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szCs w:val="21"/>
              </w:rPr>
            </w:pPr>
          </w:p>
        </w:tc>
        <w:tc>
          <w:tcPr>
            <w:tcW w:w="1370" w:type="pct"/>
            <w:gridSpan w:val="2"/>
          </w:tcPr>
          <w:p>
            <w:pPr>
              <w:rPr>
                <w:szCs w:val="21"/>
              </w:rPr>
            </w:pPr>
          </w:p>
        </w:tc>
        <w:tc>
          <w:tcPr>
            <w:tcW w:w="917" w:type="pct"/>
            <w:gridSpan w:val="2"/>
          </w:tcPr>
          <w:p>
            <w:pPr>
              <w:rPr>
                <w:szCs w:val="21"/>
              </w:rPr>
            </w:pPr>
          </w:p>
        </w:tc>
        <w:tc>
          <w:tcPr>
            <w:tcW w:w="691" w:type="pct"/>
          </w:tcPr>
          <w:p>
            <w:pPr>
              <w:rPr>
                <w:szCs w:val="21"/>
              </w:rPr>
            </w:pPr>
          </w:p>
        </w:tc>
        <w:tc>
          <w:tcPr>
            <w:tcW w:w="1309" w:type="pct"/>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rFonts w:eastAsia="黑体"/>
                <w:szCs w:val="21"/>
              </w:rPr>
            </w:pPr>
          </w:p>
        </w:tc>
        <w:tc>
          <w:tcPr>
            <w:tcW w:w="1370" w:type="pct"/>
            <w:gridSpan w:val="2"/>
          </w:tcPr>
          <w:p>
            <w:pPr>
              <w:pStyle w:val="35"/>
              <w:rPr>
                <w:rFonts w:ascii="Times New Roman" w:hAnsi="Times New Roman"/>
              </w:rPr>
            </w:pPr>
          </w:p>
        </w:tc>
        <w:tc>
          <w:tcPr>
            <w:tcW w:w="917" w:type="pct"/>
            <w:gridSpan w:val="2"/>
          </w:tcPr>
          <w:p>
            <w:pPr>
              <w:pStyle w:val="35"/>
              <w:rPr>
                <w:rFonts w:ascii="Times New Roman" w:hAnsi="Times New Roman"/>
              </w:rPr>
            </w:pPr>
          </w:p>
        </w:tc>
        <w:tc>
          <w:tcPr>
            <w:tcW w:w="691" w:type="pct"/>
          </w:tcPr>
          <w:p>
            <w:pPr>
              <w:pStyle w:val="35"/>
              <w:rPr>
                <w:rFonts w:ascii="Times New Roman" w:hAnsi="Times New Roman"/>
              </w:rPr>
            </w:pPr>
          </w:p>
        </w:tc>
        <w:tc>
          <w:tcPr>
            <w:tcW w:w="1309" w:type="pct"/>
            <w:gridSpan w:val="2"/>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rFonts w:eastAsia="黑体"/>
                <w:szCs w:val="21"/>
              </w:rPr>
            </w:pPr>
          </w:p>
        </w:tc>
        <w:tc>
          <w:tcPr>
            <w:tcW w:w="1370" w:type="pct"/>
            <w:gridSpan w:val="2"/>
          </w:tcPr>
          <w:p>
            <w:pPr>
              <w:rPr>
                <w:rFonts w:eastAsia="黑体"/>
                <w:szCs w:val="21"/>
              </w:rPr>
            </w:pPr>
          </w:p>
        </w:tc>
        <w:tc>
          <w:tcPr>
            <w:tcW w:w="917" w:type="pct"/>
            <w:gridSpan w:val="2"/>
          </w:tcPr>
          <w:p>
            <w:pPr>
              <w:rPr>
                <w:rFonts w:eastAsia="黑体"/>
                <w:szCs w:val="21"/>
              </w:rPr>
            </w:pPr>
          </w:p>
        </w:tc>
        <w:tc>
          <w:tcPr>
            <w:tcW w:w="691" w:type="pct"/>
          </w:tcPr>
          <w:p>
            <w:pPr>
              <w:rPr>
                <w:rFonts w:eastAsia="黑体"/>
                <w:szCs w:val="21"/>
              </w:rPr>
            </w:pPr>
          </w:p>
        </w:tc>
        <w:tc>
          <w:tcPr>
            <w:tcW w:w="1309" w:type="pct"/>
            <w:gridSpan w:val="2"/>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2"/>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2"/>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2"/>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2"/>
            <w:vAlign w:val="center"/>
          </w:tcPr>
          <w:p>
            <w:pPr>
              <w:rPr>
                <w:rFonts w:eastAsia="黑体"/>
                <w:szCs w:val="21"/>
              </w:rPr>
            </w:pPr>
          </w:p>
        </w:tc>
        <w:tc>
          <w:tcPr>
            <w:tcW w:w="917" w:type="pct"/>
            <w:gridSpan w:val="2"/>
            <w:tcBorders>
              <w:right w:val="single" w:color="auto" w:sz="8" w:space="0"/>
            </w:tcBorders>
            <w:vAlign w:val="center"/>
          </w:tcPr>
          <w:p>
            <w:pPr>
              <w:rPr>
                <w:rFonts w:eastAsia="黑体"/>
                <w:szCs w:val="21"/>
              </w:rPr>
            </w:pPr>
          </w:p>
        </w:tc>
        <w:tc>
          <w:tcPr>
            <w:tcW w:w="691" w:type="pct"/>
            <w:tcBorders>
              <w:left w:val="single" w:color="auto" w:sz="8" w:space="0"/>
            </w:tcBorders>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szCs w:val="21"/>
              </w:rPr>
            </w:pPr>
            <w:r>
              <w:rPr>
                <w:rFonts w:hint="eastAsia"/>
                <w:szCs w:val="21"/>
              </w:rPr>
              <w:t>获奖情况</w:t>
            </w:r>
          </w:p>
        </w:tc>
        <w:tc>
          <w:tcPr>
            <w:tcW w:w="4287" w:type="pct"/>
            <w:gridSpan w:val="7"/>
            <w:vAlign w:val="center"/>
          </w:tcPr>
          <w:p>
            <w:pPr>
              <w:rPr>
                <w:rFonts w:eastAsia="黑体"/>
                <w:szCs w:val="21"/>
              </w:rPr>
            </w:pPr>
          </w:p>
        </w:tc>
      </w:tr>
    </w:tbl>
    <w:p>
      <w:pPr>
        <w:tabs>
          <w:tab w:val="left" w:pos="2580"/>
          <w:tab w:val="left" w:pos="5940"/>
        </w:tabs>
        <w:autoSpaceDE w:val="0"/>
        <w:autoSpaceDN w:val="0"/>
        <w:adjustRightInd w:val="0"/>
        <w:snapToGrid w:val="0"/>
        <w:spacing w:line="400" w:lineRule="exact"/>
        <w:jc w:val="left"/>
        <w:rPr>
          <w:rFonts w:hint="eastAsia"/>
          <w:spacing w:val="-6"/>
          <w:sz w:val="22"/>
          <w:szCs w:val="22"/>
        </w:rPr>
      </w:pPr>
      <w:r>
        <w:rPr>
          <w:rFonts w:hint="eastAsia"/>
          <w:spacing w:val="-6"/>
          <w:sz w:val="22"/>
          <w:szCs w:val="22"/>
        </w:rPr>
        <w:t>注：1. 本表应填写项目负责人相关情况。</w:t>
      </w:r>
    </w:p>
    <w:p>
      <w:pPr>
        <w:tabs>
          <w:tab w:val="left" w:pos="2580"/>
          <w:tab w:val="left" w:pos="5940"/>
        </w:tabs>
        <w:autoSpaceDE w:val="0"/>
        <w:autoSpaceDN w:val="0"/>
        <w:adjustRightInd w:val="0"/>
        <w:snapToGrid w:val="0"/>
        <w:spacing w:line="400" w:lineRule="exact"/>
        <w:jc w:val="left"/>
        <w:rPr>
          <w:rFonts w:hint="eastAsia"/>
          <w:spacing w:val="-6"/>
          <w:sz w:val="22"/>
          <w:szCs w:val="22"/>
        </w:rPr>
      </w:pPr>
      <w:r>
        <w:rPr>
          <w:rFonts w:hint="eastAsia"/>
          <w:spacing w:val="-6"/>
          <w:sz w:val="22"/>
          <w:szCs w:val="22"/>
        </w:rPr>
        <w:t xml:space="preserve">    2. 投标人应根据招标文件的要求在本表后附相关证明材料。</w:t>
      </w:r>
    </w:p>
    <w:p>
      <w:pPr>
        <w:pStyle w:val="4"/>
        <w:jc w:val="center"/>
        <w:rPr>
          <w:rFonts w:hint="eastAsia" w:ascii="Times New Roman" w:hAnsi="Times New Roman"/>
        </w:rPr>
      </w:pPr>
      <w:r>
        <w:rPr>
          <w:rFonts w:ascii="Times New Roman" w:hAnsi="Times New Roman"/>
          <w:sz w:val="22"/>
          <w:szCs w:val="22"/>
        </w:rPr>
        <w:br w:type="page"/>
      </w:r>
      <w:bookmarkStart w:id="500" w:name="_Toc390411639"/>
      <w:bookmarkStart w:id="501" w:name="_Toc535241148"/>
      <w:bookmarkStart w:id="502" w:name="_Toc460227145"/>
      <w:bookmarkStart w:id="503" w:name="_Toc421917020"/>
      <w:bookmarkStart w:id="504" w:name="_Toc460660260"/>
      <w:bookmarkStart w:id="505" w:name="_Toc460227118"/>
      <w:bookmarkStart w:id="506" w:name="_Toc460660233"/>
      <w:bookmarkStart w:id="507" w:name="_Toc390411629"/>
      <w:bookmarkStart w:id="508" w:name="_Toc421917010"/>
      <w:r>
        <w:rPr>
          <w:rFonts w:hint="eastAsia" w:ascii="Times New Roman" w:hAnsi="Times New Roman"/>
          <w:sz w:val="28"/>
          <w:szCs w:val="28"/>
        </w:rPr>
        <w:t>六、</w:t>
      </w:r>
      <w:bookmarkEnd w:id="500"/>
      <w:bookmarkEnd w:id="501"/>
      <w:bookmarkEnd w:id="502"/>
      <w:bookmarkEnd w:id="503"/>
      <w:bookmarkEnd w:id="504"/>
      <w:r>
        <w:rPr>
          <w:rFonts w:hint="eastAsia" w:ascii="Times New Roman" w:hAnsi="Times New Roman"/>
          <w:sz w:val="28"/>
          <w:szCs w:val="28"/>
        </w:rPr>
        <w:t>投标货物技术性能指标的详细描述</w:t>
      </w:r>
      <w:r>
        <w:rPr>
          <w:rFonts w:hint="eastAsia" w:ascii="Times New Roman" w:hAnsi="Times New Roman"/>
        </w:rPr>
        <w:t>（内容自拟）</w:t>
      </w:r>
    </w:p>
    <w:p>
      <w:pPr>
        <w:pStyle w:val="4"/>
        <w:jc w:val="center"/>
        <w:rPr>
          <w:rFonts w:hint="eastAsia" w:ascii="Times New Roman" w:hAnsi="Times New Roman"/>
          <w:sz w:val="28"/>
          <w:szCs w:val="28"/>
        </w:rPr>
      </w:pPr>
    </w:p>
    <w:p>
      <w:pPr>
        <w:tabs>
          <w:tab w:val="left" w:pos="2580"/>
          <w:tab w:val="left" w:pos="5940"/>
        </w:tabs>
        <w:autoSpaceDE w:val="0"/>
        <w:autoSpaceDN w:val="0"/>
        <w:adjustRightInd w:val="0"/>
        <w:snapToGrid w:val="0"/>
        <w:spacing w:line="400" w:lineRule="exact"/>
        <w:rPr>
          <w:rFonts w:hint="eastAsia" w:eastAsia="黑体"/>
          <w:b/>
          <w:bCs/>
          <w:sz w:val="32"/>
          <w:szCs w:val="3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b/>
          <w:bCs/>
          <w:sz w:val="28"/>
          <w:szCs w:val="22"/>
        </w:rPr>
      </w:pPr>
    </w:p>
    <w:p>
      <w:pPr>
        <w:tabs>
          <w:tab w:val="left" w:pos="2580"/>
          <w:tab w:val="left" w:pos="5940"/>
        </w:tabs>
        <w:autoSpaceDE w:val="0"/>
        <w:autoSpaceDN w:val="0"/>
        <w:adjustRightInd w:val="0"/>
        <w:snapToGrid w:val="0"/>
        <w:spacing w:line="400" w:lineRule="exact"/>
        <w:jc w:val="center"/>
        <w:rPr>
          <w:rFonts w:hint="eastAsia"/>
          <w:sz w:val="28"/>
          <w:szCs w:val="28"/>
        </w:rPr>
      </w:pPr>
      <w:r>
        <w:rPr>
          <w:b/>
          <w:bCs/>
          <w:sz w:val="28"/>
          <w:szCs w:val="22"/>
        </w:rPr>
        <w:br w:type="page"/>
      </w:r>
      <w:bookmarkStart w:id="509" w:name="_Toc535241233"/>
      <w:bookmarkStart w:id="510" w:name="_Toc535241156"/>
      <w:bookmarkStart w:id="511" w:name="_Toc421917022"/>
      <w:bookmarkStart w:id="512" w:name="_Toc390411641"/>
      <w:bookmarkStart w:id="513" w:name="_Toc460660268"/>
      <w:bookmarkStart w:id="514" w:name="_Toc460227153"/>
      <w:bookmarkStart w:id="515" w:name="_Toc535241090"/>
      <w:r>
        <w:rPr>
          <w:rFonts w:hint="eastAsia"/>
          <w:sz w:val="28"/>
          <w:szCs w:val="28"/>
        </w:rPr>
        <w:t>七、</w:t>
      </w:r>
      <w:bookmarkEnd w:id="509"/>
      <w:bookmarkEnd w:id="510"/>
      <w:bookmarkEnd w:id="511"/>
      <w:bookmarkEnd w:id="512"/>
      <w:bookmarkEnd w:id="513"/>
      <w:bookmarkEnd w:id="514"/>
      <w:bookmarkEnd w:id="515"/>
      <w:r>
        <w:rPr>
          <w:rFonts w:hint="eastAsia"/>
          <w:sz w:val="28"/>
          <w:szCs w:val="28"/>
        </w:rPr>
        <w:t>技术支持资料</w:t>
      </w:r>
    </w:p>
    <w:p>
      <w:pPr>
        <w:pStyle w:val="4"/>
        <w:jc w:val="center"/>
        <w:rPr>
          <w:rFonts w:hint="eastAsia" w:ascii="Times New Roman" w:hAnsi="Times New Roman"/>
          <w:szCs w:val="22"/>
        </w:rPr>
      </w:pPr>
      <w:r>
        <w:rPr>
          <w:rFonts w:hint="eastAsia" w:ascii="Times New Roman" w:hAnsi="Times New Roman"/>
          <w:szCs w:val="22"/>
        </w:rPr>
        <w:t>（投标人对照评标办法要求提供相关证明资料）</w:t>
      </w:r>
    </w:p>
    <w:p>
      <w:pPr>
        <w:pStyle w:val="4"/>
        <w:jc w:val="center"/>
        <w:rPr>
          <w:rFonts w:ascii="Times New Roman" w:hAnsi="Times New Roman"/>
          <w:sz w:val="28"/>
          <w:szCs w:val="28"/>
        </w:rPr>
      </w:pPr>
      <w:r>
        <w:rPr>
          <w:rFonts w:ascii="Times New Roman" w:hAnsi="Times New Roman"/>
          <w:szCs w:val="22"/>
        </w:rPr>
        <w:br w:type="page"/>
      </w:r>
      <w:bookmarkStart w:id="516" w:name="_Toc535241089"/>
      <w:bookmarkStart w:id="517" w:name="_Toc535241232"/>
      <w:bookmarkStart w:id="518" w:name="_Toc535241135"/>
      <w:r>
        <w:rPr>
          <w:rFonts w:hint="eastAsia" w:ascii="Times New Roman" w:hAnsi="Times New Roman"/>
          <w:sz w:val="28"/>
          <w:szCs w:val="28"/>
        </w:rPr>
        <w:t>八、</w:t>
      </w:r>
      <w:bookmarkEnd w:id="516"/>
      <w:bookmarkEnd w:id="517"/>
      <w:bookmarkEnd w:id="518"/>
      <w:r>
        <w:rPr>
          <w:rFonts w:hint="eastAsia" w:ascii="Times New Roman" w:hAnsi="Times New Roman"/>
          <w:sz w:val="28"/>
          <w:szCs w:val="28"/>
        </w:rPr>
        <w:t>技术服务和质保期服务计划</w:t>
      </w:r>
    </w:p>
    <w:p>
      <w:pPr>
        <w:pStyle w:val="4"/>
        <w:jc w:val="center"/>
        <w:rPr>
          <w:rFonts w:hint="eastAsia" w:ascii="Times New Roman" w:hAnsi="Times New Roman"/>
        </w:rPr>
      </w:pPr>
      <w:r>
        <w:rPr>
          <w:rFonts w:hint="eastAsia"/>
        </w:rPr>
        <w:tab/>
      </w:r>
      <w:r>
        <w:rPr>
          <w:rFonts w:hint="eastAsia"/>
          <w:lang w:eastAsia="zh-CN"/>
        </w:rPr>
        <w:t>（</w:t>
      </w:r>
      <w:r>
        <w:rPr>
          <w:rFonts w:hint="eastAsia" w:ascii="Times New Roman" w:hAnsi="Times New Roman"/>
        </w:rPr>
        <w:t>投标人自行制作，格式自拟</w:t>
      </w:r>
      <w:r>
        <w:rPr>
          <w:rFonts w:hint="eastAsia" w:ascii="Times New Roman" w:hAnsi="Times New Roman"/>
          <w:lang w:eastAsia="zh-CN"/>
        </w:rPr>
        <w:t>）</w:t>
      </w:r>
    </w:p>
    <w:p>
      <w:pPr>
        <w:tabs>
          <w:tab w:val="center" w:pos="4479"/>
        </w:tabs>
        <w:jc w:val="left"/>
        <w:rPr>
          <w:rFonts w:hint="eastAsia"/>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rPr>
          <w:rFonts w:hint="eastAsia" w:ascii="Times New Roman" w:hAnsi="Times New Roman"/>
          <w:sz w:val="28"/>
          <w:szCs w:val="28"/>
        </w:rPr>
      </w:pPr>
      <w:r>
        <w:rPr>
          <w:rFonts w:hint="eastAsia" w:ascii="Times New Roman" w:hAnsi="Times New Roman"/>
          <w:sz w:val="28"/>
          <w:szCs w:val="28"/>
        </w:rPr>
        <w:t>九、安装、调试方案</w:t>
      </w:r>
    </w:p>
    <w:p>
      <w:pPr>
        <w:pStyle w:val="4"/>
        <w:jc w:val="center"/>
        <w:rPr>
          <w:rFonts w:hint="eastAsia" w:ascii="Times New Roman" w:hAnsi="Times New Roman"/>
        </w:rPr>
      </w:pPr>
      <w:r>
        <w:rPr>
          <w:rFonts w:hint="eastAsia"/>
        </w:rPr>
        <w:tab/>
      </w:r>
      <w:r>
        <w:rPr>
          <w:rFonts w:hint="eastAsia"/>
          <w:lang w:eastAsia="zh-CN"/>
        </w:rPr>
        <w:t>（投标</w:t>
      </w:r>
      <w:r>
        <w:rPr>
          <w:rFonts w:hint="eastAsia" w:ascii="Times New Roman" w:hAnsi="Times New Roman"/>
        </w:rPr>
        <w:t>人自行制作，格式自拟</w:t>
      </w:r>
      <w:r>
        <w:rPr>
          <w:rFonts w:hint="eastAsia" w:ascii="Times New Roman" w:hAnsi="Times New Roman"/>
          <w:lang w:eastAsia="zh-CN"/>
        </w:rPr>
        <w:t>）</w:t>
      </w:r>
    </w:p>
    <w:p>
      <w:pPr>
        <w:tabs>
          <w:tab w:val="center" w:pos="4479"/>
        </w:tabs>
        <w:jc w:val="left"/>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rPr>
          <w:rFonts w:hint="eastAsia" w:ascii="Times New Roman" w:hAnsi="Times New Roman"/>
          <w:sz w:val="28"/>
          <w:szCs w:val="28"/>
        </w:rPr>
      </w:pPr>
      <w:r>
        <w:rPr>
          <w:rFonts w:hint="eastAsia" w:ascii="Times New Roman" w:hAnsi="Times New Roman"/>
          <w:sz w:val="28"/>
          <w:szCs w:val="28"/>
        </w:rPr>
        <w:t>十、其他资料</w:t>
      </w:r>
      <w:bookmarkEnd w:id="505"/>
      <w:bookmarkEnd w:id="506"/>
      <w:bookmarkEnd w:id="507"/>
      <w:bookmarkEnd w:id="508"/>
    </w:p>
    <w:p>
      <w:pPr>
        <w:tabs>
          <w:tab w:val="left" w:pos="5760"/>
        </w:tabs>
        <w:autoSpaceDE w:val="0"/>
        <w:autoSpaceDN w:val="0"/>
        <w:adjustRightInd w:val="0"/>
        <w:spacing w:line="300" w:lineRule="exact"/>
        <w:ind w:right="11" w:firstLine="420" w:firstLineChars="200"/>
        <w:jc w:val="left"/>
        <w:rPr>
          <w:rFonts w:hint="eastAsia"/>
          <w:szCs w:val="22"/>
          <w:highlight w:val="yellow"/>
        </w:rPr>
      </w:pPr>
      <w:r>
        <w:rPr>
          <w:rFonts w:hint="eastAsia"/>
          <w:szCs w:val="22"/>
        </w:rPr>
        <w:t>投标人对照评标办法要求，自行提供其他相关资料</w:t>
      </w:r>
      <w:r>
        <w:rPr>
          <w:rFonts w:hint="eastAsia"/>
          <w:szCs w:val="22"/>
          <w:highlight w:val="yellow"/>
        </w:rPr>
        <w:t>（如：管理体系、本细化服务、制造厂家配套的售后承诺及质保期等）</w:t>
      </w:r>
    </w:p>
    <w:p>
      <w:pPr>
        <w:spacing w:line="440" w:lineRule="exact"/>
        <w:ind w:firstLine="2158" w:firstLineChars="1028"/>
        <w:rPr>
          <w:color w:val="000000"/>
          <w:szCs w:val="22"/>
        </w:rPr>
      </w:pPr>
    </w:p>
    <w:p>
      <w:pPr>
        <w:spacing w:line="440" w:lineRule="exact"/>
        <w:ind w:firstLine="440" w:firstLineChars="200"/>
        <w:rPr>
          <w:rFonts w:cs="楷体"/>
          <w:bCs/>
          <w:snapToGrid w:val="0"/>
          <w:color w:val="000000"/>
          <w:kern w:val="0"/>
          <w:sz w:val="22"/>
          <w:szCs w:val="22"/>
        </w:rPr>
      </w:pPr>
      <w:r>
        <w:rPr>
          <w:rFonts w:hint="eastAsia"/>
          <w:sz w:val="22"/>
          <w:szCs w:val="22"/>
        </w:rPr>
        <w:t>注：对照评标办法要求，由投标人自行提供相关证明。如证明或声明与实际不符，将被取消投标或中标资格，其投标保证金按规定予以处理。</w:t>
      </w:r>
    </w:p>
    <w:p>
      <w:pPr>
        <w:autoSpaceDE w:val="0"/>
        <w:autoSpaceDN w:val="0"/>
        <w:adjustRightInd w:val="0"/>
        <w:snapToGrid w:val="0"/>
        <w:spacing w:line="360" w:lineRule="auto"/>
        <w:jc w:val="left"/>
        <w:rPr>
          <w:rFonts w:hint="eastAsia"/>
          <w:snapToGrid w:val="0"/>
          <w:kern w:val="0"/>
          <w:sz w:val="22"/>
          <w:szCs w:val="22"/>
        </w:rPr>
      </w:pPr>
    </w:p>
    <w:p>
      <w:pPr>
        <w:tabs>
          <w:tab w:val="left" w:pos="5760"/>
        </w:tabs>
        <w:autoSpaceDE w:val="0"/>
        <w:autoSpaceDN w:val="0"/>
        <w:adjustRightInd w:val="0"/>
        <w:spacing w:line="300" w:lineRule="exact"/>
        <w:ind w:right="11"/>
        <w:rPr>
          <w:szCs w:val="22"/>
        </w:rPr>
      </w:pPr>
    </w:p>
    <w:p>
      <w:pPr>
        <w:tabs>
          <w:tab w:val="left" w:pos="5760"/>
        </w:tabs>
        <w:autoSpaceDE w:val="0"/>
        <w:autoSpaceDN w:val="0"/>
        <w:adjustRightInd w:val="0"/>
        <w:spacing w:line="300" w:lineRule="exact"/>
        <w:ind w:right="11"/>
        <w:rPr>
          <w:szCs w:val="22"/>
        </w:rPr>
      </w:pPr>
    </w:p>
    <w:p>
      <w:pPr>
        <w:tabs>
          <w:tab w:val="left" w:pos="5760"/>
        </w:tabs>
        <w:autoSpaceDE w:val="0"/>
        <w:autoSpaceDN w:val="0"/>
        <w:adjustRightInd w:val="0"/>
        <w:spacing w:line="300" w:lineRule="exact"/>
        <w:ind w:right="11"/>
        <w:rPr>
          <w:rFonts w:hint="eastAsia"/>
          <w:b/>
          <w:sz w:val="28"/>
          <w:szCs w:val="22"/>
        </w:rPr>
      </w:pPr>
    </w:p>
    <w:p>
      <w:pPr>
        <w:rPr>
          <w:rFonts w:hint="eastAsia"/>
          <w:u w:val="single"/>
        </w:rPr>
      </w:pPr>
      <w:r>
        <w:rPr>
          <w:rFonts w:hint="eastAsia"/>
        </w:rPr>
        <w:br w:type="page"/>
      </w:r>
    </w:p>
    <w:p>
      <w:pPr>
        <w:tabs>
          <w:tab w:val="left" w:pos="2580"/>
          <w:tab w:val="left" w:pos="5940"/>
        </w:tabs>
        <w:autoSpaceDE w:val="0"/>
        <w:autoSpaceDN w:val="0"/>
        <w:adjustRightInd w:val="0"/>
        <w:snapToGrid w:val="0"/>
        <w:spacing w:line="360" w:lineRule="auto"/>
        <w:jc w:val="left"/>
        <w:rPr>
          <w:rFonts w:hint="eastAsia"/>
          <w:kern w:val="0"/>
          <w:sz w:val="28"/>
          <w:u w:val="single"/>
        </w:rPr>
      </w:pPr>
    </w:p>
    <w:p>
      <w:pPr>
        <w:tabs>
          <w:tab w:val="left" w:pos="3395"/>
          <w:tab w:val="left" w:pos="5940"/>
        </w:tabs>
        <w:autoSpaceDE w:val="0"/>
        <w:autoSpaceDN w:val="0"/>
        <w:adjustRightInd w:val="0"/>
        <w:snapToGrid w:val="0"/>
        <w:spacing w:line="360" w:lineRule="auto"/>
        <w:ind w:firstLine="1280" w:firstLineChars="400"/>
        <w:jc w:val="left"/>
        <w:rPr>
          <w:rFonts w:hint="eastAsia" w:eastAsia="黑体"/>
          <w:b/>
          <w:bCs/>
          <w:kern w:val="0"/>
          <w:sz w:val="28"/>
          <w:szCs w:val="22"/>
        </w:rPr>
      </w:pPr>
      <w:r>
        <w:rPr>
          <w:rFonts w:hint="eastAsia" w:eastAsia="黑体"/>
          <w:sz w:val="32"/>
          <w:szCs w:val="32"/>
          <w:u w:val="single"/>
        </w:rPr>
        <w:t xml:space="preserve">                </w:t>
      </w:r>
      <w:r>
        <w:rPr>
          <w:rFonts w:hint="eastAsia" w:eastAsia="黑体"/>
          <w:sz w:val="28"/>
          <w:szCs w:val="28"/>
        </w:rPr>
        <w:t>（项目名称）招标项目</w:t>
      </w:r>
    </w:p>
    <w:p>
      <w:pPr>
        <w:tabs>
          <w:tab w:val="left" w:pos="3600"/>
          <w:tab w:val="left" w:pos="4480"/>
          <w:tab w:val="left" w:pos="5360"/>
        </w:tabs>
        <w:autoSpaceDE w:val="0"/>
        <w:autoSpaceDN w:val="0"/>
        <w:adjustRightInd w:val="0"/>
        <w:snapToGrid w:val="0"/>
        <w:spacing w:line="360" w:lineRule="auto"/>
        <w:jc w:val="left"/>
        <w:rPr>
          <w:rFonts w:hint="eastAsia"/>
          <w:kern w:val="0"/>
          <w:sz w:val="44"/>
          <w:szCs w:val="22"/>
        </w:rPr>
      </w:pPr>
    </w:p>
    <w:p>
      <w:pPr>
        <w:tabs>
          <w:tab w:val="left" w:pos="3600"/>
          <w:tab w:val="left" w:pos="4480"/>
          <w:tab w:val="left" w:pos="5360"/>
        </w:tabs>
        <w:autoSpaceDE w:val="0"/>
        <w:autoSpaceDN w:val="0"/>
        <w:adjustRightInd w:val="0"/>
        <w:snapToGrid w:val="0"/>
        <w:spacing w:line="360" w:lineRule="auto"/>
        <w:jc w:val="left"/>
        <w:rPr>
          <w:rFonts w:hint="eastAsia"/>
          <w:kern w:val="0"/>
          <w:sz w:val="44"/>
          <w:szCs w:val="22"/>
        </w:rPr>
      </w:pPr>
    </w:p>
    <w:p>
      <w:pPr>
        <w:pStyle w:val="3"/>
        <w:jc w:val="center"/>
        <w:rPr>
          <w:rFonts w:hint="eastAsia" w:ascii="Times New Roman" w:hAnsi="Times New Roman" w:eastAsia="黑体"/>
          <w:b w:val="0"/>
          <w:sz w:val="44"/>
          <w:szCs w:val="44"/>
        </w:rPr>
      </w:pPr>
      <w:bookmarkStart w:id="519" w:name="_Toc26781120"/>
      <w:r>
        <w:rPr>
          <w:rFonts w:hint="eastAsia" w:ascii="Times New Roman" w:hAnsi="Times New Roman" w:eastAsia="黑体"/>
          <w:b w:val="0"/>
          <w:sz w:val="44"/>
          <w:szCs w:val="44"/>
        </w:rPr>
        <w:t>投标文件</w:t>
      </w:r>
    </w:p>
    <w:p>
      <w:pPr>
        <w:pStyle w:val="3"/>
        <w:jc w:val="center"/>
        <w:rPr>
          <w:rFonts w:hint="eastAsia" w:ascii="Times New Roman" w:hAnsi="Times New Roman" w:eastAsia="黑体"/>
          <w:b w:val="0"/>
        </w:rPr>
      </w:pPr>
      <w:r>
        <w:rPr>
          <w:rFonts w:hint="eastAsia" w:ascii="Times New Roman" w:hAnsi="Times New Roman" w:eastAsia="黑体"/>
          <w:b w:val="0"/>
        </w:rPr>
        <w:t>（报价文件）</w:t>
      </w:r>
      <w:bookmarkEnd w:id="519"/>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autoSpaceDE w:val="0"/>
        <w:autoSpaceDN w:val="0"/>
        <w:adjustRightInd w:val="0"/>
        <w:snapToGrid w:val="0"/>
        <w:spacing w:line="360" w:lineRule="auto"/>
        <w:jc w:val="left"/>
        <w:rPr>
          <w:rFonts w:hint="eastAsia"/>
          <w:b/>
          <w:bCs/>
          <w:kern w:val="0"/>
          <w:sz w:val="20"/>
          <w:szCs w:val="22"/>
        </w:rPr>
      </w:pPr>
    </w:p>
    <w:p>
      <w:pPr>
        <w:spacing w:line="360" w:lineRule="auto"/>
        <w:jc w:val="center"/>
        <w:rPr>
          <w:rFonts w:hint="eastAsia" w:eastAsia="黑体"/>
          <w:sz w:val="28"/>
          <w:szCs w:val="28"/>
        </w:rPr>
      </w:pPr>
      <w:r>
        <w:rPr>
          <w:rFonts w:hint="eastAsia" w:eastAsia="黑体"/>
          <w:sz w:val="28"/>
          <w:szCs w:val="28"/>
        </w:rPr>
        <w:t>投标人：</w:t>
      </w:r>
      <w:r>
        <w:rPr>
          <w:rFonts w:hint="eastAsia" w:eastAsia="黑体"/>
          <w:sz w:val="28"/>
          <w:szCs w:val="28"/>
          <w:u w:val="single"/>
        </w:rPr>
        <w:t xml:space="preserve">                               </w:t>
      </w:r>
      <w:r>
        <w:rPr>
          <w:rFonts w:hint="eastAsia" w:eastAsia="黑体"/>
          <w:sz w:val="28"/>
          <w:szCs w:val="28"/>
        </w:rPr>
        <w:t>（盖单位章）</w:t>
      </w:r>
    </w:p>
    <w:p>
      <w:pPr>
        <w:jc w:val="center"/>
        <w:rPr>
          <w:rFonts w:hint="eastAsia"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hint="eastAsia"/>
          <w:b/>
          <w:bCs/>
          <w:kern w:val="0"/>
          <w:sz w:val="28"/>
          <w:szCs w:val="22"/>
        </w:rPr>
      </w:pPr>
      <w:r>
        <w:rPr>
          <w:rFonts w:hint="eastAsia" w:eastAsia="黑体"/>
          <w:sz w:val="28"/>
          <w:szCs w:val="28"/>
          <w:u w:val="single"/>
        </w:rPr>
        <w:t xml:space="preserve">         </w:t>
      </w:r>
      <w:r>
        <w:rPr>
          <w:rFonts w:hint="eastAsia" w:eastAsia="黑体"/>
          <w:sz w:val="28"/>
          <w:szCs w:val="28"/>
        </w:rPr>
        <w:t>年</w:t>
      </w:r>
      <w:r>
        <w:rPr>
          <w:rFonts w:hint="eastAsia" w:eastAsia="黑体"/>
          <w:sz w:val="28"/>
          <w:szCs w:val="28"/>
          <w:u w:val="single"/>
        </w:rPr>
        <w:t xml:space="preserve">         </w:t>
      </w:r>
      <w:r>
        <w:rPr>
          <w:rFonts w:hint="eastAsia" w:eastAsia="黑体"/>
          <w:sz w:val="28"/>
          <w:szCs w:val="28"/>
        </w:rPr>
        <w:t>月</w:t>
      </w:r>
      <w:r>
        <w:rPr>
          <w:rFonts w:hint="eastAsia" w:eastAsia="黑体"/>
          <w:sz w:val="28"/>
          <w:szCs w:val="28"/>
          <w:u w:val="single"/>
        </w:rPr>
        <w:t xml:space="preserve">         </w:t>
      </w:r>
      <w:r>
        <w:rPr>
          <w:rFonts w:hint="eastAsia" w:eastAsia="黑体"/>
          <w:sz w:val="28"/>
          <w:szCs w:val="28"/>
        </w:rPr>
        <w:t>日</w:t>
      </w:r>
    </w:p>
    <w:p>
      <w:pPr>
        <w:autoSpaceDE w:val="0"/>
        <w:autoSpaceDN w:val="0"/>
        <w:adjustRightInd w:val="0"/>
        <w:snapToGrid w:val="0"/>
        <w:spacing w:line="360" w:lineRule="auto"/>
        <w:jc w:val="left"/>
        <w:rPr>
          <w:rFonts w:hint="eastAsia"/>
          <w:kern w:val="0"/>
          <w:sz w:val="24"/>
          <w:szCs w:val="22"/>
        </w:rPr>
      </w:pPr>
      <w:r>
        <w:rPr>
          <w:rFonts w:hint="eastAsia"/>
          <w:bCs/>
          <w:kern w:val="0"/>
          <w:sz w:val="24"/>
          <w:szCs w:val="22"/>
        </w:rPr>
        <w:br w:type="page"/>
      </w:r>
    </w:p>
    <w:p>
      <w:pPr>
        <w:autoSpaceDE w:val="0"/>
        <w:autoSpaceDN w:val="0"/>
        <w:adjustRightInd w:val="0"/>
        <w:snapToGrid w:val="0"/>
        <w:spacing w:line="360" w:lineRule="auto"/>
        <w:jc w:val="center"/>
        <w:rPr>
          <w:rFonts w:hint="eastAsia" w:eastAsia="黑体"/>
          <w:b/>
          <w:bCs/>
          <w:kern w:val="0"/>
          <w:sz w:val="32"/>
          <w:szCs w:val="22"/>
        </w:rPr>
      </w:pPr>
      <w:r>
        <w:rPr>
          <w:rFonts w:hint="eastAsia" w:eastAsia="黑体"/>
          <w:b/>
          <w:bCs/>
          <w:kern w:val="0"/>
          <w:sz w:val="32"/>
          <w:szCs w:val="22"/>
        </w:rPr>
        <w:t>目  录</w:t>
      </w:r>
    </w:p>
    <w:p>
      <w:pPr>
        <w:autoSpaceDE w:val="0"/>
        <w:autoSpaceDN w:val="0"/>
        <w:adjustRightInd w:val="0"/>
        <w:spacing w:line="360" w:lineRule="auto"/>
        <w:ind w:right="-20" w:firstLine="105" w:firstLineChars="50"/>
        <w:jc w:val="left"/>
        <w:rPr>
          <w:rFonts w:hint="eastAsia"/>
          <w:szCs w:val="21"/>
        </w:rPr>
      </w:pPr>
    </w:p>
    <w:p>
      <w:pPr>
        <w:autoSpaceDE w:val="0"/>
        <w:autoSpaceDN w:val="0"/>
        <w:adjustRightInd w:val="0"/>
        <w:spacing w:line="360" w:lineRule="auto"/>
        <w:ind w:right="-20" w:firstLine="110" w:firstLineChars="50"/>
        <w:jc w:val="left"/>
        <w:rPr>
          <w:rFonts w:hint="eastAsia"/>
          <w:sz w:val="22"/>
          <w:szCs w:val="22"/>
        </w:rPr>
      </w:pPr>
      <w:r>
        <w:rPr>
          <w:rFonts w:hint="eastAsia"/>
          <w:sz w:val="22"/>
          <w:szCs w:val="22"/>
        </w:rPr>
        <w:t>一、投标函</w:t>
      </w:r>
    </w:p>
    <w:p>
      <w:pPr>
        <w:autoSpaceDE w:val="0"/>
        <w:autoSpaceDN w:val="0"/>
        <w:adjustRightInd w:val="0"/>
        <w:spacing w:line="360" w:lineRule="auto"/>
        <w:ind w:right="-20" w:firstLine="110" w:firstLineChars="50"/>
        <w:jc w:val="left"/>
        <w:rPr>
          <w:rFonts w:hint="eastAsia"/>
          <w:sz w:val="22"/>
          <w:szCs w:val="22"/>
        </w:rPr>
      </w:pPr>
      <w:r>
        <w:rPr>
          <w:rFonts w:hint="eastAsia"/>
          <w:sz w:val="22"/>
          <w:szCs w:val="22"/>
        </w:rPr>
        <w:t>二、</w:t>
      </w:r>
      <w:r>
        <w:rPr>
          <w:sz w:val="22"/>
          <w:szCs w:val="22"/>
        </w:rPr>
        <w:t>分项报价表</w:t>
      </w:r>
    </w:p>
    <w:p>
      <w:pPr>
        <w:autoSpaceDE w:val="0"/>
        <w:autoSpaceDN w:val="0"/>
        <w:adjustRightInd w:val="0"/>
        <w:spacing w:line="360" w:lineRule="auto"/>
        <w:ind w:right="-20" w:firstLine="110" w:firstLineChars="50"/>
        <w:jc w:val="left"/>
        <w:rPr>
          <w:rFonts w:hint="eastAsia"/>
          <w:sz w:val="22"/>
          <w:szCs w:val="22"/>
        </w:rPr>
      </w:pPr>
    </w:p>
    <w:p>
      <w:pPr>
        <w:autoSpaceDE w:val="0"/>
        <w:autoSpaceDN w:val="0"/>
        <w:adjustRightInd w:val="0"/>
        <w:spacing w:line="360" w:lineRule="auto"/>
        <w:ind w:right="-20" w:firstLine="105" w:firstLineChars="50"/>
        <w:jc w:val="left"/>
        <w:rPr>
          <w:rFonts w:hint="eastAsia"/>
          <w:szCs w:val="21"/>
        </w:rPr>
      </w:pPr>
    </w:p>
    <w:p>
      <w:pPr>
        <w:autoSpaceDE w:val="0"/>
        <w:autoSpaceDN w:val="0"/>
        <w:adjustRightInd w:val="0"/>
        <w:spacing w:line="360" w:lineRule="auto"/>
        <w:ind w:right="-20" w:firstLine="160" w:firstLineChars="50"/>
        <w:jc w:val="left"/>
        <w:rPr>
          <w:rFonts w:hint="eastAsia"/>
          <w:sz w:val="32"/>
          <w:szCs w:val="22"/>
        </w:rPr>
      </w:pPr>
    </w:p>
    <w:p>
      <w:pPr>
        <w:autoSpaceDE w:val="0"/>
        <w:autoSpaceDN w:val="0"/>
        <w:adjustRightInd w:val="0"/>
        <w:spacing w:line="360" w:lineRule="auto"/>
        <w:ind w:right="-20" w:firstLine="160" w:firstLineChars="50"/>
        <w:jc w:val="left"/>
        <w:rPr>
          <w:sz w:val="32"/>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rPr>
          <w:rFonts w:hint="eastAsia" w:ascii="Times New Roman" w:hAnsi="Times New Roman"/>
        </w:rPr>
      </w:pPr>
      <w:bookmarkStart w:id="520" w:name="_Toc460227120"/>
      <w:bookmarkStart w:id="521" w:name="_Toc421917012"/>
      <w:bookmarkStart w:id="522" w:name="_Toc460660235"/>
      <w:bookmarkStart w:id="523" w:name="_Toc390411631"/>
      <w:r>
        <w:rPr>
          <w:rFonts w:hint="eastAsia" w:ascii="Times New Roman" w:hAnsi="Times New Roman"/>
        </w:rPr>
        <w:t>一、投标函</w:t>
      </w:r>
      <w:bookmarkEnd w:id="520"/>
      <w:bookmarkEnd w:id="521"/>
      <w:bookmarkEnd w:id="522"/>
      <w:bookmarkEnd w:id="523"/>
    </w:p>
    <w:p>
      <w:pPr>
        <w:adjustRightInd w:val="0"/>
        <w:snapToGrid w:val="0"/>
        <w:spacing w:beforeLines="20" w:afterLines="20" w:line="400" w:lineRule="exact"/>
        <w:rPr>
          <w:rFonts w:hint="eastAsia"/>
          <w:sz w:val="22"/>
          <w:szCs w:val="22"/>
          <w:u w:val="single"/>
        </w:rPr>
      </w:pPr>
      <w:r>
        <w:rPr>
          <w:rFonts w:hint="eastAsia"/>
          <w:sz w:val="22"/>
          <w:szCs w:val="22"/>
        </w:rPr>
        <w:t>致：</w:t>
      </w:r>
      <w:r>
        <w:rPr>
          <w:rFonts w:hint="eastAsia"/>
          <w:sz w:val="22"/>
          <w:szCs w:val="22"/>
          <w:u w:val="single"/>
        </w:rPr>
        <w:t xml:space="preserve">   招标人名称   </w:t>
      </w:r>
    </w:p>
    <w:p>
      <w:pPr>
        <w:tabs>
          <w:tab w:val="left" w:pos="7560"/>
        </w:tabs>
        <w:adjustRightInd w:val="0"/>
        <w:snapToGrid w:val="0"/>
        <w:spacing w:beforeLines="20" w:afterLines="20" w:line="400" w:lineRule="exact"/>
        <w:ind w:firstLine="440" w:firstLineChars="200"/>
        <w:jc w:val="left"/>
        <w:rPr>
          <w:rFonts w:hint="eastAsia"/>
          <w:sz w:val="22"/>
          <w:szCs w:val="22"/>
          <w:u w:val="single"/>
        </w:rPr>
      </w:pPr>
      <w:r>
        <w:rPr>
          <w:rFonts w:hint="eastAsia"/>
          <w:sz w:val="22"/>
          <w:szCs w:val="22"/>
        </w:rPr>
        <w:t>1．我方已仔细研究了</w:t>
      </w:r>
      <w:r>
        <w:rPr>
          <w:rFonts w:hint="eastAsia"/>
          <w:sz w:val="22"/>
          <w:szCs w:val="22"/>
          <w:u w:val="single"/>
        </w:rPr>
        <w:t xml:space="preserve">                 </w:t>
      </w:r>
      <w:r>
        <w:rPr>
          <w:rFonts w:hint="eastAsia"/>
          <w:sz w:val="22"/>
          <w:szCs w:val="22"/>
        </w:rPr>
        <w:t>（招标项目名称）招标项目招标文件的全部内容，愿意以</w:t>
      </w:r>
      <w:r>
        <w:rPr>
          <w:sz w:val="22"/>
          <w:szCs w:val="22"/>
        </w:rPr>
        <w:t>人民币（大写）</w:t>
      </w:r>
      <w:r>
        <w:rPr>
          <w:rFonts w:hint="eastAsia"/>
          <w:sz w:val="22"/>
          <w:szCs w:val="22"/>
          <w:u w:val="single"/>
        </w:rPr>
        <w:t xml:space="preserve">         </w:t>
      </w:r>
      <w:r>
        <w:rPr>
          <w:sz w:val="22"/>
          <w:szCs w:val="22"/>
        </w:rPr>
        <w:t>（¥</w:t>
      </w:r>
      <w:r>
        <w:rPr>
          <w:rFonts w:hint="eastAsia"/>
          <w:sz w:val="22"/>
          <w:szCs w:val="22"/>
          <w:u w:val="single"/>
        </w:rPr>
        <w:t xml:space="preserve">       </w:t>
      </w:r>
      <w:r>
        <w:rPr>
          <w:sz w:val="22"/>
          <w:szCs w:val="22"/>
        </w:rPr>
        <w:t>）</w:t>
      </w:r>
      <w:r>
        <w:rPr>
          <w:rFonts w:hint="eastAsia"/>
          <w:sz w:val="22"/>
          <w:szCs w:val="22"/>
        </w:rPr>
        <w:t>的投标总报价提供招标文件要求的货物、安装及技术服务和质保售后服务等，并按合同约定履行义务。</w:t>
      </w:r>
    </w:p>
    <w:p>
      <w:pPr>
        <w:adjustRightInd w:val="0"/>
        <w:snapToGrid w:val="0"/>
        <w:spacing w:beforeLines="20" w:afterLines="20" w:line="400" w:lineRule="exact"/>
        <w:ind w:firstLine="385" w:firstLineChars="175"/>
        <w:rPr>
          <w:rFonts w:hint="eastAsia"/>
          <w:bCs/>
          <w:sz w:val="22"/>
          <w:szCs w:val="22"/>
        </w:rPr>
      </w:pPr>
      <w:r>
        <w:rPr>
          <w:rFonts w:hint="eastAsia"/>
          <w:bCs/>
          <w:sz w:val="22"/>
          <w:szCs w:val="2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Lines="20" w:afterLines="20" w:line="400" w:lineRule="exact"/>
        <w:ind w:firstLine="385" w:firstLineChars="175"/>
        <w:rPr>
          <w:rFonts w:hint="eastAsia"/>
          <w:bCs/>
          <w:sz w:val="22"/>
          <w:szCs w:val="22"/>
        </w:rPr>
      </w:pPr>
      <w:r>
        <w:rPr>
          <w:rFonts w:hint="eastAsia"/>
          <w:bCs/>
          <w:sz w:val="22"/>
          <w:szCs w:val="22"/>
        </w:rPr>
        <w:t>3. 除非另外达成协议并生效，你方的中标通知书和本投标文件以及招标文件、招标文件澄清、修改、补充文件将成为约束双方的合同文件的组成部分。</w:t>
      </w:r>
    </w:p>
    <w:p>
      <w:pPr>
        <w:adjustRightInd w:val="0"/>
        <w:snapToGrid w:val="0"/>
        <w:spacing w:beforeLines="20" w:afterLines="20" w:line="400" w:lineRule="exact"/>
        <w:ind w:firstLine="385" w:firstLineChars="175"/>
        <w:rPr>
          <w:rFonts w:hint="eastAsia"/>
          <w:bCs/>
          <w:sz w:val="22"/>
          <w:szCs w:val="22"/>
        </w:rPr>
      </w:pPr>
      <w:r>
        <w:rPr>
          <w:rFonts w:hint="eastAsia"/>
          <w:bCs/>
          <w:sz w:val="22"/>
          <w:szCs w:val="22"/>
        </w:rPr>
        <w:t>4. 其他补充说明：</w:t>
      </w:r>
      <w:r>
        <w:rPr>
          <w:rFonts w:hint="eastAsia"/>
          <w:bCs/>
          <w:sz w:val="22"/>
          <w:szCs w:val="22"/>
          <w:u w:val="single"/>
        </w:rPr>
        <w:t xml:space="preserve">                                   </w:t>
      </w:r>
      <w:r>
        <w:rPr>
          <w:rFonts w:hint="eastAsia"/>
          <w:bCs/>
          <w:sz w:val="22"/>
          <w:szCs w:val="22"/>
        </w:rPr>
        <w:t>（补充说明事项）</w:t>
      </w:r>
    </w:p>
    <w:p>
      <w:pPr>
        <w:adjustRightInd w:val="0"/>
        <w:snapToGrid w:val="0"/>
        <w:spacing w:beforeLines="20" w:afterLines="20" w:line="400" w:lineRule="exact"/>
        <w:ind w:firstLine="385" w:firstLineChars="175"/>
        <w:rPr>
          <w:rFonts w:hint="eastAsia"/>
          <w:bCs/>
          <w:sz w:val="22"/>
          <w:szCs w:val="22"/>
        </w:rPr>
      </w:pPr>
    </w:p>
    <w:p>
      <w:pPr>
        <w:adjustRightInd w:val="0"/>
        <w:snapToGrid w:val="0"/>
        <w:spacing w:beforeLines="20" w:afterLines="20" w:line="400" w:lineRule="exact"/>
        <w:ind w:firstLine="440" w:firstLineChars="200"/>
        <w:rPr>
          <w:rFonts w:hint="eastAsia"/>
          <w:bCs/>
          <w:sz w:val="22"/>
          <w:szCs w:val="22"/>
          <w:u w:val="single"/>
        </w:rPr>
      </w:pPr>
      <w:r>
        <w:rPr>
          <w:rFonts w:hint="eastAsia"/>
          <w:bCs/>
          <w:sz w:val="22"/>
          <w:szCs w:val="22"/>
        </w:rPr>
        <w:t>投 标 人：</w:t>
      </w:r>
      <w:r>
        <w:rPr>
          <w:rFonts w:hint="eastAsia"/>
          <w:bCs/>
          <w:sz w:val="22"/>
          <w:szCs w:val="22"/>
          <w:u w:val="single"/>
        </w:rPr>
        <w:t xml:space="preserve">                                             </w:t>
      </w:r>
      <w:r>
        <w:rPr>
          <w:rFonts w:hint="eastAsia"/>
          <w:bCs/>
          <w:sz w:val="22"/>
          <w:szCs w:val="22"/>
        </w:rPr>
        <w:t>（盖单位章）</w:t>
      </w:r>
    </w:p>
    <w:p>
      <w:pPr>
        <w:adjustRightInd w:val="0"/>
        <w:snapToGrid w:val="0"/>
        <w:spacing w:beforeLines="20" w:afterLines="20" w:line="400" w:lineRule="exact"/>
        <w:ind w:firstLine="440" w:firstLineChars="200"/>
        <w:rPr>
          <w:rFonts w:hint="eastAsia"/>
          <w:sz w:val="22"/>
          <w:szCs w:val="22"/>
          <w:u w:val="single"/>
        </w:rPr>
      </w:pPr>
      <w:r>
        <w:rPr>
          <w:rFonts w:hint="eastAsia"/>
          <w:sz w:val="22"/>
          <w:szCs w:val="22"/>
        </w:rPr>
        <w:t>法定代表人（单位负责人）：</w:t>
      </w:r>
      <w:r>
        <w:rPr>
          <w:rFonts w:hint="eastAsia"/>
          <w:sz w:val="22"/>
          <w:szCs w:val="22"/>
          <w:u w:val="single"/>
        </w:rPr>
        <w:t xml:space="preserve">               </w:t>
      </w:r>
      <w:r>
        <w:rPr>
          <w:rFonts w:hint="eastAsia"/>
          <w:sz w:val="22"/>
          <w:szCs w:val="22"/>
        </w:rPr>
        <w:t>（签字或加盖其个人电子印章/电子签名章）</w:t>
      </w:r>
    </w:p>
    <w:p>
      <w:pPr>
        <w:adjustRightInd w:val="0"/>
        <w:snapToGrid w:val="0"/>
        <w:spacing w:beforeLines="20" w:afterLines="20" w:line="400" w:lineRule="exact"/>
        <w:ind w:left="109" w:leftChars="52" w:firstLine="330" w:firstLineChars="150"/>
        <w:rPr>
          <w:rFonts w:hint="eastAsia"/>
          <w:sz w:val="22"/>
          <w:szCs w:val="22"/>
          <w:u w:val="single"/>
        </w:rPr>
      </w:pPr>
      <w:r>
        <w:rPr>
          <w:rFonts w:hint="eastAsia"/>
          <w:sz w:val="22"/>
          <w:szCs w:val="22"/>
        </w:rPr>
        <w:t>单位地址：</w:t>
      </w:r>
      <w:r>
        <w:rPr>
          <w:rFonts w:hint="eastAsia"/>
          <w:sz w:val="22"/>
          <w:szCs w:val="22"/>
          <w:u w:val="single"/>
        </w:rPr>
        <w:t xml:space="preserve">                                                       </w:t>
      </w:r>
    </w:p>
    <w:p>
      <w:pPr>
        <w:adjustRightInd w:val="0"/>
        <w:snapToGrid w:val="0"/>
        <w:spacing w:beforeLines="20" w:afterLines="20" w:line="400" w:lineRule="exact"/>
        <w:ind w:firstLine="440" w:firstLineChars="200"/>
        <w:rPr>
          <w:rFonts w:hint="eastAsia"/>
          <w:sz w:val="22"/>
          <w:szCs w:val="22"/>
        </w:rPr>
      </w:pPr>
      <w:r>
        <w:rPr>
          <w:rFonts w:hint="eastAsia"/>
          <w:sz w:val="22"/>
          <w:szCs w:val="22"/>
        </w:rPr>
        <w:t>邮政编码：</w:t>
      </w:r>
      <w:r>
        <w:rPr>
          <w:rFonts w:hint="eastAsia"/>
          <w:bCs/>
          <w:sz w:val="22"/>
          <w:szCs w:val="22"/>
          <w:u w:val="single"/>
        </w:rPr>
        <w:t xml:space="preserve">           </w:t>
      </w:r>
      <w:r>
        <w:rPr>
          <w:rFonts w:hint="eastAsia"/>
          <w:sz w:val="22"/>
          <w:szCs w:val="22"/>
        </w:rPr>
        <w:t>电话：</w:t>
      </w:r>
      <w:r>
        <w:rPr>
          <w:rFonts w:hint="eastAsia"/>
          <w:bCs/>
          <w:sz w:val="22"/>
          <w:szCs w:val="22"/>
          <w:u w:val="single"/>
        </w:rPr>
        <w:t xml:space="preserve">           </w:t>
      </w:r>
      <w:r>
        <w:rPr>
          <w:rFonts w:hint="eastAsia"/>
          <w:sz w:val="22"/>
          <w:szCs w:val="22"/>
        </w:rPr>
        <w:t xml:space="preserve"> 传真：</w:t>
      </w:r>
      <w:r>
        <w:rPr>
          <w:rFonts w:hint="eastAsia"/>
          <w:sz w:val="22"/>
          <w:szCs w:val="22"/>
          <w:u w:val="single"/>
        </w:rPr>
        <w:t xml:space="preserve">                    </w:t>
      </w:r>
      <w:r>
        <w:rPr>
          <w:rFonts w:hint="eastAsia"/>
          <w:sz w:val="22"/>
          <w:szCs w:val="22"/>
        </w:rPr>
        <w:t xml:space="preserve"> </w:t>
      </w:r>
    </w:p>
    <w:p>
      <w:pPr>
        <w:adjustRightInd w:val="0"/>
        <w:snapToGrid w:val="0"/>
        <w:spacing w:beforeLines="20" w:afterLines="20" w:line="400" w:lineRule="exact"/>
        <w:ind w:firstLine="440" w:firstLineChars="200"/>
        <w:rPr>
          <w:rFonts w:hint="eastAsia"/>
          <w:sz w:val="22"/>
          <w:szCs w:val="22"/>
        </w:rPr>
      </w:pPr>
      <w:r>
        <w:rPr>
          <w:rFonts w:hint="eastAsia"/>
          <w:sz w:val="22"/>
          <w:szCs w:val="22"/>
        </w:rPr>
        <w:t>日期：</w:t>
      </w:r>
      <w:r>
        <w:rPr>
          <w:sz w:val="22"/>
          <w:szCs w:val="22"/>
          <w:u w:val="single"/>
        </w:rPr>
        <w:t xml:space="preserve">       </w:t>
      </w:r>
      <w:r>
        <w:rPr>
          <w:rFonts w:hint="eastAsia"/>
          <w:sz w:val="22"/>
          <w:szCs w:val="22"/>
        </w:rPr>
        <w:t>年</w:t>
      </w:r>
      <w:r>
        <w:rPr>
          <w:sz w:val="22"/>
          <w:szCs w:val="22"/>
          <w:u w:val="single"/>
        </w:rPr>
        <w:t xml:space="preserve">       </w:t>
      </w:r>
      <w:r>
        <w:rPr>
          <w:rFonts w:hint="eastAsia"/>
          <w:sz w:val="22"/>
          <w:szCs w:val="22"/>
        </w:rPr>
        <w:t>月</w:t>
      </w:r>
      <w:r>
        <w:rPr>
          <w:sz w:val="22"/>
          <w:szCs w:val="22"/>
          <w:u w:val="single"/>
        </w:rPr>
        <w:t xml:space="preserve">       </w:t>
      </w:r>
      <w:r>
        <w:rPr>
          <w:rFonts w:hint="eastAsia"/>
          <w:sz w:val="22"/>
          <w:szCs w:val="22"/>
        </w:rPr>
        <w:t>日</w:t>
      </w:r>
    </w:p>
    <w:p>
      <w:pPr>
        <w:adjustRightInd w:val="0"/>
        <w:snapToGrid w:val="0"/>
        <w:spacing w:beforeLines="20" w:afterLines="20" w:line="400" w:lineRule="exact"/>
        <w:jc w:val="center"/>
        <w:outlineLvl w:val="1"/>
        <w:rPr>
          <w:rFonts w:hint="eastAsia"/>
        </w:rPr>
      </w:pPr>
      <w:r>
        <w:rPr>
          <w:sz w:val="22"/>
          <w:szCs w:val="22"/>
        </w:rPr>
        <w:br w:type="page"/>
      </w:r>
      <w:bookmarkStart w:id="524" w:name="_Toc460227122"/>
      <w:bookmarkStart w:id="525" w:name="_Toc460660237"/>
      <w:bookmarkStart w:id="526" w:name="_Toc421917014"/>
      <w:r>
        <w:rPr>
          <w:rFonts w:hint="eastAsia"/>
        </w:rPr>
        <w:t>二、</w:t>
      </w:r>
      <w:bookmarkEnd w:id="524"/>
      <w:bookmarkEnd w:id="525"/>
      <w:bookmarkEnd w:id="526"/>
      <w:r>
        <w:rPr>
          <w:rFonts w:hint="eastAsia"/>
        </w:rPr>
        <w:t>分项报价表</w:t>
      </w:r>
    </w:p>
    <w:p>
      <w:pPr>
        <w:spacing w:line="400" w:lineRule="exact"/>
        <w:ind w:firstLine="420" w:firstLineChars="200"/>
      </w:pP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注：</w:t>
      </w: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1.投标人应依据图纸设计要求完整列出系统图内所有标注的配电箱元器件。</w:t>
      </w: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2.投标人所报此分项明细报价表应与招标文件全费用综</w:t>
      </w:r>
      <w:r>
        <w:rPr>
          <w:rFonts w:hint="eastAsia" w:ascii="宋体" w:hAnsi="宋体" w:cs="宋体"/>
          <w:color w:val="0000FF"/>
          <w:sz w:val="22"/>
          <w:szCs w:val="22"/>
          <w:highlight w:val="yellow"/>
          <w:lang w:eastAsia="zh-CN"/>
        </w:rPr>
        <w:t>合报</w:t>
      </w:r>
      <w:r>
        <w:rPr>
          <w:rFonts w:hint="eastAsia" w:ascii="宋体" w:hAnsi="宋体" w:cs="宋体"/>
          <w:color w:val="0000FF"/>
          <w:sz w:val="22"/>
          <w:szCs w:val="22"/>
          <w:highlight w:val="yellow"/>
        </w:rPr>
        <w:t>价表顺序完全一致。</w:t>
      </w: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3.投标人须按照上表要求填写各名称所投产品的规格型号及品牌。</w:t>
      </w: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4.为有助于投标人选择投标产品，如供货要求中提供了推荐品牌（或型号）、参考品牌（或型号）等，上述品牌（或型号）仅供参考，并无限制性，投标人可以选择性能不低于推荐（或参考）的品牌（或型号）的其他品牌产品；采用其他品牌（或型号）的应在投标文件中《技术条款偏差表》中注明并提供有关技术性能指标证明资料等供评标委员会评审，未在《技术条款偏差表》中注明且未提供有关技术性能指标证明资料，或经评标委员会评审未通过的，中标后只能从招标人推荐（或参考）品牌中进行选择，合同价格不予调整。</w:t>
      </w:r>
    </w:p>
    <w:p>
      <w:pPr>
        <w:spacing w:line="360" w:lineRule="auto"/>
        <w:ind w:firstLine="440" w:firstLineChars="200"/>
        <w:rPr>
          <w:rFonts w:hint="eastAsia" w:ascii="宋体" w:hAnsi="宋体" w:cs="宋体"/>
          <w:color w:val="0000FF"/>
          <w:sz w:val="22"/>
          <w:szCs w:val="22"/>
          <w:highlight w:val="yellow"/>
        </w:rPr>
      </w:pPr>
      <w:r>
        <w:rPr>
          <w:rFonts w:hint="eastAsia" w:ascii="宋体" w:hAnsi="宋体" w:cs="宋体"/>
          <w:color w:val="0000FF"/>
          <w:sz w:val="22"/>
          <w:szCs w:val="22"/>
          <w:highlight w:val="yellow"/>
        </w:rPr>
        <w:t>5.中标后，如招标人发现中标人投标文件中投标产品品牌不符合招标人推荐品牌要求，且中标人选择的投标产品未按照第 4 条规定被评标委员会评审通过的，中标人只能从招标人推荐（或参考）品牌中进行选择，合同价格不予调整，招标人有权解除合同。</w:t>
      </w:r>
    </w:p>
    <w:sectPr>
      <w:footerReference r:id="rId13" w:type="default"/>
      <w:footerReference r:id="rId14" w:type="even"/>
      <w:footnotePr>
        <w:numFmt w:val="decimalEnclosedCircleChinese"/>
        <w:numRestart w:val="eachPage"/>
      </w:footnotePr>
      <w:pgSz w:w="11906" w:h="16838"/>
      <w:pgMar w:top="1588" w:right="1701" w:bottom="1418"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hint="eastAsia"/>
      </w:rPr>
    </w:pPr>
    <w:r>
      <w:rPr>
        <w:rStyle w:val="59"/>
      </w:rPr>
      <w:fldChar w:fldCharType="begin"/>
    </w:r>
    <w:r>
      <w:rPr>
        <w:rStyle w:val="59"/>
        <w:highlight w:val="white"/>
      </w:rPr>
      <w:instrText xml:space="preserve">PAGE  </w:instrText>
    </w:r>
    <w:r>
      <w:rPr>
        <w:rStyle w:val="59"/>
      </w:rPr>
      <w:fldChar w:fldCharType="separate"/>
    </w:r>
    <w:r>
      <w:rPr>
        <w:rStyle w:val="59"/>
        <w:highlight w:val="white"/>
      </w:rPr>
      <w:t>15</w:t>
    </w:r>
    <w:r>
      <w:rPr>
        <w:rStyle w:val="59"/>
      </w:rP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highlight w:val="white"/>
      </w:rPr>
      <w:instrText xml:space="preserve">PAGE  </w:instrText>
    </w:r>
    <w:r>
      <w:fldChar w:fldCharType="separate"/>
    </w:r>
    <w:r>
      <w:rPr>
        <w:rStyle w:val="59"/>
        <w:highlight w:val="white"/>
      </w:rPr>
      <w:t>1</w: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3"/>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3"/>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hint="eastAsia"/>
      </w:rPr>
    </w:pPr>
    <w:r>
      <w:rPr>
        <w:rStyle w:val="59"/>
      </w:rPr>
      <w:fldChar w:fldCharType="begin"/>
    </w:r>
    <w:r>
      <w:rPr>
        <w:rStyle w:val="59"/>
        <w:highlight w:val="white"/>
      </w:rPr>
      <w:instrText xml:space="preserve">PAGE  </w:instrText>
    </w:r>
    <w:r>
      <w:rPr>
        <w:rStyle w:val="59"/>
      </w:rPr>
      <w:fldChar w:fldCharType="separate"/>
    </w:r>
    <w:r>
      <w:rPr>
        <w:rStyle w:val="59"/>
        <w:highlight w:val="white"/>
      </w:rPr>
      <w:t>89</w:t>
    </w:r>
    <w:r>
      <w:rPr>
        <w:rStyle w:val="59"/>
      </w:rPr>
      <w:fldChar w:fldCharType="end"/>
    </w:r>
  </w:p>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highlight w:val="white"/>
      </w:rPr>
      <w:instrText xml:space="preserve">PAGE  </w:instrText>
    </w:r>
    <w:r>
      <w:fldChar w:fldCharType="separate"/>
    </w:r>
    <w:r>
      <w:rPr>
        <w:rStyle w:val="59"/>
        <w:highlight w:val="white"/>
      </w:rPr>
      <w:t>1</w:t>
    </w:r>
    <w:r>
      <w:fldChar w:fldCharType="end"/>
    </w:r>
  </w:p>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hint="eastAsia" w:ascii="仿宋_GB2312" w:eastAsia="仿宋_GB2312"/>
      </w:rPr>
    </w:pPr>
    <w:r>
      <w:rPr>
        <w:rFonts w:hint="eastAsia" w:ascii="仿宋_GB2312" w:eastAsia="仿宋_GB2312"/>
      </w:rPr>
      <w:fldChar w:fldCharType="begin"/>
    </w:r>
    <w:r>
      <w:rPr>
        <w:rStyle w:val="59"/>
        <w:rFonts w:hint="eastAsia" w:ascii="仿宋_GB2312" w:eastAsia="仿宋_GB2312"/>
      </w:rPr>
      <w:instrText xml:space="preserve">PAGE  </w:instrText>
    </w:r>
    <w:r>
      <w:rPr>
        <w:rFonts w:hint="eastAsia" w:ascii="仿宋_GB2312" w:eastAsia="仿宋_GB2312"/>
      </w:rPr>
      <w:fldChar w:fldCharType="separate"/>
    </w:r>
    <w:r>
      <w:rPr>
        <w:rStyle w:val="59"/>
        <w:rFonts w:ascii="仿宋_GB2312" w:eastAsia="仿宋_GB2312"/>
      </w:rPr>
      <w:t>116</w:t>
    </w:r>
    <w:r>
      <w:rPr>
        <w:rFonts w:hint="eastAsia" w:ascii="仿宋_GB2312" w:eastAsia="仿宋_GB2312"/>
      </w:rPr>
      <w:fldChar w:fldCharType="end"/>
    </w:r>
  </w:p>
  <w:p>
    <w:pPr>
      <w:pStyle w:val="33"/>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2"/>
        <w:keepLines/>
        <w:rPr>
          <w:rFonts w:hint="eastAsia" w:cs="楷体"/>
          <w:bCs/>
          <w:snapToGrid w:val="0"/>
          <w:color w:val="000000"/>
          <w:kern w:val="0"/>
        </w:rPr>
      </w:pPr>
    </w:p>
  </w:footnote>
  <w:footnote w:id="1">
    <w:p>
      <w:pPr>
        <w:pStyle w:val="42"/>
        <w:rPr>
          <w:rFonts w:hint="eastAsia"/>
        </w:rPr>
      </w:pPr>
      <w:r>
        <w:rPr>
          <w:rStyle w:val="64"/>
        </w:rPr>
        <w:footnoteRef/>
      </w:r>
      <w:r>
        <w:t xml:space="preserve"> </w:t>
      </w:r>
      <w:r>
        <w:rPr>
          <w:rFonts w:hint="eastAsia"/>
        </w:rPr>
        <w:t>适用于要求投标人提交“制造商授权”的情形。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1"/>
        <w:szCs w:val="11"/>
      </w:rPr>
    </w:pPr>
    <w:r>
      <w:rPr>
        <w:rFonts w:hint="eastAsia" w:ascii="宋体" w:hAnsi="宋体" w:cs="宋体"/>
        <w:b/>
        <w:bCs/>
        <w:color w:val="000000"/>
        <w:kern w:val="0"/>
      </w:rPr>
      <w:t>安徽省第二人民医院专科医疗及科教功能区建设项目楼层配电箱采购项目招标文件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9"/>
      </w:rPr>
    </w:pPr>
    <w:r>
      <w:fldChar w:fldCharType="begin"/>
    </w:r>
    <w:r>
      <w:rPr>
        <w:rStyle w:val="59"/>
        <w:highlight w:val="white"/>
      </w:rPr>
      <w:instrText xml:space="preserve">PAGE  </w:instrText>
    </w:r>
    <w:r>
      <w:fldChar w:fldCharType="separate"/>
    </w:r>
    <w:r>
      <w:fldChar w:fldCharType="end"/>
    </w:r>
  </w:p>
  <w:p>
    <w:pPr>
      <w:pStyle w:val="3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9"/>
      </w:rPr>
    </w:pPr>
    <w:r>
      <w:fldChar w:fldCharType="begin"/>
    </w:r>
    <w:r>
      <w:rPr>
        <w:rStyle w:val="59"/>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54FD6"/>
    <w:multiLevelType w:val="singleLevel"/>
    <w:tmpl w:val="A7E54FD6"/>
    <w:lvl w:ilvl="0" w:tentative="0">
      <w:start w:val="1"/>
      <w:numFmt w:val="decimal"/>
      <w:suff w:val="nothing"/>
      <w:lvlText w:val="（%1）"/>
      <w:lvlJc w:val="left"/>
      <w:pPr>
        <w:ind w:left="0"/>
      </w:pPr>
    </w:lvl>
  </w:abstractNum>
  <w:abstractNum w:abstractNumId="1">
    <w:nsid w:val="289DED20"/>
    <w:multiLevelType w:val="singleLevel"/>
    <w:tmpl w:val="289DED20"/>
    <w:lvl w:ilvl="0" w:tentative="0">
      <w:start w:val="1"/>
      <w:numFmt w:val="decimal"/>
      <w:lvlText w:val="%1."/>
      <w:lvlJc w:val="left"/>
      <w:pPr>
        <w:tabs>
          <w:tab w:val="left" w:pos="312"/>
        </w:tabs>
      </w:pPr>
    </w:lvl>
  </w:abstractNum>
  <w:abstractNum w:abstractNumId="2">
    <w:nsid w:val="34B95D8D"/>
    <w:multiLevelType w:val="singleLevel"/>
    <w:tmpl w:val="34B95D8D"/>
    <w:lvl w:ilvl="0" w:tentative="0">
      <w:start w:val="1"/>
      <w:numFmt w:val="decimal"/>
      <w:lvlText w:val="%1."/>
      <w:lvlJc w:val="left"/>
      <w:pPr>
        <w:tabs>
          <w:tab w:val="left" w:pos="312"/>
        </w:tabs>
      </w:pPr>
    </w:lvl>
  </w:abstractNum>
  <w:abstractNum w:abstractNumId="3">
    <w:nsid w:val="3A4EB13F"/>
    <w:multiLevelType w:val="singleLevel"/>
    <w:tmpl w:val="3A4EB13F"/>
    <w:lvl w:ilvl="0" w:tentative="0">
      <w:start w:val="2"/>
      <w:numFmt w:val="decimal"/>
      <w:lvlText w:val="%1."/>
      <w:lvlJc w:val="left"/>
      <w:pPr>
        <w:tabs>
          <w:tab w:val="left" w:pos="312"/>
        </w:tabs>
      </w:pPr>
    </w:lvl>
  </w:abstractNum>
  <w:abstractNum w:abstractNumId="4">
    <w:nsid w:val="56081C15"/>
    <w:multiLevelType w:val="singleLevel"/>
    <w:tmpl w:val="56081C15"/>
    <w:lvl w:ilvl="0" w:tentative="0">
      <w:start w:val="1"/>
      <w:numFmt w:val="decimal"/>
      <w:suff w:val="space"/>
      <w:lvlText w:val="%1."/>
      <w:lvlJc w:val="left"/>
    </w:lvl>
  </w:abstractNum>
  <w:abstractNum w:abstractNumId="5">
    <w:nsid w:val="654DBD6B"/>
    <w:multiLevelType w:val="singleLevel"/>
    <w:tmpl w:val="654DBD6B"/>
    <w:lvl w:ilvl="0" w:tentative="0">
      <w:start w:val="2"/>
      <w:numFmt w:val="chineseCounting"/>
      <w:suff w:val="space"/>
      <w:lvlText w:val="第%1章"/>
      <w:lvlJc w:val="left"/>
      <w:rPr>
        <w:rFonts w:hint="eastAsia"/>
      </w:rPr>
    </w:lvl>
  </w:abstractNum>
  <w:abstractNum w:abstractNumId="6">
    <w:nsid w:val="7F7E5238"/>
    <w:multiLevelType w:val="multilevel"/>
    <w:tmpl w:val="7F7E5238"/>
    <w:lvl w:ilvl="0" w:tentative="0">
      <w:start w:val="1"/>
      <w:numFmt w:val="none"/>
      <w:pStyle w:val="15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5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59"/>
      <w:lvlText w:val="           "/>
      <w:lvlJc w:val="left"/>
      <w:pPr>
        <w:tabs>
          <w:tab w:val="left" w:pos="1440"/>
        </w:tabs>
        <w:ind w:left="1152" w:hanging="1152"/>
      </w:pPr>
      <w:rPr>
        <w:rFonts w:hint="eastAsia"/>
      </w:rPr>
    </w:lvl>
    <w:lvl w:ilvl="6" w:tentative="0">
      <w:start w:val="1"/>
      <w:numFmt w:val="decimal"/>
      <w:pStyle w:val="161"/>
      <w:lvlText w:val="%1.%2.%3.%4.%5.%6.%7"/>
      <w:lvlJc w:val="left"/>
      <w:pPr>
        <w:tabs>
          <w:tab w:val="left" w:pos="2520"/>
        </w:tabs>
        <w:ind w:left="1296" w:hanging="1296"/>
      </w:pPr>
      <w:rPr>
        <w:rFonts w:hint="eastAsia"/>
      </w:rPr>
    </w:lvl>
    <w:lvl w:ilvl="7" w:tentative="0">
      <w:start w:val="1"/>
      <w:numFmt w:val="decimal"/>
      <w:pStyle w:val="163"/>
      <w:lvlText w:val="%1.%2.%3.%4.%5.%6.%7.%8"/>
      <w:lvlJc w:val="left"/>
      <w:pPr>
        <w:tabs>
          <w:tab w:val="left" w:pos="1440"/>
        </w:tabs>
        <w:ind w:left="1440" w:hanging="1440"/>
      </w:pPr>
      <w:rPr>
        <w:rFonts w:hint="eastAsia"/>
      </w:rPr>
    </w:lvl>
    <w:lvl w:ilvl="8" w:tentative="0">
      <w:start w:val="1"/>
      <w:numFmt w:val="decimal"/>
      <w:pStyle w:val="165"/>
      <w:lvlText w:val="%1.%2.%3.%4.%5.%6.%7.%8.%9"/>
      <w:lvlJc w:val="left"/>
      <w:pPr>
        <w:tabs>
          <w:tab w:val="left" w:pos="1584"/>
        </w:tabs>
        <w:ind w:left="1584" w:hanging="1584"/>
      </w:pPr>
      <w:rPr>
        <w:rFonts w:hint="eastAsia"/>
      </w:r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lZjBjODJhYzQ4YzdjNDI0YWMyYmRjYmJjNTcwYzcifQ=="/>
    <w:docVar w:name="KSO_WPS_MARK_KEY" w:val="41c76115-6d34-437c-a735-784d29fe9a1a"/>
  </w:docVars>
  <w:rsids>
    <w:rsidRoot w:val="00172A27"/>
    <w:rsid w:val="00000461"/>
    <w:rsid w:val="000019D9"/>
    <w:rsid w:val="00001C66"/>
    <w:rsid w:val="00002D91"/>
    <w:rsid w:val="00005BB2"/>
    <w:rsid w:val="00007A61"/>
    <w:rsid w:val="00012F97"/>
    <w:rsid w:val="00013F89"/>
    <w:rsid w:val="00014CCC"/>
    <w:rsid w:val="00016A95"/>
    <w:rsid w:val="00017687"/>
    <w:rsid w:val="00020429"/>
    <w:rsid w:val="000219E9"/>
    <w:rsid w:val="00021C4F"/>
    <w:rsid w:val="0002308F"/>
    <w:rsid w:val="000262E8"/>
    <w:rsid w:val="00026638"/>
    <w:rsid w:val="00027183"/>
    <w:rsid w:val="00031F4B"/>
    <w:rsid w:val="00033008"/>
    <w:rsid w:val="00035DE8"/>
    <w:rsid w:val="00035F41"/>
    <w:rsid w:val="0003614A"/>
    <w:rsid w:val="0004182B"/>
    <w:rsid w:val="00043541"/>
    <w:rsid w:val="00045546"/>
    <w:rsid w:val="00050532"/>
    <w:rsid w:val="000541B0"/>
    <w:rsid w:val="00054AFE"/>
    <w:rsid w:val="00055609"/>
    <w:rsid w:val="00055C35"/>
    <w:rsid w:val="000563CA"/>
    <w:rsid w:val="00056E98"/>
    <w:rsid w:val="0006024A"/>
    <w:rsid w:val="00060CF4"/>
    <w:rsid w:val="00061014"/>
    <w:rsid w:val="00061F0A"/>
    <w:rsid w:val="000649BF"/>
    <w:rsid w:val="00066FAB"/>
    <w:rsid w:val="00071C48"/>
    <w:rsid w:val="00072109"/>
    <w:rsid w:val="00072E44"/>
    <w:rsid w:val="000737AC"/>
    <w:rsid w:val="00075557"/>
    <w:rsid w:val="00076A82"/>
    <w:rsid w:val="00076D69"/>
    <w:rsid w:val="000808E7"/>
    <w:rsid w:val="00081A25"/>
    <w:rsid w:val="000826C6"/>
    <w:rsid w:val="00082ABA"/>
    <w:rsid w:val="00082B19"/>
    <w:rsid w:val="00083E91"/>
    <w:rsid w:val="000842F6"/>
    <w:rsid w:val="0008436E"/>
    <w:rsid w:val="00084E79"/>
    <w:rsid w:val="00085373"/>
    <w:rsid w:val="0008558A"/>
    <w:rsid w:val="00085ACD"/>
    <w:rsid w:val="00085C64"/>
    <w:rsid w:val="000862D3"/>
    <w:rsid w:val="000877D7"/>
    <w:rsid w:val="00087934"/>
    <w:rsid w:val="00090238"/>
    <w:rsid w:val="00091DB7"/>
    <w:rsid w:val="00092347"/>
    <w:rsid w:val="000925E9"/>
    <w:rsid w:val="00092C06"/>
    <w:rsid w:val="0009387D"/>
    <w:rsid w:val="00094AA1"/>
    <w:rsid w:val="00094B8F"/>
    <w:rsid w:val="00097583"/>
    <w:rsid w:val="000A14D5"/>
    <w:rsid w:val="000A2093"/>
    <w:rsid w:val="000A25C9"/>
    <w:rsid w:val="000A2AE5"/>
    <w:rsid w:val="000A4786"/>
    <w:rsid w:val="000A4846"/>
    <w:rsid w:val="000A4A82"/>
    <w:rsid w:val="000A4F09"/>
    <w:rsid w:val="000A6A3E"/>
    <w:rsid w:val="000A7F56"/>
    <w:rsid w:val="000B0D81"/>
    <w:rsid w:val="000B17C0"/>
    <w:rsid w:val="000B1C86"/>
    <w:rsid w:val="000B22BF"/>
    <w:rsid w:val="000B2EA3"/>
    <w:rsid w:val="000B3B78"/>
    <w:rsid w:val="000B4502"/>
    <w:rsid w:val="000B45ED"/>
    <w:rsid w:val="000B465B"/>
    <w:rsid w:val="000B4D9B"/>
    <w:rsid w:val="000C3780"/>
    <w:rsid w:val="000C3CF6"/>
    <w:rsid w:val="000C3DE3"/>
    <w:rsid w:val="000C6D46"/>
    <w:rsid w:val="000D002B"/>
    <w:rsid w:val="000D106F"/>
    <w:rsid w:val="000D18DA"/>
    <w:rsid w:val="000D1A26"/>
    <w:rsid w:val="000D1D83"/>
    <w:rsid w:val="000D3553"/>
    <w:rsid w:val="000D49D9"/>
    <w:rsid w:val="000D6093"/>
    <w:rsid w:val="000D66D7"/>
    <w:rsid w:val="000D779A"/>
    <w:rsid w:val="000E2484"/>
    <w:rsid w:val="000E370B"/>
    <w:rsid w:val="000E5939"/>
    <w:rsid w:val="000E6540"/>
    <w:rsid w:val="000E7F67"/>
    <w:rsid w:val="000F127C"/>
    <w:rsid w:val="000F1A3A"/>
    <w:rsid w:val="000F235F"/>
    <w:rsid w:val="000F31DA"/>
    <w:rsid w:val="000F3C34"/>
    <w:rsid w:val="000F5501"/>
    <w:rsid w:val="000F7527"/>
    <w:rsid w:val="0010005B"/>
    <w:rsid w:val="00101A72"/>
    <w:rsid w:val="0010293D"/>
    <w:rsid w:val="00105AA8"/>
    <w:rsid w:val="00105B63"/>
    <w:rsid w:val="00105D46"/>
    <w:rsid w:val="00106426"/>
    <w:rsid w:val="001070B1"/>
    <w:rsid w:val="00110C05"/>
    <w:rsid w:val="00113859"/>
    <w:rsid w:val="001142AA"/>
    <w:rsid w:val="00114BD0"/>
    <w:rsid w:val="0012071E"/>
    <w:rsid w:val="0012073C"/>
    <w:rsid w:val="00120D75"/>
    <w:rsid w:val="00123E04"/>
    <w:rsid w:val="00123E2A"/>
    <w:rsid w:val="001259AF"/>
    <w:rsid w:val="00125AFD"/>
    <w:rsid w:val="00125C49"/>
    <w:rsid w:val="001271D4"/>
    <w:rsid w:val="001276C1"/>
    <w:rsid w:val="00131629"/>
    <w:rsid w:val="001319E4"/>
    <w:rsid w:val="00131C57"/>
    <w:rsid w:val="00131CE5"/>
    <w:rsid w:val="00133192"/>
    <w:rsid w:val="00133BFF"/>
    <w:rsid w:val="00134061"/>
    <w:rsid w:val="00134155"/>
    <w:rsid w:val="0013539D"/>
    <w:rsid w:val="0013621D"/>
    <w:rsid w:val="001364FA"/>
    <w:rsid w:val="0013718E"/>
    <w:rsid w:val="00140604"/>
    <w:rsid w:val="0014347A"/>
    <w:rsid w:val="001435C3"/>
    <w:rsid w:val="0014511E"/>
    <w:rsid w:val="001454C8"/>
    <w:rsid w:val="00145939"/>
    <w:rsid w:val="00145C28"/>
    <w:rsid w:val="00146130"/>
    <w:rsid w:val="00146E40"/>
    <w:rsid w:val="00151530"/>
    <w:rsid w:val="00151B1C"/>
    <w:rsid w:val="001521F2"/>
    <w:rsid w:val="0015284B"/>
    <w:rsid w:val="00153A85"/>
    <w:rsid w:val="00153F39"/>
    <w:rsid w:val="001545E0"/>
    <w:rsid w:val="00154AD4"/>
    <w:rsid w:val="0015641C"/>
    <w:rsid w:val="00157272"/>
    <w:rsid w:val="00160110"/>
    <w:rsid w:val="00161E33"/>
    <w:rsid w:val="00161FE5"/>
    <w:rsid w:val="0016668C"/>
    <w:rsid w:val="00166692"/>
    <w:rsid w:val="00166827"/>
    <w:rsid w:val="00166AFE"/>
    <w:rsid w:val="0017051A"/>
    <w:rsid w:val="0017189E"/>
    <w:rsid w:val="00172519"/>
    <w:rsid w:val="0017437F"/>
    <w:rsid w:val="001747EF"/>
    <w:rsid w:val="001762E6"/>
    <w:rsid w:val="00176B84"/>
    <w:rsid w:val="00176DC0"/>
    <w:rsid w:val="001810A5"/>
    <w:rsid w:val="0018357E"/>
    <w:rsid w:val="0018605F"/>
    <w:rsid w:val="001875F7"/>
    <w:rsid w:val="0019007C"/>
    <w:rsid w:val="00190A3D"/>
    <w:rsid w:val="001917E0"/>
    <w:rsid w:val="001929AC"/>
    <w:rsid w:val="00192D6E"/>
    <w:rsid w:val="00194A84"/>
    <w:rsid w:val="00195166"/>
    <w:rsid w:val="001A007B"/>
    <w:rsid w:val="001A0167"/>
    <w:rsid w:val="001A0491"/>
    <w:rsid w:val="001A0938"/>
    <w:rsid w:val="001A0969"/>
    <w:rsid w:val="001A2F36"/>
    <w:rsid w:val="001A3E31"/>
    <w:rsid w:val="001A4A9A"/>
    <w:rsid w:val="001A530A"/>
    <w:rsid w:val="001A59FB"/>
    <w:rsid w:val="001A5B8E"/>
    <w:rsid w:val="001A6A10"/>
    <w:rsid w:val="001B055D"/>
    <w:rsid w:val="001B27A4"/>
    <w:rsid w:val="001B3D39"/>
    <w:rsid w:val="001B54DD"/>
    <w:rsid w:val="001B713C"/>
    <w:rsid w:val="001C004F"/>
    <w:rsid w:val="001C04AE"/>
    <w:rsid w:val="001C1ADD"/>
    <w:rsid w:val="001C4EC4"/>
    <w:rsid w:val="001C593A"/>
    <w:rsid w:val="001C6830"/>
    <w:rsid w:val="001C6C76"/>
    <w:rsid w:val="001C6F7A"/>
    <w:rsid w:val="001D07B4"/>
    <w:rsid w:val="001D145C"/>
    <w:rsid w:val="001D1698"/>
    <w:rsid w:val="001D57F9"/>
    <w:rsid w:val="001D6204"/>
    <w:rsid w:val="001D67E1"/>
    <w:rsid w:val="001D690E"/>
    <w:rsid w:val="001D767F"/>
    <w:rsid w:val="001E29CA"/>
    <w:rsid w:val="001E6137"/>
    <w:rsid w:val="001E6441"/>
    <w:rsid w:val="001F04FF"/>
    <w:rsid w:val="001F3770"/>
    <w:rsid w:val="001F44E2"/>
    <w:rsid w:val="001F4AEE"/>
    <w:rsid w:val="0020034A"/>
    <w:rsid w:val="0020117F"/>
    <w:rsid w:val="002014D4"/>
    <w:rsid w:val="0020178E"/>
    <w:rsid w:val="0020234C"/>
    <w:rsid w:val="00202F49"/>
    <w:rsid w:val="00204101"/>
    <w:rsid w:val="00205198"/>
    <w:rsid w:val="00205D3F"/>
    <w:rsid w:val="00205F66"/>
    <w:rsid w:val="002060AE"/>
    <w:rsid w:val="002071BD"/>
    <w:rsid w:val="00210476"/>
    <w:rsid w:val="002119A5"/>
    <w:rsid w:val="00213224"/>
    <w:rsid w:val="0021511F"/>
    <w:rsid w:val="002153F9"/>
    <w:rsid w:val="00215627"/>
    <w:rsid w:val="00216F0A"/>
    <w:rsid w:val="00217713"/>
    <w:rsid w:val="00220082"/>
    <w:rsid w:val="00220751"/>
    <w:rsid w:val="00221ECE"/>
    <w:rsid w:val="00221FF8"/>
    <w:rsid w:val="00222F85"/>
    <w:rsid w:val="002233F3"/>
    <w:rsid w:val="00226266"/>
    <w:rsid w:val="00226C5A"/>
    <w:rsid w:val="00232726"/>
    <w:rsid w:val="00233675"/>
    <w:rsid w:val="002339E9"/>
    <w:rsid w:val="00233E6E"/>
    <w:rsid w:val="002345C8"/>
    <w:rsid w:val="00234FFF"/>
    <w:rsid w:val="00235883"/>
    <w:rsid w:val="00236480"/>
    <w:rsid w:val="00236FB8"/>
    <w:rsid w:val="00241305"/>
    <w:rsid w:val="0024213B"/>
    <w:rsid w:val="00244FA6"/>
    <w:rsid w:val="00246426"/>
    <w:rsid w:val="00246B44"/>
    <w:rsid w:val="00246F27"/>
    <w:rsid w:val="002509B3"/>
    <w:rsid w:val="00251CD1"/>
    <w:rsid w:val="00253AE2"/>
    <w:rsid w:val="00254DB7"/>
    <w:rsid w:val="0025582E"/>
    <w:rsid w:val="00256C8E"/>
    <w:rsid w:val="00257B1A"/>
    <w:rsid w:val="00257C3E"/>
    <w:rsid w:val="00257FDC"/>
    <w:rsid w:val="00260BEC"/>
    <w:rsid w:val="00260E2E"/>
    <w:rsid w:val="002613A7"/>
    <w:rsid w:val="0026256C"/>
    <w:rsid w:val="00263635"/>
    <w:rsid w:val="002645C4"/>
    <w:rsid w:val="002648E7"/>
    <w:rsid w:val="00264E48"/>
    <w:rsid w:val="0026593C"/>
    <w:rsid w:val="00265FA5"/>
    <w:rsid w:val="0026607B"/>
    <w:rsid w:val="0026677E"/>
    <w:rsid w:val="00266D19"/>
    <w:rsid w:val="00267281"/>
    <w:rsid w:val="00272D4E"/>
    <w:rsid w:val="00272D69"/>
    <w:rsid w:val="00273F5D"/>
    <w:rsid w:val="00277B84"/>
    <w:rsid w:val="002812CD"/>
    <w:rsid w:val="00281612"/>
    <w:rsid w:val="00283177"/>
    <w:rsid w:val="0028412F"/>
    <w:rsid w:val="00284F59"/>
    <w:rsid w:val="00285823"/>
    <w:rsid w:val="00285E16"/>
    <w:rsid w:val="00292889"/>
    <w:rsid w:val="002936C5"/>
    <w:rsid w:val="00295A39"/>
    <w:rsid w:val="00296BAE"/>
    <w:rsid w:val="0029746D"/>
    <w:rsid w:val="002A228C"/>
    <w:rsid w:val="002A2F1B"/>
    <w:rsid w:val="002A3D90"/>
    <w:rsid w:val="002B09EE"/>
    <w:rsid w:val="002B1536"/>
    <w:rsid w:val="002B3C7E"/>
    <w:rsid w:val="002B44E9"/>
    <w:rsid w:val="002B49A9"/>
    <w:rsid w:val="002B55E4"/>
    <w:rsid w:val="002C0428"/>
    <w:rsid w:val="002C1D63"/>
    <w:rsid w:val="002C227E"/>
    <w:rsid w:val="002C2816"/>
    <w:rsid w:val="002C3D72"/>
    <w:rsid w:val="002C634F"/>
    <w:rsid w:val="002C684A"/>
    <w:rsid w:val="002C70BC"/>
    <w:rsid w:val="002C76F0"/>
    <w:rsid w:val="002D000B"/>
    <w:rsid w:val="002D48E2"/>
    <w:rsid w:val="002D4CB3"/>
    <w:rsid w:val="002D4EF0"/>
    <w:rsid w:val="002D52DF"/>
    <w:rsid w:val="002D59A7"/>
    <w:rsid w:val="002D6433"/>
    <w:rsid w:val="002D798D"/>
    <w:rsid w:val="002E3481"/>
    <w:rsid w:val="002E45FA"/>
    <w:rsid w:val="002E48B9"/>
    <w:rsid w:val="002F263C"/>
    <w:rsid w:val="002F2B7C"/>
    <w:rsid w:val="002F2E23"/>
    <w:rsid w:val="002F3B56"/>
    <w:rsid w:val="002F4941"/>
    <w:rsid w:val="002F5BCF"/>
    <w:rsid w:val="002F5D36"/>
    <w:rsid w:val="002F5F4C"/>
    <w:rsid w:val="00301854"/>
    <w:rsid w:val="00301DF1"/>
    <w:rsid w:val="00303612"/>
    <w:rsid w:val="003039DB"/>
    <w:rsid w:val="00303A35"/>
    <w:rsid w:val="0030443C"/>
    <w:rsid w:val="003045C3"/>
    <w:rsid w:val="003104AC"/>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7584"/>
    <w:rsid w:val="0034028F"/>
    <w:rsid w:val="00341FF7"/>
    <w:rsid w:val="00344F71"/>
    <w:rsid w:val="0034621F"/>
    <w:rsid w:val="00347758"/>
    <w:rsid w:val="0035112F"/>
    <w:rsid w:val="00352E8C"/>
    <w:rsid w:val="00353E21"/>
    <w:rsid w:val="003540F6"/>
    <w:rsid w:val="00360186"/>
    <w:rsid w:val="00361CD9"/>
    <w:rsid w:val="00363E5B"/>
    <w:rsid w:val="003646AC"/>
    <w:rsid w:val="00364C8B"/>
    <w:rsid w:val="00364EFC"/>
    <w:rsid w:val="00365DB2"/>
    <w:rsid w:val="00365EF4"/>
    <w:rsid w:val="00366E26"/>
    <w:rsid w:val="003707C8"/>
    <w:rsid w:val="00370BE2"/>
    <w:rsid w:val="003715A1"/>
    <w:rsid w:val="00371948"/>
    <w:rsid w:val="00371989"/>
    <w:rsid w:val="00372A91"/>
    <w:rsid w:val="00372D94"/>
    <w:rsid w:val="00372FA0"/>
    <w:rsid w:val="00373DE8"/>
    <w:rsid w:val="00373EFF"/>
    <w:rsid w:val="00374764"/>
    <w:rsid w:val="00376D3D"/>
    <w:rsid w:val="00380CEF"/>
    <w:rsid w:val="00381A84"/>
    <w:rsid w:val="003833D4"/>
    <w:rsid w:val="00384D71"/>
    <w:rsid w:val="00384FF2"/>
    <w:rsid w:val="003850AE"/>
    <w:rsid w:val="00387606"/>
    <w:rsid w:val="0039162A"/>
    <w:rsid w:val="00393B6D"/>
    <w:rsid w:val="00394B21"/>
    <w:rsid w:val="0039590C"/>
    <w:rsid w:val="00395DB7"/>
    <w:rsid w:val="00395DEA"/>
    <w:rsid w:val="00396785"/>
    <w:rsid w:val="003A01B6"/>
    <w:rsid w:val="003A05FB"/>
    <w:rsid w:val="003A07CE"/>
    <w:rsid w:val="003A2B28"/>
    <w:rsid w:val="003A495D"/>
    <w:rsid w:val="003A5FA7"/>
    <w:rsid w:val="003B02CE"/>
    <w:rsid w:val="003B052D"/>
    <w:rsid w:val="003B09BA"/>
    <w:rsid w:val="003B1797"/>
    <w:rsid w:val="003B225A"/>
    <w:rsid w:val="003B5FCE"/>
    <w:rsid w:val="003B7569"/>
    <w:rsid w:val="003C0BA3"/>
    <w:rsid w:val="003C28FB"/>
    <w:rsid w:val="003C39BB"/>
    <w:rsid w:val="003C5396"/>
    <w:rsid w:val="003C5488"/>
    <w:rsid w:val="003C580D"/>
    <w:rsid w:val="003C5D7A"/>
    <w:rsid w:val="003C6816"/>
    <w:rsid w:val="003C6964"/>
    <w:rsid w:val="003C7270"/>
    <w:rsid w:val="003D175A"/>
    <w:rsid w:val="003D1F76"/>
    <w:rsid w:val="003D2AB8"/>
    <w:rsid w:val="003D2D29"/>
    <w:rsid w:val="003D409E"/>
    <w:rsid w:val="003D4CCA"/>
    <w:rsid w:val="003D4E39"/>
    <w:rsid w:val="003D5B95"/>
    <w:rsid w:val="003D5BBE"/>
    <w:rsid w:val="003D61D2"/>
    <w:rsid w:val="003D6591"/>
    <w:rsid w:val="003D7233"/>
    <w:rsid w:val="003D7681"/>
    <w:rsid w:val="003E183F"/>
    <w:rsid w:val="003E3D34"/>
    <w:rsid w:val="003E55C6"/>
    <w:rsid w:val="003E61FF"/>
    <w:rsid w:val="003E777E"/>
    <w:rsid w:val="003F0FAA"/>
    <w:rsid w:val="003F2797"/>
    <w:rsid w:val="003F2F68"/>
    <w:rsid w:val="003F4D6A"/>
    <w:rsid w:val="0040081C"/>
    <w:rsid w:val="004015E0"/>
    <w:rsid w:val="00403319"/>
    <w:rsid w:val="004034CC"/>
    <w:rsid w:val="0040492A"/>
    <w:rsid w:val="0040587E"/>
    <w:rsid w:val="0040743D"/>
    <w:rsid w:val="00407C80"/>
    <w:rsid w:val="00410DA8"/>
    <w:rsid w:val="004118D3"/>
    <w:rsid w:val="00412619"/>
    <w:rsid w:val="00413BAD"/>
    <w:rsid w:val="00413E15"/>
    <w:rsid w:val="0041644E"/>
    <w:rsid w:val="0041741D"/>
    <w:rsid w:val="0041744F"/>
    <w:rsid w:val="0041788D"/>
    <w:rsid w:val="0042310F"/>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00F7"/>
    <w:rsid w:val="00450B5A"/>
    <w:rsid w:val="004518D3"/>
    <w:rsid w:val="00451EBE"/>
    <w:rsid w:val="00452397"/>
    <w:rsid w:val="00453001"/>
    <w:rsid w:val="00455848"/>
    <w:rsid w:val="00460F57"/>
    <w:rsid w:val="004613C3"/>
    <w:rsid w:val="004619DB"/>
    <w:rsid w:val="004635B9"/>
    <w:rsid w:val="00465417"/>
    <w:rsid w:val="00465EA1"/>
    <w:rsid w:val="00466180"/>
    <w:rsid w:val="004679F2"/>
    <w:rsid w:val="00474782"/>
    <w:rsid w:val="004810BE"/>
    <w:rsid w:val="00482B2E"/>
    <w:rsid w:val="0048314B"/>
    <w:rsid w:val="00485909"/>
    <w:rsid w:val="00490447"/>
    <w:rsid w:val="00490B03"/>
    <w:rsid w:val="004923FF"/>
    <w:rsid w:val="00493102"/>
    <w:rsid w:val="00493C9D"/>
    <w:rsid w:val="00494050"/>
    <w:rsid w:val="004955A9"/>
    <w:rsid w:val="00495C3F"/>
    <w:rsid w:val="004A0217"/>
    <w:rsid w:val="004A04E7"/>
    <w:rsid w:val="004A0AD1"/>
    <w:rsid w:val="004A1FFB"/>
    <w:rsid w:val="004A4C6F"/>
    <w:rsid w:val="004A5E76"/>
    <w:rsid w:val="004A6851"/>
    <w:rsid w:val="004B0ECA"/>
    <w:rsid w:val="004B1463"/>
    <w:rsid w:val="004B2176"/>
    <w:rsid w:val="004B2D29"/>
    <w:rsid w:val="004B36E9"/>
    <w:rsid w:val="004B3888"/>
    <w:rsid w:val="004B60BE"/>
    <w:rsid w:val="004B6550"/>
    <w:rsid w:val="004B7477"/>
    <w:rsid w:val="004C197E"/>
    <w:rsid w:val="004C4104"/>
    <w:rsid w:val="004C525D"/>
    <w:rsid w:val="004C52CE"/>
    <w:rsid w:val="004C64ED"/>
    <w:rsid w:val="004D024A"/>
    <w:rsid w:val="004D098B"/>
    <w:rsid w:val="004D0A17"/>
    <w:rsid w:val="004D3594"/>
    <w:rsid w:val="004D4D46"/>
    <w:rsid w:val="004D6EEF"/>
    <w:rsid w:val="004D7715"/>
    <w:rsid w:val="004D7870"/>
    <w:rsid w:val="004D7FBF"/>
    <w:rsid w:val="004E0904"/>
    <w:rsid w:val="004E2B01"/>
    <w:rsid w:val="004E2DE3"/>
    <w:rsid w:val="004E441F"/>
    <w:rsid w:val="004E49D7"/>
    <w:rsid w:val="004E4A7E"/>
    <w:rsid w:val="004E530C"/>
    <w:rsid w:val="004E5396"/>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2913"/>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33A8"/>
    <w:rsid w:val="00523414"/>
    <w:rsid w:val="00526434"/>
    <w:rsid w:val="00526DCB"/>
    <w:rsid w:val="00527FDD"/>
    <w:rsid w:val="00531621"/>
    <w:rsid w:val="005346DA"/>
    <w:rsid w:val="00534ED4"/>
    <w:rsid w:val="00535EEF"/>
    <w:rsid w:val="00536D1A"/>
    <w:rsid w:val="005371EF"/>
    <w:rsid w:val="00540235"/>
    <w:rsid w:val="00541016"/>
    <w:rsid w:val="00541C39"/>
    <w:rsid w:val="00541E9E"/>
    <w:rsid w:val="00543576"/>
    <w:rsid w:val="00544A8B"/>
    <w:rsid w:val="005502F4"/>
    <w:rsid w:val="00551635"/>
    <w:rsid w:val="00551FCF"/>
    <w:rsid w:val="00552E50"/>
    <w:rsid w:val="0055318B"/>
    <w:rsid w:val="005534A0"/>
    <w:rsid w:val="00554FE5"/>
    <w:rsid w:val="00555969"/>
    <w:rsid w:val="00556DA3"/>
    <w:rsid w:val="00556E33"/>
    <w:rsid w:val="0056004D"/>
    <w:rsid w:val="00562235"/>
    <w:rsid w:val="00562D2C"/>
    <w:rsid w:val="00564366"/>
    <w:rsid w:val="00564BA2"/>
    <w:rsid w:val="00571CC8"/>
    <w:rsid w:val="0057551F"/>
    <w:rsid w:val="00575834"/>
    <w:rsid w:val="00584B20"/>
    <w:rsid w:val="0058702C"/>
    <w:rsid w:val="005906A4"/>
    <w:rsid w:val="0059193A"/>
    <w:rsid w:val="005939C1"/>
    <w:rsid w:val="0059470F"/>
    <w:rsid w:val="00594AD6"/>
    <w:rsid w:val="00594F3A"/>
    <w:rsid w:val="005961D1"/>
    <w:rsid w:val="00597A24"/>
    <w:rsid w:val="005A104B"/>
    <w:rsid w:val="005A1833"/>
    <w:rsid w:val="005A27D9"/>
    <w:rsid w:val="005A2A27"/>
    <w:rsid w:val="005A4608"/>
    <w:rsid w:val="005A4823"/>
    <w:rsid w:val="005A4BE8"/>
    <w:rsid w:val="005A5030"/>
    <w:rsid w:val="005A6ECD"/>
    <w:rsid w:val="005A7746"/>
    <w:rsid w:val="005A7F78"/>
    <w:rsid w:val="005B23B8"/>
    <w:rsid w:val="005B33F6"/>
    <w:rsid w:val="005B3C35"/>
    <w:rsid w:val="005B52B2"/>
    <w:rsid w:val="005B5495"/>
    <w:rsid w:val="005B5F78"/>
    <w:rsid w:val="005B6550"/>
    <w:rsid w:val="005B6BFD"/>
    <w:rsid w:val="005B749F"/>
    <w:rsid w:val="005C0DC4"/>
    <w:rsid w:val="005C3E33"/>
    <w:rsid w:val="005C4774"/>
    <w:rsid w:val="005C4D9D"/>
    <w:rsid w:val="005C5285"/>
    <w:rsid w:val="005C59BB"/>
    <w:rsid w:val="005D1249"/>
    <w:rsid w:val="005D4328"/>
    <w:rsid w:val="005D4354"/>
    <w:rsid w:val="005D5BB7"/>
    <w:rsid w:val="005D5F8E"/>
    <w:rsid w:val="005D71EF"/>
    <w:rsid w:val="005E2CDE"/>
    <w:rsid w:val="005E413E"/>
    <w:rsid w:val="005E4E4F"/>
    <w:rsid w:val="005E503B"/>
    <w:rsid w:val="005F1AD0"/>
    <w:rsid w:val="005F22BC"/>
    <w:rsid w:val="005F24F2"/>
    <w:rsid w:val="005F3A7D"/>
    <w:rsid w:val="005F6051"/>
    <w:rsid w:val="00601FDA"/>
    <w:rsid w:val="006050D3"/>
    <w:rsid w:val="006061AF"/>
    <w:rsid w:val="00606E1B"/>
    <w:rsid w:val="00606F16"/>
    <w:rsid w:val="00611263"/>
    <w:rsid w:val="00611ECA"/>
    <w:rsid w:val="006120E3"/>
    <w:rsid w:val="00613E64"/>
    <w:rsid w:val="0061403D"/>
    <w:rsid w:val="00614CBE"/>
    <w:rsid w:val="00615287"/>
    <w:rsid w:val="006176F4"/>
    <w:rsid w:val="00617BB2"/>
    <w:rsid w:val="00621384"/>
    <w:rsid w:val="00622417"/>
    <w:rsid w:val="00622633"/>
    <w:rsid w:val="00623956"/>
    <w:rsid w:val="006240AA"/>
    <w:rsid w:val="006249C1"/>
    <w:rsid w:val="0062647F"/>
    <w:rsid w:val="00626727"/>
    <w:rsid w:val="00626FB3"/>
    <w:rsid w:val="006273D7"/>
    <w:rsid w:val="00632B6F"/>
    <w:rsid w:val="00632CA3"/>
    <w:rsid w:val="0063419D"/>
    <w:rsid w:val="00636823"/>
    <w:rsid w:val="006401CD"/>
    <w:rsid w:val="0064093C"/>
    <w:rsid w:val="00642852"/>
    <w:rsid w:val="0064296F"/>
    <w:rsid w:val="00650369"/>
    <w:rsid w:val="00650CDD"/>
    <w:rsid w:val="00650CE9"/>
    <w:rsid w:val="00651A52"/>
    <w:rsid w:val="00651BCD"/>
    <w:rsid w:val="006540C1"/>
    <w:rsid w:val="006544C5"/>
    <w:rsid w:val="00654CC7"/>
    <w:rsid w:val="00654F78"/>
    <w:rsid w:val="00654FAA"/>
    <w:rsid w:val="00657296"/>
    <w:rsid w:val="006573CF"/>
    <w:rsid w:val="00660886"/>
    <w:rsid w:val="00661D14"/>
    <w:rsid w:val="00661DB1"/>
    <w:rsid w:val="00661FB2"/>
    <w:rsid w:val="00664D79"/>
    <w:rsid w:val="00665CF0"/>
    <w:rsid w:val="006675B7"/>
    <w:rsid w:val="006717F3"/>
    <w:rsid w:val="00672313"/>
    <w:rsid w:val="00673307"/>
    <w:rsid w:val="00673637"/>
    <w:rsid w:val="006751B5"/>
    <w:rsid w:val="00676043"/>
    <w:rsid w:val="00676238"/>
    <w:rsid w:val="006764E3"/>
    <w:rsid w:val="00676527"/>
    <w:rsid w:val="00676FA5"/>
    <w:rsid w:val="0067766B"/>
    <w:rsid w:val="00680376"/>
    <w:rsid w:val="006804CF"/>
    <w:rsid w:val="006806F3"/>
    <w:rsid w:val="00680804"/>
    <w:rsid w:val="0068329B"/>
    <w:rsid w:val="006838B4"/>
    <w:rsid w:val="00685001"/>
    <w:rsid w:val="0068518F"/>
    <w:rsid w:val="00685801"/>
    <w:rsid w:val="0068754C"/>
    <w:rsid w:val="00690D15"/>
    <w:rsid w:val="006923F8"/>
    <w:rsid w:val="00693578"/>
    <w:rsid w:val="00693CB1"/>
    <w:rsid w:val="00694B61"/>
    <w:rsid w:val="00694BDE"/>
    <w:rsid w:val="00695913"/>
    <w:rsid w:val="00695958"/>
    <w:rsid w:val="006A212F"/>
    <w:rsid w:val="006A349A"/>
    <w:rsid w:val="006A37D7"/>
    <w:rsid w:val="006A3A00"/>
    <w:rsid w:val="006A424B"/>
    <w:rsid w:val="006A56D4"/>
    <w:rsid w:val="006A577A"/>
    <w:rsid w:val="006A578C"/>
    <w:rsid w:val="006A5D30"/>
    <w:rsid w:val="006A6B8F"/>
    <w:rsid w:val="006B043E"/>
    <w:rsid w:val="006B17A9"/>
    <w:rsid w:val="006B2762"/>
    <w:rsid w:val="006B4459"/>
    <w:rsid w:val="006B5FA2"/>
    <w:rsid w:val="006B659B"/>
    <w:rsid w:val="006B66CD"/>
    <w:rsid w:val="006B78C8"/>
    <w:rsid w:val="006C08F3"/>
    <w:rsid w:val="006C0BE3"/>
    <w:rsid w:val="006C1B81"/>
    <w:rsid w:val="006C1C09"/>
    <w:rsid w:val="006C2FF5"/>
    <w:rsid w:val="006C6D0C"/>
    <w:rsid w:val="006C6F0A"/>
    <w:rsid w:val="006C7577"/>
    <w:rsid w:val="006D0229"/>
    <w:rsid w:val="006D2C7A"/>
    <w:rsid w:val="006D2EF0"/>
    <w:rsid w:val="006D3738"/>
    <w:rsid w:val="006D3F7B"/>
    <w:rsid w:val="006D48E3"/>
    <w:rsid w:val="006D55D6"/>
    <w:rsid w:val="006D57D6"/>
    <w:rsid w:val="006D6A8D"/>
    <w:rsid w:val="006D7961"/>
    <w:rsid w:val="006E17F3"/>
    <w:rsid w:val="006E244C"/>
    <w:rsid w:val="006E3598"/>
    <w:rsid w:val="006E3F45"/>
    <w:rsid w:val="006E3F9A"/>
    <w:rsid w:val="006E3FE9"/>
    <w:rsid w:val="006E4BC2"/>
    <w:rsid w:val="006E5704"/>
    <w:rsid w:val="006E6195"/>
    <w:rsid w:val="006F234A"/>
    <w:rsid w:val="006F2B47"/>
    <w:rsid w:val="006F36B6"/>
    <w:rsid w:val="006F3B32"/>
    <w:rsid w:val="006F44EE"/>
    <w:rsid w:val="00701A2F"/>
    <w:rsid w:val="00703242"/>
    <w:rsid w:val="0070613E"/>
    <w:rsid w:val="007067F8"/>
    <w:rsid w:val="00711083"/>
    <w:rsid w:val="00712EBE"/>
    <w:rsid w:val="00713DE2"/>
    <w:rsid w:val="00714313"/>
    <w:rsid w:val="00715066"/>
    <w:rsid w:val="0071515C"/>
    <w:rsid w:val="0071649C"/>
    <w:rsid w:val="007165BB"/>
    <w:rsid w:val="00717DAC"/>
    <w:rsid w:val="0072052C"/>
    <w:rsid w:val="00720BC7"/>
    <w:rsid w:val="00721BC3"/>
    <w:rsid w:val="00721F1A"/>
    <w:rsid w:val="00726354"/>
    <w:rsid w:val="00726B78"/>
    <w:rsid w:val="00727A4C"/>
    <w:rsid w:val="00727A9E"/>
    <w:rsid w:val="00731CEC"/>
    <w:rsid w:val="00735B6F"/>
    <w:rsid w:val="00735CAB"/>
    <w:rsid w:val="007419D4"/>
    <w:rsid w:val="00742D4C"/>
    <w:rsid w:val="0074389F"/>
    <w:rsid w:val="00743DC0"/>
    <w:rsid w:val="00743EA9"/>
    <w:rsid w:val="00744492"/>
    <w:rsid w:val="007446DB"/>
    <w:rsid w:val="00745241"/>
    <w:rsid w:val="00745DC6"/>
    <w:rsid w:val="00752A4D"/>
    <w:rsid w:val="00753F23"/>
    <w:rsid w:val="00754761"/>
    <w:rsid w:val="00754C32"/>
    <w:rsid w:val="007562E5"/>
    <w:rsid w:val="007575BF"/>
    <w:rsid w:val="00760061"/>
    <w:rsid w:val="007607C0"/>
    <w:rsid w:val="00761B14"/>
    <w:rsid w:val="00763089"/>
    <w:rsid w:val="0076547E"/>
    <w:rsid w:val="007657B5"/>
    <w:rsid w:val="0076761E"/>
    <w:rsid w:val="00767BF6"/>
    <w:rsid w:val="0077240B"/>
    <w:rsid w:val="00772A1B"/>
    <w:rsid w:val="00773C84"/>
    <w:rsid w:val="0077446C"/>
    <w:rsid w:val="00774592"/>
    <w:rsid w:val="00775B35"/>
    <w:rsid w:val="00775D70"/>
    <w:rsid w:val="00777F5F"/>
    <w:rsid w:val="00782DDC"/>
    <w:rsid w:val="007836A0"/>
    <w:rsid w:val="0078399A"/>
    <w:rsid w:val="00783DF7"/>
    <w:rsid w:val="00783E08"/>
    <w:rsid w:val="007842E7"/>
    <w:rsid w:val="00787055"/>
    <w:rsid w:val="00790DEF"/>
    <w:rsid w:val="007927A2"/>
    <w:rsid w:val="007928F1"/>
    <w:rsid w:val="00793EC8"/>
    <w:rsid w:val="00796154"/>
    <w:rsid w:val="00796BC9"/>
    <w:rsid w:val="007A42BF"/>
    <w:rsid w:val="007B24C2"/>
    <w:rsid w:val="007B258C"/>
    <w:rsid w:val="007B3D1F"/>
    <w:rsid w:val="007B3D49"/>
    <w:rsid w:val="007B68F5"/>
    <w:rsid w:val="007B797B"/>
    <w:rsid w:val="007B7BB1"/>
    <w:rsid w:val="007C002E"/>
    <w:rsid w:val="007C1861"/>
    <w:rsid w:val="007C279A"/>
    <w:rsid w:val="007C3152"/>
    <w:rsid w:val="007C3240"/>
    <w:rsid w:val="007C3B94"/>
    <w:rsid w:val="007C495E"/>
    <w:rsid w:val="007C496A"/>
    <w:rsid w:val="007C4C8C"/>
    <w:rsid w:val="007C54F2"/>
    <w:rsid w:val="007C592C"/>
    <w:rsid w:val="007C5B4F"/>
    <w:rsid w:val="007D15FB"/>
    <w:rsid w:val="007D17F1"/>
    <w:rsid w:val="007D6D63"/>
    <w:rsid w:val="007E0C5C"/>
    <w:rsid w:val="007E1661"/>
    <w:rsid w:val="007E267C"/>
    <w:rsid w:val="007E2D8F"/>
    <w:rsid w:val="007E2E8C"/>
    <w:rsid w:val="007E3364"/>
    <w:rsid w:val="007E3478"/>
    <w:rsid w:val="007E38A5"/>
    <w:rsid w:val="007E38FD"/>
    <w:rsid w:val="007E4DCA"/>
    <w:rsid w:val="007E55EF"/>
    <w:rsid w:val="007E5CF9"/>
    <w:rsid w:val="007E7025"/>
    <w:rsid w:val="007F1A4C"/>
    <w:rsid w:val="007F2E34"/>
    <w:rsid w:val="007F458F"/>
    <w:rsid w:val="007F4DB3"/>
    <w:rsid w:val="008009D5"/>
    <w:rsid w:val="00803F7B"/>
    <w:rsid w:val="008059A1"/>
    <w:rsid w:val="0081013A"/>
    <w:rsid w:val="00810892"/>
    <w:rsid w:val="00810F9C"/>
    <w:rsid w:val="00812FD9"/>
    <w:rsid w:val="00815AAC"/>
    <w:rsid w:val="00815B64"/>
    <w:rsid w:val="00815F5A"/>
    <w:rsid w:val="008166AB"/>
    <w:rsid w:val="00817061"/>
    <w:rsid w:val="008220D8"/>
    <w:rsid w:val="0082255A"/>
    <w:rsid w:val="00823D2C"/>
    <w:rsid w:val="00824953"/>
    <w:rsid w:val="00824DA7"/>
    <w:rsid w:val="00825989"/>
    <w:rsid w:val="00826CE5"/>
    <w:rsid w:val="0083075C"/>
    <w:rsid w:val="00830CE4"/>
    <w:rsid w:val="00830ED9"/>
    <w:rsid w:val="008313DE"/>
    <w:rsid w:val="008326F3"/>
    <w:rsid w:val="00832A2B"/>
    <w:rsid w:val="008333AF"/>
    <w:rsid w:val="0083690B"/>
    <w:rsid w:val="008405FD"/>
    <w:rsid w:val="00840AE4"/>
    <w:rsid w:val="00841679"/>
    <w:rsid w:val="00842A67"/>
    <w:rsid w:val="00843AE0"/>
    <w:rsid w:val="00843F99"/>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AD7"/>
    <w:rsid w:val="00855C61"/>
    <w:rsid w:val="008566A9"/>
    <w:rsid w:val="00856FDD"/>
    <w:rsid w:val="00860381"/>
    <w:rsid w:val="00860425"/>
    <w:rsid w:val="008630AE"/>
    <w:rsid w:val="00863B35"/>
    <w:rsid w:val="0086476F"/>
    <w:rsid w:val="0086481D"/>
    <w:rsid w:val="00864CE2"/>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BFF"/>
    <w:rsid w:val="00885303"/>
    <w:rsid w:val="00885705"/>
    <w:rsid w:val="008874A0"/>
    <w:rsid w:val="00890395"/>
    <w:rsid w:val="008930AF"/>
    <w:rsid w:val="008949D1"/>
    <w:rsid w:val="008954E5"/>
    <w:rsid w:val="0089710F"/>
    <w:rsid w:val="00897FC2"/>
    <w:rsid w:val="008A0107"/>
    <w:rsid w:val="008A04A3"/>
    <w:rsid w:val="008A0507"/>
    <w:rsid w:val="008A05A0"/>
    <w:rsid w:val="008A088B"/>
    <w:rsid w:val="008A219B"/>
    <w:rsid w:val="008A25DB"/>
    <w:rsid w:val="008A2C14"/>
    <w:rsid w:val="008A5076"/>
    <w:rsid w:val="008A59D0"/>
    <w:rsid w:val="008A59D8"/>
    <w:rsid w:val="008A5D88"/>
    <w:rsid w:val="008B03C6"/>
    <w:rsid w:val="008B133F"/>
    <w:rsid w:val="008B2460"/>
    <w:rsid w:val="008B2E3F"/>
    <w:rsid w:val="008B3055"/>
    <w:rsid w:val="008B426A"/>
    <w:rsid w:val="008B5B6E"/>
    <w:rsid w:val="008B5CBE"/>
    <w:rsid w:val="008B6246"/>
    <w:rsid w:val="008C06F2"/>
    <w:rsid w:val="008C1CB1"/>
    <w:rsid w:val="008C2209"/>
    <w:rsid w:val="008C2C02"/>
    <w:rsid w:val="008C314D"/>
    <w:rsid w:val="008C3FF5"/>
    <w:rsid w:val="008C4357"/>
    <w:rsid w:val="008C4627"/>
    <w:rsid w:val="008C4A8A"/>
    <w:rsid w:val="008C4BB2"/>
    <w:rsid w:val="008C4E82"/>
    <w:rsid w:val="008C59E4"/>
    <w:rsid w:val="008C6781"/>
    <w:rsid w:val="008D01ED"/>
    <w:rsid w:val="008D0202"/>
    <w:rsid w:val="008D0B6E"/>
    <w:rsid w:val="008D178A"/>
    <w:rsid w:val="008D1BEA"/>
    <w:rsid w:val="008D366B"/>
    <w:rsid w:val="008D3C2E"/>
    <w:rsid w:val="008D3F9A"/>
    <w:rsid w:val="008D40DE"/>
    <w:rsid w:val="008D4631"/>
    <w:rsid w:val="008D6112"/>
    <w:rsid w:val="008D62E6"/>
    <w:rsid w:val="008D62F3"/>
    <w:rsid w:val="008E156C"/>
    <w:rsid w:val="008E45F6"/>
    <w:rsid w:val="008E537A"/>
    <w:rsid w:val="008E53BC"/>
    <w:rsid w:val="008E5C88"/>
    <w:rsid w:val="008E613E"/>
    <w:rsid w:val="008E6470"/>
    <w:rsid w:val="008E795B"/>
    <w:rsid w:val="008E7F52"/>
    <w:rsid w:val="008F058F"/>
    <w:rsid w:val="008F1508"/>
    <w:rsid w:val="008F3C16"/>
    <w:rsid w:val="008F3CB5"/>
    <w:rsid w:val="008F4182"/>
    <w:rsid w:val="008F4371"/>
    <w:rsid w:val="008F6B1E"/>
    <w:rsid w:val="008F6B35"/>
    <w:rsid w:val="008F6DEE"/>
    <w:rsid w:val="0090558E"/>
    <w:rsid w:val="009056F0"/>
    <w:rsid w:val="00906CA0"/>
    <w:rsid w:val="0091194F"/>
    <w:rsid w:val="009149AB"/>
    <w:rsid w:val="0091608C"/>
    <w:rsid w:val="00916404"/>
    <w:rsid w:val="009174F7"/>
    <w:rsid w:val="00917E75"/>
    <w:rsid w:val="00920C9C"/>
    <w:rsid w:val="009217C6"/>
    <w:rsid w:val="0092363B"/>
    <w:rsid w:val="00924482"/>
    <w:rsid w:val="00924E22"/>
    <w:rsid w:val="0092567C"/>
    <w:rsid w:val="00926C5C"/>
    <w:rsid w:val="00930BE7"/>
    <w:rsid w:val="00931EB7"/>
    <w:rsid w:val="00932A63"/>
    <w:rsid w:val="00932BE9"/>
    <w:rsid w:val="00932D32"/>
    <w:rsid w:val="009331D1"/>
    <w:rsid w:val="009332C9"/>
    <w:rsid w:val="0093398A"/>
    <w:rsid w:val="00933A6C"/>
    <w:rsid w:val="00933FC7"/>
    <w:rsid w:val="00934782"/>
    <w:rsid w:val="00936360"/>
    <w:rsid w:val="0093789A"/>
    <w:rsid w:val="00940F53"/>
    <w:rsid w:val="00941616"/>
    <w:rsid w:val="00941845"/>
    <w:rsid w:val="0094204D"/>
    <w:rsid w:val="00942490"/>
    <w:rsid w:val="0094368E"/>
    <w:rsid w:val="0094387B"/>
    <w:rsid w:val="009440CC"/>
    <w:rsid w:val="0094440D"/>
    <w:rsid w:val="009505E4"/>
    <w:rsid w:val="00950A4F"/>
    <w:rsid w:val="00950F5E"/>
    <w:rsid w:val="00951962"/>
    <w:rsid w:val="00951E1D"/>
    <w:rsid w:val="009522BD"/>
    <w:rsid w:val="00954B6A"/>
    <w:rsid w:val="009554C6"/>
    <w:rsid w:val="009557BA"/>
    <w:rsid w:val="00957CE2"/>
    <w:rsid w:val="009616B3"/>
    <w:rsid w:val="0096243F"/>
    <w:rsid w:val="00962E6A"/>
    <w:rsid w:val="00966002"/>
    <w:rsid w:val="0096649D"/>
    <w:rsid w:val="009665E4"/>
    <w:rsid w:val="009752C8"/>
    <w:rsid w:val="00975790"/>
    <w:rsid w:val="0097644B"/>
    <w:rsid w:val="00976AD9"/>
    <w:rsid w:val="009776DD"/>
    <w:rsid w:val="0098187E"/>
    <w:rsid w:val="0098294B"/>
    <w:rsid w:val="00983996"/>
    <w:rsid w:val="009845B7"/>
    <w:rsid w:val="009867C6"/>
    <w:rsid w:val="00986A00"/>
    <w:rsid w:val="00986ADB"/>
    <w:rsid w:val="00986C04"/>
    <w:rsid w:val="0099032D"/>
    <w:rsid w:val="00990732"/>
    <w:rsid w:val="00990954"/>
    <w:rsid w:val="0099573D"/>
    <w:rsid w:val="009A0071"/>
    <w:rsid w:val="009A01B1"/>
    <w:rsid w:val="009A0E20"/>
    <w:rsid w:val="009A1CA6"/>
    <w:rsid w:val="009A22C5"/>
    <w:rsid w:val="009A316B"/>
    <w:rsid w:val="009A6E00"/>
    <w:rsid w:val="009A7102"/>
    <w:rsid w:val="009A7255"/>
    <w:rsid w:val="009A746D"/>
    <w:rsid w:val="009A7471"/>
    <w:rsid w:val="009A7E78"/>
    <w:rsid w:val="009B14FF"/>
    <w:rsid w:val="009B34C5"/>
    <w:rsid w:val="009B6A6E"/>
    <w:rsid w:val="009C12F7"/>
    <w:rsid w:val="009C1590"/>
    <w:rsid w:val="009C1716"/>
    <w:rsid w:val="009C3665"/>
    <w:rsid w:val="009C3D94"/>
    <w:rsid w:val="009C4AEA"/>
    <w:rsid w:val="009C795C"/>
    <w:rsid w:val="009C7C37"/>
    <w:rsid w:val="009D0662"/>
    <w:rsid w:val="009D5270"/>
    <w:rsid w:val="009D67A2"/>
    <w:rsid w:val="009E13D6"/>
    <w:rsid w:val="009E1AE2"/>
    <w:rsid w:val="009E4091"/>
    <w:rsid w:val="009E40BE"/>
    <w:rsid w:val="009E4159"/>
    <w:rsid w:val="009E4904"/>
    <w:rsid w:val="009E5545"/>
    <w:rsid w:val="009E7270"/>
    <w:rsid w:val="009F117A"/>
    <w:rsid w:val="009F3CC5"/>
    <w:rsid w:val="009F4BB4"/>
    <w:rsid w:val="009F7F4B"/>
    <w:rsid w:val="00A00BEE"/>
    <w:rsid w:val="00A01188"/>
    <w:rsid w:val="00A01A71"/>
    <w:rsid w:val="00A02204"/>
    <w:rsid w:val="00A033EC"/>
    <w:rsid w:val="00A04A9A"/>
    <w:rsid w:val="00A05FFA"/>
    <w:rsid w:val="00A0647B"/>
    <w:rsid w:val="00A067A5"/>
    <w:rsid w:val="00A10530"/>
    <w:rsid w:val="00A11069"/>
    <w:rsid w:val="00A127B0"/>
    <w:rsid w:val="00A152CE"/>
    <w:rsid w:val="00A16260"/>
    <w:rsid w:val="00A16D9A"/>
    <w:rsid w:val="00A1715C"/>
    <w:rsid w:val="00A174D6"/>
    <w:rsid w:val="00A220A6"/>
    <w:rsid w:val="00A22296"/>
    <w:rsid w:val="00A22666"/>
    <w:rsid w:val="00A23476"/>
    <w:rsid w:val="00A24F4E"/>
    <w:rsid w:val="00A25C22"/>
    <w:rsid w:val="00A3032A"/>
    <w:rsid w:val="00A31711"/>
    <w:rsid w:val="00A31E00"/>
    <w:rsid w:val="00A35A5F"/>
    <w:rsid w:val="00A41347"/>
    <w:rsid w:val="00A45CCA"/>
    <w:rsid w:val="00A474E3"/>
    <w:rsid w:val="00A5012B"/>
    <w:rsid w:val="00A50EC3"/>
    <w:rsid w:val="00A51A21"/>
    <w:rsid w:val="00A51CBD"/>
    <w:rsid w:val="00A51D11"/>
    <w:rsid w:val="00A51F0A"/>
    <w:rsid w:val="00A534B8"/>
    <w:rsid w:val="00A535BA"/>
    <w:rsid w:val="00A55558"/>
    <w:rsid w:val="00A56723"/>
    <w:rsid w:val="00A56D35"/>
    <w:rsid w:val="00A60BA1"/>
    <w:rsid w:val="00A611EC"/>
    <w:rsid w:val="00A626CD"/>
    <w:rsid w:val="00A627E8"/>
    <w:rsid w:val="00A63673"/>
    <w:rsid w:val="00A63A34"/>
    <w:rsid w:val="00A6444C"/>
    <w:rsid w:val="00A664A7"/>
    <w:rsid w:val="00A66CC2"/>
    <w:rsid w:val="00A66EC5"/>
    <w:rsid w:val="00A724BB"/>
    <w:rsid w:val="00A74828"/>
    <w:rsid w:val="00A771BB"/>
    <w:rsid w:val="00A811D7"/>
    <w:rsid w:val="00A81997"/>
    <w:rsid w:val="00A828F5"/>
    <w:rsid w:val="00A831E6"/>
    <w:rsid w:val="00A83BF6"/>
    <w:rsid w:val="00A83C16"/>
    <w:rsid w:val="00A843C6"/>
    <w:rsid w:val="00A84919"/>
    <w:rsid w:val="00A863DA"/>
    <w:rsid w:val="00A864D0"/>
    <w:rsid w:val="00A87523"/>
    <w:rsid w:val="00A87A42"/>
    <w:rsid w:val="00A87D44"/>
    <w:rsid w:val="00A90EA6"/>
    <w:rsid w:val="00A90F0E"/>
    <w:rsid w:val="00A918C4"/>
    <w:rsid w:val="00A92C8B"/>
    <w:rsid w:val="00A93DA6"/>
    <w:rsid w:val="00A96FBC"/>
    <w:rsid w:val="00A97152"/>
    <w:rsid w:val="00A97806"/>
    <w:rsid w:val="00AA01A9"/>
    <w:rsid w:val="00AA09BC"/>
    <w:rsid w:val="00AA2946"/>
    <w:rsid w:val="00AA4297"/>
    <w:rsid w:val="00AA6A0C"/>
    <w:rsid w:val="00AB2BD1"/>
    <w:rsid w:val="00AB2E98"/>
    <w:rsid w:val="00AB4A50"/>
    <w:rsid w:val="00AB4A8E"/>
    <w:rsid w:val="00AB52EE"/>
    <w:rsid w:val="00AB5CEF"/>
    <w:rsid w:val="00AB7AEA"/>
    <w:rsid w:val="00AB7E76"/>
    <w:rsid w:val="00AC2722"/>
    <w:rsid w:val="00AC33AB"/>
    <w:rsid w:val="00AC58A0"/>
    <w:rsid w:val="00AC62E2"/>
    <w:rsid w:val="00AC6675"/>
    <w:rsid w:val="00AC6CB6"/>
    <w:rsid w:val="00AD04F5"/>
    <w:rsid w:val="00AD07C5"/>
    <w:rsid w:val="00AD0D72"/>
    <w:rsid w:val="00AD21B5"/>
    <w:rsid w:val="00AD3C2B"/>
    <w:rsid w:val="00AD3CAA"/>
    <w:rsid w:val="00AD3E31"/>
    <w:rsid w:val="00AD463F"/>
    <w:rsid w:val="00AD549C"/>
    <w:rsid w:val="00AD74DF"/>
    <w:rsid w:val="00AD7D82"/>
    <w:rsid w:val="00AE2E47"/>
    <w:rsid w:val="00AE300B"/>
    <w:rsid w:val="00AE328A"/>
    <w:rsid w:val="00AE4FAC"/>
    <w:rsid w:val="00AE6050"/>
    <w:rsid w:val="00AF42DB"/>
    <w:rsid w:val="00AF4946"/>
    <w:rsid w:val="00AF5D64"/>
    <w:rsid w:val="00AF5E8C"/>
    <w:rsid w:val="00AF5EE5"/>
    <w:rsid w:val="00AF7BBA"/>
    <w:rsid w:val="00B0062C"/>
    <w:rsid w:val="00B04782"/>
    <w:rsid w:val="00B04C1D"/>
    <w:rsid w:val="00B072F0"/>
    <w:rsid w:val="00B0774C"/>
    <w:rsid w:val="00B07783"/>
    <w:rsid w:val="00B1536A"/>
    <w:rsid w:val="00B16ADD"/>
    <w:rsid w:val="00B16F33"/>
    <w:rsid w:val="00B21C15"/>
    <w:rsid w:val="00B22F03"/>
    <w:rsid w:val="00B23784"/>
    <w:rsid w:val="00B240D8"/>
    <w:rsid w:val="00B243E5"/>
    <w:rsid w:val="00B260EF"/>
    <w:rsid w:val="00B2641B"/>
    <w:rsid w:val="00B27569"/>
    <w:rsid w:val="00B30005"/>
    <w:rsid w:val="00B302CC"/>
    <w:rsid w:val="00B30F6A"/>
    <w:rsid w:val="00B341EF"/>
    <w:rsid w:val="00B3498A"/>
    <w:rsid w:val="00B378DD"/>
    <w:rsid w:val="00B37C22"/>
    <w:rsid w:val="00B409F8"/>
    <w:rsid w:val="00B43861"/>
    <w:rsid w:val="00B43A38"/>
    <w:rsid w:val="00B449BE"/>
    <w:rsid w:val="00B45009"/>
    <w:rsid w:val="00B450F7"/>
    <w:rsid w:val="00B4548B"/>
    <w:rsid w:val="00B454F4"/>
    <w:rsid w:val="00B46143"/>
    <w:rsid w:val="00B50EF6"/>
    <w:rsid w:val="00B51BC0"/>
    <w:rsid w:val="00B52C8F"/>
    <w:rsid w:val="00B530B1"/>
    <w:rsid w:val="00B54148"/>
    <w:rsid w:val="00B55217"/>
    <w:rsid w:val="00B558B7"/>
    <w:rsid w:val="00B55EF0"/>
    <w:rsid w:val="00B56064"/>
    <w:rsid w:val="00B56871"/>
    <w:rsid w:val="00B5760C"/>
    <w:rsid w:val="00B60095"/>
    <w:rsid w:val="00B608B2"/>
    <w:rsid w:val="00B64615"/>
    <w:rsid w:val="00B6772B"/>
    <w:rsid w:val="00B67B0C"/>
    <w:rsid w:val="00B701F9"/>
    <w:rsid w:val="00B724B4"/>
    <w:rsid w:val="00B73CE0"/>
    <w:rsid w:val="00B73E29"/>
    <w:rsid w:val="00B75DF3"/>
    <w:rsid w:val="00B77822"/>
    <w:rsid w:val="00B77FDB"/>
    <w:rsid w:val="00B8014D"/>
    <w:rsid w:val="00B83675"/>
    <w:rsid w:val="00B85AFB"/>
    <w:rsid w:val="00B86053"/>
    <w:rsid w:val="00B8697E"/>
    <w:rsid w:val="00B902B4"/>
    <w:rsid w:val="00B90B1F"/>
    <w:rsid w:val="00B940C7"/>
    <w:rsid w:val="00B94E50"/>
    <w:rsid w:val="00B95673"/>
    <w:rsid w:val="00B9699C"/>
    <w:rsid w:val="00BA010D"/>
    <w:rsid w:val="00BA0B16"/>
    <w:rsid w:val="00BA0BF3"/>
    <w:rsid w:val="00BA30EB"/>
    <w:rsid w:val="00BA375F"/>
    <w:rsid w:val="00BA540C"/>
    <w:rsid w:val="00BA5FB5"/>
    <w:rsid w:val="00BB2AE3"/>
    <w:rsid w:val="00BB3CB5"/>
    <w:rsid w:val="00BB4B3C"/>
    <w:rsid w:val="00BB67C3"/>
    <w:rsid w:val="00BB704A"/>
    <w:rsid w:val="00BB71CB"/>
    <w:rsid w:val="00BB76C7"/>
    <w:rsid w:val="00BC1420"/>
    <w:rsid w:val="00BC1D2C"/>
    <w:rsid w:val="00BC2730"/>
    <w:rsid w:val="00BC2870"/>
    <w:rsid w:val="00BC2D99"/>
    <w:rsid w:val="00BC553E"/>
    <w:rsid w:val="00BC5CFD"/>
    <w:rsid w:val="00BC5FF5"/>
    <w:rsid w:val="00BC610C"/>
    <w:rsid w:val="00BD0655"/>
    <w:rsid w:val="00BD0BE1"/>
    <w:rsid w:val="00BD1AC3"/>
    <w:rsid w:val="00BD261E"/>
    <w:rsid w:val="00BD2862"/>
    <w:rsid w:val="00BD32A2"/>
    <w:rsid w:val="00BD34D2"/>
    <w:rsid w:val="00BD3F0D"/>
    <w:rsid w:val="00BD749C"/>
    <w:rsid w:val="00BE0718"/>
    <w:rsid w:val="00BE3DD5"/>
    <w:rsid w:val="00BE4C53"/>
    <w:rsid w:val="00BE5698"/>
    <w:rsid w:val="00BE6273"/>
    <w:rsid w:val="00BF10CA"/>
    <w:rsid w:val="00BF12D4"/>
    <w:rsid w:val="00BF1E6B"/>
    <w:rsid w:val="00BF2250"/>
    <w:rsid w:val="00BF2B41"/>
    <w:rsid w:val="00BF4804"/>
    <w:rsid w:val="00BF5982"/>
    <w:rsid w:val="00C01389"/>
    <w:rsid w:val="00C025B5"/>
    <w:rsid w:val="00C02F4B"/>
    <w:rsid w:val="00C0394E"/>
    <w:rsid w:val="00C062FE"/>
    <w:rsid w:val="00C0792F"/>
    <w:rsid w:val="00C10A35"/>
    <w:rsid w:val="00C143E8"/>
    <w:rsid w:val="00C15482"/>
    <w:rsid w:val="00C1548F"/>
    <w:rsid w:val="00C15566"/>
    <w:rsid w:val="00C16FD5"/>
    <w:rsid w:val="00C172AA"/>
    <w:rsid w:val="00C17851"/>
    <w:rsid w:val="00C2080E"/>
    <w:rsid w:val="00C20D9A"/>
    <w:rsid w:val="00C21703"/>
    <w:rsid w:val="00C231CF"/>
    <w:rsid w:val="00C23490"/>
    <w:rsid w:val="00C23952"/>
    <w:rsid w:val="00C25406"/>
    <w:rsid w:val="00C25CFD"/>
    <w:rsid w:val="00C27839"/>
    <w:rsid w:val="00C27F7F"/>
    <w:rsid w:val="00C30F5A"/>
    <w:rsid w:val="00C32D8C"/>
    <w:rsid w:val="00C33121"/>
    <w:rsid w:val="00C334AF"/>
    <w:rsid w:val="00C34442"/>
    <w:rsid w:val="00C34F76"/>
    <w:rsid w:val="00C35AA7"/>
    <w:rsid w:val="00C36103"/>
    <w:rsid w:val="00C433BE"/>
    <w:rsid w:val="00C44ADE"/>
    <w:rsid w:val="00C455D1"/>
    <w:rsid w:val="00C46B07"/>
    <w:rsid w:val="00C46DF8"/>
    <w:rsid w:val="00C47E0A"/>
    <w:rsid w:val="00C501FD"/>
    <w:rsid w:val="00C50E18"/>
    <w:rsid w:val="00C51ECF"/>
    <w:rsid w:val="00C538AD"/>
    <w:rsid w:val="00C55113"/>
    <w:rsid w:val="00C56E33"/>
    <w:rsid w:val="00C57F06"/>
    <w:rsid w:val="00C604D6"/>
    <w:rsid w:val="00C60970"/>
    <w:rsid w:val="00C61C8E"/>
    <w:rsid w:val="00C625B8"/>
    <w:rsid w:val="00C62CF9"/>
    <w:rsid w:val="00C63507"/>
    <w:rsid w:val="00C63B79"/>
    <w:rsid w:val="00C67C98"/>
    <w:rsid w:val="00C72559"/>
    <w:rsid w:val="00C72FD2"/>
    <w:rsid w:val="00C73013"/>
    <w:rsid w:val="00C7312D"/>
    <w:rsid w:val="00C7314D"/>
    <w:rsid w:val="00C73AD1"/>
    <w:rsid w:val="00C74A70"/>
    <w:rsid w:val="00C75F2B"/>
    <w:rsid w:val="00C76E00"/>
    <w:rsid w:val="00C80230"/>
    <w:rsid w:val="00C829A3"/>
    <w:rsid w:val="00C84FAA"/>
    <w:rsid w:val="00C850D6"/>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3E31"/>
    <w:rsid w:val="00CA62C6"/>
    <w:rsid w:val="00CA6EDB"/>
    <w:rsid w:val="00CA775B"/>
    <w:rsid w:val="00CA7B3A"/>
    <w:rsid w:val="00CB08C2"/>
    <w:rsid w:val="00CB1113"/>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742E"/>
    <w:rsid w:val="00CE08A1"/>
    <w:rsid w:val="00CE0BB3"/>
    <w:rsid w:val="00CE11CB"/>
    <w:rsid w:val="00CE12CB"/>
    <w:rsid w:val="00CE1920"/>
    <w:rsid w:val="00CE2484"/>
    <w:rsid w:val="00CE2B89"/>
    <w:rsid w:val="00CE3458"/>
    <w:rsid w:val="00CE3ABA"/>
    <w:rsid w:val="00CE5E0D"/>
    <w:rsid w:val="00CE605B"/>
    <w:rsid w:val="00CE6091"/>
    <w:rsid w:val="00CF0018"/>
    <w:rsid w:val="00CF04C1"/>
    <w:rsid w:val="00CF0B7A"/>
    <w:rsid w:val="00CF17B5"/>
    <w:rsid w:val="00CF22C2"/>
    <w:rsid w:val="00CF2FE7"/>
    <w:rsid w:val="00CF3A16"/>
    <w:rsid w:val="00CF5886"/>
    <w:rsid w:val="00CF7A56"/>
    <w:rsid w:val="00D0052F"/>
    <w:rsid w:val="00D02AAC"/>
    <w:rsid w:val="00D0347D"/>
    <w:rsid w:val="00D04AD6"/>
    <w:rsid w:val="00D04D8C"/>
    <w:rsid w:val="00D05AB0"/>
    <w:rsid w:val="00D05F4E"/>
    <w:rsid w:val="00D06F4D"/>
    <w:rsid w:val="00D077AA"/>
    <w:rsid w:val="00D10BF0"/>
    <w:rsid w:val="00D124DB"/>
    <w:rsid w:val="00D12855"/>
    <w:rsid w:val="00D13C62"/>
    <w:rsid w:val="00D151BC"/>
    <w:rsid w:val="00D155E0"/>
    <w:rsid w:val="00D16843"/>
    <w:rsid w:val="00D20188"/>
    <w:rsid w:val="00D229A4"/>
    <w:rsid w:val="00D231DE"/>
    <w:rsid w:val="00D2392B"/>
    <w:rsid w:val="00D258F2"/>
    <w:rsid w:val="00D25A42"/>
    <w:rsid w:val="00D25A5A"/>
    <w:rsid w:val="00D30F93"/>
    <w:rsid w:val="00D314C6"/>
    <w:rsid w:val="00D32543"/>
    <w:rsid w:val="00D32AB1"/>
    <w:rsid w:val="00D32D28"/>
    <w:rsid w:val="00D331C0"/>
    <w:rsid w:val="00D33E8E"/>
    <w:rsid w:val="00D33F31"/>
    <w:rsid w:val="00D36547"/>
    <w:rsid w:val="00D37C1A"/>
    <w:rsid w:val="00D41108"/>
    <w:rsid w:val="00D41850"/>
    <w:rsid w:val="00D41CE7"/>
    <w:rsid w:val="00D43B00"/>
    <w:rsid w:val="00D46064"/>
    <w:rsid w:val="00D46E31"/>
    <w:rsid w:val="00D51861"/>
    <w:rsid w:val="00D52168"/>
    <w:rsid w:val="00D52AEF"/>
    <w:rsid w:val="00D534A1"/>
    <w:rsid w:val="00D534EC"/>
    <w:rsid w:val="00D53E09"/>
    <w:rsid w:val="00D54E4B"/>
    <w:rsid w:val="00D561B5"/>
    <w:rsid w:val="00D56371"/>
    <w:rsid w:val="00D60169"/>
    <w:rsid w:val="00D65705"/>
    <w:rsid w:val="00D65BE7"/>
    <w:rsid w:val="00D66BEC"/>
    <w:rsid w:val="00D709DA"/>
    <w:rsid w:val="00D70EAB"/>
    <w:rsid w:val="00D71B4F"/>
    <w:rsid w:val="00D72F05"/>
    <w:rsid w:val="00D72F6F"/>
    <w:rsid w:val="00D732AB"/>
    <w:rsid w:val="00D7381C"/>
    <w:rsid w:val="00D7386F"/>
    <w:rsid w:val="00D738EF"/>
    <w:rsid w:val="00D73D88"/>
    <w:rsid w:val="00D7425E"/>
    <w:rsid w:val="00D75C22"/>
    <w:rsid w:val="00D76359"/>
    <w:rsid w:val="00D76AB2"/>
    <w:rsid w:val="00D8072C"/>
    <w:rsid w:val="00D808AA"/>
    <w:rsid w:val="00D848D9"/>
    <w:rsid w:val="00D855E3"/>
    <w:rsid w:val="00D87486"/>
    <w:rsid w:val="00D876CD"/>
    <w:rsid w:val="00D87760"/>
    <w:rsid w:val="00D87A31"/>
    <w:rsid w:val="00D900E2"/>
    <w:rsid w:val="00D90C0A"/>
    <w:rsid w:val="00D92C5B"/>
    <w:rsid w:val="00D934D8"/>
    <w:rsid w:val="00D94FE9"/>
    <w:rsid w:val="00D956CC"/>
    <w:rsid w:val="00D95ABB"/>
    <w:rsid w:val="00D973DD"/>
    <w:rsid w:val="00DA1A65"/>
    <w:rsid w:val="00DA2863"/>
    <w:rsid w:val="00DA29F9"/>
    <w:rsid w:val="00DA3686"/>
    <w:rsid w:val="00DA49D1"/>
    <w:rsid w:val="00DA5937"/>
    <w:rsid w:val="00DA7282"/>
    <w:rsid w:val="00DB1556"/>
    <w:rsid w:val="00DB2F8A"/>
    <w:rsid w:val="00DB400D"/>
    <w:rsid w:val="00DB7853"/>
    <w:rsid w:val="00DC4D06"/>
    <w:rsid w:val="00DC504D"/>
    <w:rsid w:val="00DC511C"/>
    <w:rsid w:val="00DC5EB1"/>
    <w:rsid w:val="00DC6D6C"/>
    <w:rsid w:val="00DC74D4"/>
    <w:rsid w:val="00DC74D7"/>
    <w:rsid w:val="00DD2C04"/>
    <w:rsid w:val="00DD3145"/>
    <w:rsid w:val="00DD3687"/>
    <w:rsid w:val="00DD4736"/>
    <w:rsid w:val="00DD49ED"/>
    <w:rsid w:val="00DD4C39"/>
    <w:rsid w:val="00DD4D61"/>
    <w:rsid w:val="00DD523F"/>
    <w:rsid w:val="00DD6137"/>
    <w:rsid w:val="00DD77FD"/>
    <w:rsid w:val="00DE31BA"/>
    <w:rsid w:val="00DE4488"/>
    <w:rsid w:val="00DE4828"/>
    <w:rsid w:val="00DE6F68"/>
    <w:rsid w:val="00DF0DBB"/>
    <w:rsid w:val="00DF1149"/>
    <w:rsid w:val="00DF2335"/>
    <w:rsid w:val="00DF382A"/>
    <w:rsid w:val="00DF3C2B"/>
    <w:rsid w:val="00DF3F8A"/>
    <w:rsid w:val="00DF613C"/>
    <w:rsid w:val="00DF6AC4"/>
    <w:rsid w:val="00DF6D51"/>
    <w:rsid w:val="00E00DC8"/>
    <w:rsid w:val="00E0233B"/>
    <w:rsid w:val="00E02A80"/>
    <w:rsid w:val="00E02E99"/>
    <w:rsid w:val="00E02F01"/>
    <w:rsid w:val="00E04FD0"/>
    <w:rsid w:val="00E05882"/>
    <w:rsid w:val="00E072A0"/>
    <w:rsid w:val="00E072D7"/>
    <w:rsid w:val="00E0742C"/>
    <w:rsid w:val="00E07D9F"/>
    <w:rsid w:val="00E11587"/>
    <w:rsid w:val="00E11FAB"/>
    <w:rsid w:val="00E11FE1"/>
    <w:rsid w:val="00E137D4"/>
    <w:rsid w:val="00E14D1B"/>
    <w:rsid w:val="00E155E7"/>
    <w:rsid w:val="00E2044A"/>
    <w:rsid w:val="00E21C51"/>
    <w:rsid w:val="00E22291"/>
    <w:rsid w:val="00E22AF2"/>
    <w:rsid w:val="00E2389B"/>
    <w:rsid w:val="00E24120"/>
    <w:rsid w:val="00E260F3"/>
    <w:rsid w:val="00E26BBA"/>
    <w:rsid w:val="00E26FEA"/>
    <w:rsid w:val="00E27989"/>
    <w:rsid w:val="00E31194"/>
    <w:rsid w:val="00E32095"/>
    <w:rsid w:val="00E32236"/>
    <w:rsid w:val="00E3235E"/>
    <w:rsid w:val="00E3471E"/>
    <w:rsid w:val="00E35C84"/>
    <w:rsid w:val="00E40C10"/>
    <w:rsid w:val="00E41168"/>
    <w:rsid w:val="00E4511C"/>
    <w:rsid w:val="00E45E8C"/>
    <w:rsid w:val="00E46D09"/>
    <w:rsid w:val="00E46EF5"/>
    <w:rsid w:val="00E47868"/>
    <w:rsid w:val="00E50560"/>
    <w:rsid w:val="00E514A7"/>
    <w:rsid w:val="00E522FC"/>
    <w:rsid w:val="00E53138"/>
    <w:rsid w:val="00E54B7F"/>
    <w:rsid w:val="00E55B23"/>
    <w:rsid w:val="00E55BAB"/>
    <w:rsid w:val="00E60F36"/>
    <w:rsid w:val="00E636F8"/>
    <w:rsid w:val="00E64245"/>
    <w:rsid w:val="00E642C3"/>
    <w:rsid w:val="00E64629"/>
    <w:rsid w:val="00E6758C"/>
    <w:rsid w:val="00E67DBE"/>
    <w:rsid w:val="00E71728"/>
    <w:rsid w:val="00E723F9"/>
    <w:rsid w:val="00E755BD"/>
    <w:rsid w:val="00E75AA9"/>
    <w:rsid w:val="00E80438"/>
    <w:rsid w:val="00E806E4"/>
    <w:rsid w:val="00E80F9E"/>
    <w:rsid w:val="00E810D9"/>
    <w:rsid w:val="00E81B7E"/>
    <w:rsid w:val="00E829D8"/>
    <w:rsid w:val="00E8328B"/>
    <w:rsid w:val="00E91AE7"/>
    <w:rsid w:val="00E91ED4"/>
    <w:rsid w:val="00E95C2A"/>
    <w:rsid w:val="00E96EB5"/>
    <w:rsid w:val="00E97F8F"/>
    <w:rsid w:val="00EA5ADE"/>
    <w:rsid w:val="00EA6F62"/>
    <w:rsid w:val="00EA6FA2"/>
    <w:rsid w:val="00EA7649"/>
    <w:rsid w:val="00EB1355"/>
    <w:rsid w:val="00EB1BBD"/>
    <w:rsid w:val="00EB2076"/>
    <w:rsid w:val="00EB2CDD"/>
    <w:rsid w:val="00EB4907"/>
    <w:rsid w:val="00EB5390"/>
    <w:rsid w:val="00EB5852"/>
    <w:rsid w:val="00EC0038"/>
    <w:rsid w:val="00EC129F"/>
    <w:rsid w:val="00EC1371"/>
    <w:rsid w:val="00EC2097"/>
    <w:rsid w:val="00EC2987"/>
    <w:rsid w:val="00EC3B4E"/>
    <w:rsid w:val="00EC3CB0"/>
    <w:rsid w:val="00EC4378"/>
    <w:rsid w:val="00EC51C3"/>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5093"/>
    <w:rsid w:val="00EF554C"/>
    <w:rsid w:val="00F04673"/>
    <w:rsid w:val="00F04B13"/>
    <w:rsid w:val="00F0591C"/>
    <w:rsid w:val="00F05CF2"/>
    <w:rsid w:val="00F06256"/>
    <w:rsid w:val="00F06B03"/>
    <w:rsid w:val="00F079FD"/>
    <w:rsid w:val="00F12FE5"/>
    <w:rsid w:val="00F13880"/>
    <w:rsid w:val="00F14AFC"/>
    <w:rsid w:val="00F162AC"/>
    <w:rsid w:val="00F16CED"/>
    <w:rsid w:val="00F21394"/>
    <w:rsid w:val="00F21964"/>
    <w:rsid w:val="00F22D83"/>
    <w:rsid w:val="00F26571"/>
    <w:rsid w:val="00F2777A"/>
    <w:rsid w:val="00F30EB8"/>
    <w:rsid w:val="00F315B8"/>
    <w:rsid w:val="00F31FD8"/>
    <w:rsid w:val="00F32740"/>
    <w:rsid w:val="00F32843"/>
    <w:rsid w:val="00F32E9A"/>
    <w:rsid w:val="00F34897"/>
    <w:rsid w:val="00F35B14"/>
    <w:rsid w:val="00F36194"/>
    <w:rsid w:val="00F36F82"/>
    <w:rsid w:val="00F37072"/>
    <w:rsid w:val="00F37E6C"/>
    <w:rsid w:val="00F406F8"/>
    <w:rsid w:val="00F417B2"/>
    <w:rsid w:val="00F43B1F"/>
    <w:rsid w:val="00F4551F"/>
    <w:rsid w:val="00F45CA1"/>
    <w:rsid w:val="00F45F8E"/>
    <w:rsid w:val="00F46C77"/>
    <w:rsid w:val="00F46E46"/>
    <w:rsid w:val="00F47E8D"/>
    <w:rsid w:val="00F51573"/>
    <w:rsid w:val="00F528B6"/>
    <w:rsid w:val="00F535C3"/>
    <w:rsid w:val="00F53B3A"/>
    <w:rsid w:val="00F554AD"/>
    <w:rsid w:val="00F55FE6"/>
    <w:rsid w:val="00F5697B"/>
    <w:rsid w:val="00F56C87"/>
    <w:rsid w:val="00F572B9"/>
    <w:rsid w:val="00F60B08"/>
    <w:rsid w:val="00F65141"/>
    <w:rsid w:val="00F6655C"/>
    <w:rsid w:val="00F702EE"/>
    <w:rsid w:val="00F70322"/>
    <w:rsid w:val="00F731F2"/>
    <w:rsid w:val="00F733D9"/>
    <w:rsid w:val="00F7393C"/>
    <w:rsid w:val="00F73C30"/>
    <w:rsid w:val="00F73CFA"/>
    <w:rsid w:val="00F7462F"/>
    <w:rsid w:val="00F76137"/>
    <w:rsid w:val="00F77364"/>
    <w:rsid w:val="00F80CFB"/>
    <w:rsid w:val="00F8104E"/>
    <w:rsid w:val="00F820DE"/>
    <w:rsid w:val="00F83271"/>
    <w:rsid w:val="00F90078"/>
    <w:rsid w:val="00F9224B"/>
    <w:rsid w:val="00F924A1"/>
    <w:rsid w:val="00F94B92"/>
    <w:rsid w:val="00F96324"/>
    <w:rsid w:val="00FA0451"/>
    <w:rsid w:val="00FA09AF"/>
    <w:rsid w:val="00FA1139"/>
    <w:rsid w:val="00FA2648"/>
    <w:rsid w:val="00FA2CDF"/>
    <w:rsid w:val="00FA5A3C"/>
    <w:rsid w:val="00FA6B54"/>
    <w:rsid w:val="00FA7321"/>
    <w:rsid w:val="00FA7BAE"/>
    <w:rsid w:val="00FA7F89"/>
    <w:rsid w:val="00FA7FB2"/>
    <w:rsid w:val="00FB40E9"/>
    <w:rsid w:val="00FB49FD"/>
    <w:rsid w:val="00FB4B87"/>
    <w:rsid w:val="00FB5DF1"/>
    <w:rsid w:val="00FB69FC"/>
    <w:rsid w:val="00FB6B89"/>
    <w:rsid w:val="00FC03CD"/>
    <w:rsid w:val="00FC12EF"/>
    <w:rsid w:val="00FC184D"/>
    <w:rsid w:val="00FC2917"/>
    <w:rsid w:val="00FC37CD"/>
    <w:rsid w:val="00FC3DE5"/>
    <w:rsid w:val="00FC4023"/>
    <w:rsid w:val="00FC5F73"/>
    <w:rsid w:val="00FD1AB6"/>
    <w:rsid w:val="00FD1E36"/>
    <w:rsid w:val="00FD3A44"/>
    <w:rsid w:val="00FD5E4B"/>
    <w:rsid w:val="00FD671C"/>
    <w:rsid w:val="00FD6E0B"/>
    <w:rsid w:val="00FD7EA0"/>
    <w:rsid w:val="00FE0324"/>
    <w:rsid w:val="00FE0C64"/>
    <w:rsid w:val="00FE0FED"/>
    <w:rsid w:val="00FE2C42"/>
    <w:rsid w:val="00FE6595"/>
    <w:rsid w:val="00FE668B"/>
    <w:rsid w:val="06682083"/>
    <w:rsid w:val="07021E1F"/>
    <w:rsid w:val="0CE140F5"/>
    <w:rsid w:val="0E0E4AD3"/>
    <w:rsid w:val="0ECC12D1"/>
    <w:rsid w:val="0F804C2E"/>
    <w:rsid w:val="115E4EC4"/>
    <w:rsid w:val="147E05D2"/>
    <w:rsid w:val="16A843D2"/>
    <w:rsid w:val="1D114A13"/>
    <w:rsid w:val="2A4A107E"/>
    <w:rsid w:val="315849EE"/>
    <w:rsid w:val="31C159D8"/>
    <w:rsid w:val="322A3312"/>
    <w:rsid w:val="337F091C"/>
    <w:rsid w:val="34EB7B5B"/>
    <w:rsid w:val="35A13364"/>
    <w:rsid w:val="363A7CA3"/>
    <w:rsid w:val="391879E6"/>
    <w:rsid w:val="398F6170"/>
    <w:rsid w:val="3A156DE9"/>
    <w:rsid w:val="3EA64283"/>
    <w:rsid w:val="47751A3E"/>
    <w:rsid w:val="4A970C5A"/>
    <w:rsid w:val="4B3815C7"/>
    <w:rsid w:val="4BC85C4A"/>
    <w:rsid w:val="510872ED"/>
    <w:rsid w:val="552D4611"/>
    <w:rsid w:val="640E7909"/>
    <w:rsid w:val="679B218A"/>
    <w:rsid w:val="6A5C6D21"/>
    <w:rsid w:val="6B80514F"/>
    <w:rsid w:val="6BED23D0"/>
    <w:rsid w:val="6C5442B8"/>
    <w:rsid w:val="6DDF3BDE"/>
    <w:rsid w:val="748E34D3"/>
    <w:rsid w:val="7A0D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line="360" w:lineRule="auto"/>
      <w:outlineLvl w:val="0"/>
    </w:pPr>
    <w:rPr>
      <w:b/>
      <w:bCs/>
      <w:kern w:val="44"/>
      <w:sz w:val="32"/>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9"/>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70"/>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2"/>
    <w:qFormat/>
    <w:uiPriority w:val="0"/>
    <w:pPr>
      <w:tabs>
        <w:tab w:val="left" w:pos="1800"/>
        <w:tab w:val="clear" w:pos="1440"/>
      </w:tabs>
      <w:ind w:left="1276" w:hanging="1276"/>
      <w:outlineLvl w:val="6"/>
    </w:pPr>
  </w:style>
  <w:style w:type="paragraph" w:styleId="9">
    <w:name w:val="heading 8"/>
    <w:basedOn w:val="1"/>
    <w:next w:val="1"/>
    <w:link w:val="73"/>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4"/>
    <w:qFormat/>
    <w:uiPriority w:val="0"/>
    <w:pPr>
      <w:keepNext/>
      <w:keepLines/>
      <w:spacing w:before="240" w:after="64" w:line="320" w:lineRule="auto"/>
      <w:outlineLvl w:val="8"/>
    </w:pPr>
    <w:rPr>
      <w:rFonts w:ascii="Cambria" w:hAnsi="Cambria"/>
      <w:szCs w:val="21"/>
    </w:rPr>
  </w:style>
  <w:style w:type="character" w:default="1" w:styleId="57">
    <w:name w:val="Default Paragraph Font"/>
    <w:uiPriority w:val="0"/>
  </w:style>
  <w:style w:type="table" w:default="1" w:styleId="55">
    <w:name w:val="Normal Table"/>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5"/>
    <w:qFormat/>
    <w:uiPriority w:val="0"/>
    <w:pPr>
      <w:shd w:val="clear" w:color="auto" w:fill="000080"/>
    </w:pPr>
    <w:rPr>
      <w:rFonts w:ascii="Calibri" w:hAnsi="Calibri"/>
      <w:bCs/>
      <w:szCs w:val="32"/>
    </w:rPr>
  </w:style>
  <w:style w:type="paragraph" w:styleId="16">
    <w:name w:val="annotation text"/>
    <w:basedOn w:val="1"/>
    <w:link w:val="76"/>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7"/>
    <w:qFormat/>
    <w:uiPriority w:val="0"/>
    <w:rPr>
      <w:rFonts w:ascii="仿宋_GB2312" w:eastAsia="仿宋_GB2312"/>
      <w:sz w:val="28"/>
      <w:szCs w:val="20"/>
    </w:rPr>
  </w:style>
  <w:style w:type="paragraph" w:styleId="18">
    <w:name w:val="Body Text 3"/>
    <w:basedOn w:val="1"/>
    <w:link w:val="78"/>
    <w:qFormat/>
    <w:uiPriority w:val="0"/>
    <w:pPr>
      <w:adjustRightInd w:val="0"/>
      <w:snapToGrid w:val="0"/>
    </w:pPr>
    <w:rPr>
      <w:rFonts w:ascii="仿宋_GB2312" w:hAnsi="宋体" w:eastAsia="仿宋_GB2312"/>
      <w:bCs/>
      <w:color w:val="000000"/>
      <w:sz w:val="24"/>
      <w:szCs w:val="32"/>
    </w:rPr>
  </w:style>
  <w:style w:type="paragraph" w:styleId="19">
    <w:name w:val="Body Text"/>
    <w:basedOn w:val="1"/>
    <w:next w:val="20"/>
    <w:link w:val="79"/>
    <w:qFormat/>
    <w:uiPriority w:val="0"/>
    <w:pPr>
      <w:spacing w:after="120"/>
    </w:pPr>
  </w:style>
  <w:style w:type="paragraph" w:styleId="20">
    <w:name w:val="Date"/>
    <w:basedOn w:val="1"/>
    <w:next w:val="1"/>
    <w:link w:val="80"/>
    <w:unhideWhenUsed/>
    <w:qFormat/>
    <w:uiPriority w:val="0"/>
    <w:pPr>
      <w:ind w:left="100" w:leftChars="2500"/>
    </w:pPr>
  </w:style>
  <w:style w:type="paragraph" w:styleId="21">
    <w:name w:val="Body Text Indent"/>
    <w:basedOn w:val="1"/>
    <w:next w:val="22"/>
    <w:link w:val="81"/>
    <w:qFormat/>
    <w:uiPriority w:val="0"/>
    <w:pPr>
      <w:ind w:firstLine="560" w:firstLineChars="200"/>
    </w:pPr>
    <w:rPr>
      <w:rFonts w:ascii="宋体" w:hAnsi="宋体"/>
      <w:bCs/>
      <w:sz w:val="28"/>
      <w:szCs w:val="32"/>
    </w:r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rPr>
      <w:rFonts w:ascii="Calibri" w:hAnsi="Calibri"/>
      <w:szCs w:val="22"/>
    </w:rPr>
  </w:style>
  <w:style w:type="paragraph" w:styleId="24">
    <w:name w:val="List Continue"/>
    <w:basedOn w:val="1"/>
    <w:qFormat/>
    <w:uiPriority w:val="0"/>
    <w:pPr>
      <w:spacing w:after="120"/>
      <w:ind w:left="420" w:leftChars="200"/>
    </w:pPr>
    <w:rPr>
      <w:rFonts w:ascii="Calibri" w:hAnsi="Calibri"/>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6">
    <w:name w:val="index 4"/>
    <w:basedOn w:val="1"/>
    <w:next w:val="1"/>
    <w:qFormat/>
    <w:uiPriority w:val="0"/>
    <w:pPr>
      <w:ind w:left="600" w:leftChars="600"/>
    </w:pPr>
  </w:style>
  <w:style w:type="paragraph" w:styleId="27">
    <w:name w:val="toc 5"/>
    <w:basedOn w:val="1"/>
    <w:next w:val="1"/>
    <w:unhideWhenUsed/>
    <w:qFormat/>
    <w:uiPriority w:val="39"/>
    <w:pPr>
      <w:ind w:left="840"/>
      <w:jc w:val="left"/>
    </w:pPr>
    <w:rPr>
      <w:rFonts w:ascii="Calibri" w:hAnsi="Calibri" w:cs="Calibri"/>
      <w:sz w:val="18"/>
      <w:szCs w:val="18"/>
    </w:rPr>
  </w:style>
  <w:style w:type="paragraph" w:styleId="28">
    <w:name w:val="toc 3"/>
    <w:basedOn w:val="1"/>
    <w:next w:val="1"/>
    <w:qFormat/>
    <w:uiPriority w:val="39"/>
    <w:pPr>
      <w:ind w:left="420"/>
      <w:jc w:val="left"/>
    </w:pPr>
    <w:rPr>
      <w:rFonts w:ascii="Calibri" w:hAnsi="Calibri" w:cs="Calibri"/>
      <w:i/>
      <w:iCs/>
      <w:sz w:val="20"/>
      <w:szCs w:val="20"/>
    </w:rPr>
  </w:style>
  <w:style w:type="paragraph" w:styleId="29">
    <w:name w:val="Plain Text"/>
    <w:basedOn w:val="1"/>
    <w:link w:val="82"/>
    <w:qFormat/>
    <w:uiPriority w:val="0"/>
    <w:rPr>
      <w:rFonts w:ascii="Courier New" w:hAnsi="Courier New"/>
      <w:szCs w:val="20"/>
    </w:rPr>
  </w:style>
  <w:style w:type="paragraph" w:styleId="30">
    <w:name w:val="toc 8"/>
    <w:basedOn w:val="1"/>
    <w:next w:val="1"/>
    <w:unhideWhenUsed/>
    <w:qFormat/>
    <w:uiPriority w:val="39"/>
    <w:pPr>
      <w:ind w:left="1470"/>
      <w:jc w:val="left"/>
    </w:pPr>
    <w:rPr>
      <w:rFonts w:ascii="Calibri" w:hAnsi="Calibri" w:cs="Calibri"/>
      <w:sz w:val="18"/>
      <w:szCs w:val="18"/>
    </w:rPr>
  </w:style>
  <w:style w:type="paragraph" w:styleId="31">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4"/>
    <w:qFormat/>
    <w:uiPriority w:val="0"/>
    <w:rPr>
      <w:sz w:val="18"/>
      <w:szCs w:val="20"/>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8"/>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9"/>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lang w:val="en-US" w:eastAsia="zh-CN"/>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90"/>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1"/>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2"/>
    <w:qFormat/>
    <w:uiPriority w:val="0"/>
    <w:pPr>
      <w:adjustRightInd/>
      <w:spacing w:line="240" w:lineRule="auto"/>
      <w:textAlignment w:val="auto"/>
    </w:pPr>
    <w:rPr>
      <w:b/>
      <w:bCs/>
      <w:kern w:val="2"/>
      <w:sz w:val="21"/>
      <w:szCs w:val="24"/>
    </w:rPr>
  </w:style>
  <w:style w:type="paragraph" w:styleId="53">
    <w:name w:val="Body Text First Indent"/>
    <w:basedOn w:val="19"/>
    <w:qFormat/>
    <w:uiPriority w:val="0"/>
    <w:pPr>
      <w:tabs>
        <w:tab w:val="left" w:pos="397"/>
      </w:tabs>
      <w:adjustRightInd w:val="0"/>
      <w:snapToGrid w:val="0"/>
      <w:spacing w:line="440" w:lineRule="atLeast"/>
      <w:ind w:firstLine="200" w:firstLineChars="200"/>
      <w:textAlignment w:val="baseline"/>
    </w:pPr>
    <w:rPr>
      <w:rFonts w:eastAsia="仿宋_GB2312"/>
      <w:kern w:val="0"/>
      <w:sz w:val="28"/>
      <w:szCs w:val="20"/>
    </w:rPr>
  </w:style>
  <w:style w:type="paragraph" w:styleId="54">
    <w:name w:val="Body Text First Indent 2"/>
    <w:basedOn w:val="21"/>
    <w:next w:val="41"/>
    <w:qFormat/>
    <w:uiPriority w:val="0"/>
    <w:pPr>
      <w:ind w:firstLine="420"/>
    </w:pPr>
  </w:style>
  <w:style w:type="table" w:styleId="56">
    <w:name w:val="Table Grid"/>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标题 1 Char"/>
    <w:link w:val="2"/>
    <w:qFormat/>
    <w:uiPriority w:val="0"/>
    <w:rPr>
      <w:b/>
      <w:bCs/>
      <w:kern w:val="44"/>
      <w:sz w:val="32"/>
      <w:szCs w:val="44"/>
    </w:rPr>
  </w:style>
  <w:style w:type="character" w:customStyle="1" w:styleId="67">
    <w:name w:val="标题 2 Char"/>
    <w:link w:val="3"/>
    <w:qFormat/>
    <w:uiPriority w:val="0"/>
    <w:rPr>
      <w:rFonts w:ascii="Cambria" w:hAnsi="Cambria" w:eastAsia="宋体" w:cs="Times New Roman"/>
      <w:b/>
      <w:bCs/>
      <w:kern w:val="2"/>
      <w:sz w:val="32"/>
      <w:szCs w:val="32"/>
    </w:rPr>
  </w:style>
  <w:style w:type="character" w:customStyle="1" w:styleId="68">
    <w:name w:val="标题 3 Char"/>
    <w:link w:val="4"/>
    <w:qFormat/>
    <w:uiPriority w:val="0"/>
    <w:rPr>
      <w:rFonts w:ascii="黑体" w:hAnsi="黑体" w:eastAsia="黑体"/>
      <w:bCs/>
      <w:kern w:val="2"/>
      <w:sz w:val="24"/>
      <w:szCs w:val="24"/>
    </w:rPr>
  </w:style>
  <w:style w:type="character" w:customStyle="1" w:styleId="69">
    <w:name w:val="标题 4 Char"/>
    <w:link w:val="5"/>
    <w:qFormat/>
    <w:uiPriority w:val="0"/>
    <w:rPr>
      <w:rFonts w:ascii="Arial" w:hAnsi="Arial" w:eastAsia="黑体"/>
      <w:bCs/>
      <w:kern w:val="2"/>
      <w:sz w:val="21"/>
      <w:szCs w:val="28"/>
    </w:rPr>
  </w:style>
  <w:style w:type="character" w:customStyle="1" w:styleId="70">
    <w:name w:val="标题 5 Char"/>
    <w:link w:val="6"/>
    <w:qFormat/>
    <w:uiPriority w:val="0"/>
    <w:rPr>
      <w:rFonts w:ascii="Calibri" w:hAnsi="Calibri"/>
      <w:b/>
      <w:bCs/>
      <w:kern w:val="2"/>
      <w:sz w:val="28"/>
      <w:szCs w:val="28"/>
    </w:rPr>
  </w:style>
  <w:style w:type="character" w:customStyle="1" w:styleId="71">
    <w:name w:val="标题 6 Char"/>
    <w:link w:val="7"/>
    <w:qFormat/>
    <w:uiPriority w:val="0"/>
    <w:rPr>
      <w:b/>
      <w:bCs/>
      <w:kern w:val="2"/>
      <w:sz w:val="30"/>
      <w:szCs w:val="18"/>
    </w:rPr>
  </w:style>
  <w:style w:type="character" w:customStyle="1" w:styleId="72">
    <w:name w:val="标题 7 Char"/>
    <w:link w:val="8"/>
    <w:qFormat/>
    <w:uiPriority w:val="0"/>
    <w:rPr>
      <w:b/>
      <w:bCs/>
      <w:kern w:val="2"/>
      <w:sz w:val="30"/>
      <w:szCs w:val="18"/>
    </w:rPr>
  </w:style>
  <w:style w:type="character" w:customStyle="1" w:styleId="73">
    <w:name w:val="标题 8 Char"/>
    <w:link w:val="9"/>
    <w:qFormat/>
    <w:uiPriority w:val="0"/>
    <w:rPr>
      <w:rFonts w:ascii="宋体" w:hAnsi="宋体" w:eastAsia="黑体"/>
      <w:kern w:val="2"/>
      <w:sz w:val="32"/>
      <w:szCs w:val="32"/>
    </w:rPr>
  </w:style>
  <w:style w:type="character" w:customStyle="1" w:styleId="74">
    <w:name w:val="标题 9 Char"/>
    <w:link w:val="10"/>
    <w:qFormat/>
    <w:uiPriority w:val="0"/>
    <w:rPr>
      <w:rFonts w:ascii="Cambria" w:hAnsi="Cambria"/>
      <w:kern w:val="2"/>
      <w:sz w:val="21"/>
      <w:szCs w:val="21"/>
    </w:rPr>
  </w:style>
  <w:style w:type="character" w:customStyle="1" w:styleId="75">
    <w:name w:val="文档结构图 Char"/>
    <w:link w:val="15"/>
    <w:qFormat/>
    <w:uiPriority w:val="0"/>
    <w:rPr>
      <w:rFonts w:ascii="Calibri" w:hAnsi="Calibri"/>
      <w:bCs/>
      <w:kern w:val="2"/>
      <w:sz w:val="21"/>
      <w:szCs w:val="32"/>
      <w:shd w:val="clear" w:color="auto" w:fill="000080"/>
    </w:rPr>
  </w:style>
  <w:style w:type="character" w:customStyle="1" w:styleId="76">
    <w:name w:val="批注文字 Char"/>
    <w:link w:val="16"/>
    <w:qFormat/>
    <w:uiPriority w:val="0"/>
    <w:rPr>
      <w:sz w:val="24"/>
    </w:rPr>
  </w:style>
  <w:style w:type="character" w:customStyle="1" w:styleId="77">
    <w:name w:val="称呼 Char"/>
    <w:link w:val="17"/>
    <w:qFormat/>
    <w:uiPriority w:val="0"/>
    <w:rPr>
      <w:rFonts w:ascii="仿宋_GB2312" w:eastAsia="仿宋_GB2312"/>
      <w:kern w:val="2"/>
      <w:sz w:val="28"/>
    </w:rPr>
  </w:style>
  <w:style w:type="character" w:customStyle="1" w:styleId="78">
    <w:name w:val="正文文本 3 Char"/>
    <w:link w:val="18"/>
    <w:qFormat/>
    <w:uiPriority w:val="0"/>
    <w:rPr>
      <w:rFonts w:ascii="仿宋_GB2312" w:hAnsi="宋体" w:eastAsia="仿宋_GB2312"/>
      <w:bCs/>
      <w:color w:val="000000"/>
      <w:kern w:val="2"/>
      <w:sz w:val="24"/>
      <w:szCs w:val="32"/>
    </w:rPr>
  </w:style>
  <w:style w:type="character" w:customStyle="1" w:styleId="79">
    <w:name w:val="正文文本 Char"/>
    <w:link w:val="19"/>
    <w:qFormat/>
    <w:uiPriority w:val="0"/>
    <w:rPr>
      <w:kern w:val="2"/>
      <w:sz w:val="21"/>
      <w:szCs w:val="24"/>
    </w:rPr>
  </w:style>
  <w:style w:type="character" w:customStyle="1" w:styleId="80">
    <w:name w:val="日期 Char"/>
    <w:link w:val="20"/>
    <w:qFormat/>
    <w:uiPriority w:val="0"/>
    <w:rPr>
      <w:kern w:val="2"/>
      <w:sz w:val="21"/>
      <w:szCs w:val="24"/>
    </w:rPr>
  </w:style>
  <w:style w:type="character" w:customStyle="1" w:styleId="81">
    <w:name w:val="正文文本缩进 Char"/>
    <w:link w:val="21"/>
    <w:qFormat/>
    <w:uiPriority w:val="0"/>
    <w:rPr>
      <w:rFonts w:ascii="宋体" w:hAnsi="宋体"/>
      <w:bCs/>
      <w:kern w:val="2"/>
      <w:sz w:val="28"/>
      <w:szCs w:val="32"/>
    </w:rPr>
  </w:style>
  <w:style w:type="character" w:customStyle="1" w:styleId="82">
    <w:name w:val="纯文本 Char1"/>
    <w:link w:val="29"/>
    <w:qFormat/>
    <w:uiPriority w:val="0"/>
    <w:rPr>
      <w:rFonts w:ascii="Courier New" w:hAnsi="Courier New"/>
      <w:kern w:val="2"/>
      <w:sz w:val="21"/>
    </w:rPr>
  </w:style>
  <w:style w:type="character" w:customStyle="1" w:styleId="83">
    <w:name w:val="正文文本缩进 2 Char"/>
    <w:link w:val="31"/>
    <w:qFormat/>
    <w:uiPriority w:val="0"/>
    <w:rPr>
      <w:rFonts w:ascii="宋体" w:hAnsi="MS Sans Serif"/>
      <w:bCs/>
      <w:spacing w:val="12"/>
      <w:sz w:val="24"/>
    </w:rPr>
  </w:style>
  <w:style w:type="character" w:customStyle="1" w:styleId="84">
    <w:name w:val="批注框文本 Char"/>
    <w:link w:val="32"/>
    <w:qFormat/>
    <w:uiPriority w:val="0"/>
    <w:rPr>
      <w:kern w:val="2"/>
      <w:sz w:val="18"/>
    </w:rPr>
  </w:style>
  <w:style w:type="character" w:customStyle="1" w:styleId="85">
    <w:name w:val="页脚 Char"/>
    <w:link w:val="33"/>
    <w:qFormat/>
    <w:uiPriority w:val="99"/>
    <w:rPr>
      <w:kern w:val="2"/>
      <w:sz w:val="18"/>
      <w:szCs w:val="18"/>
    </w:rPr>
  </w:style>
  <w:style w:type="character" w:customStyle="1" w:styleId="86">
    <w:name w:val="页眉 Char"/>
    <w:link w:val="34"/>
    <w:qFormat/>
    <w:uiPriority w:val="0"/>
    <w:rPr>
      <w:kern w:val="2"/>
      <w:sz w:val="18"/>
      <w:szCs w:val="18"/>
    </w:rPr>
  </w:style>
  <w:style w:type="character" w:customStyle="1" w:styleId="87">
    <w:name w:val="副标题 Char"/>
    <w:link w:val="40"/>
    <w:qFormat/>
    <w:uiPriority w:val="0"/>
    <w:rPr>
      <w:rFonts w:ascii="Arial" w:hAnsi="Arial"/>
      <w:b/>
      <w:bCs/>
      <w:kern w:val="28"/>
      <w:sz w:val="32"/>
      <w:szCs w:val="32"/>
    </w:rPr>
  </w:style>
  <w:style w:type="character" w:customStyle="1" w:styleId="88">
    <w:name w:val="脚注文本 Char"/>
    <w:link w:val="42"/>
    <w:qFormat/>
    <w:uiPriority w:val="0"/>
    <w:rPr>
      <w:kern w:val="2"/>
      <w:sz w:val="18"/>
      <w:szCs w:val="18"/>
    </w:rPr>
  </w:style>
  <w:style w:type="character" w:customStyle="1" w:styleId="89">
    <w:name w:val="正文文本缩进 3 Char"/>
    <w:link w:val="44"/>
    <w:qFormat/>
    <w:uiPriority w:val="0"/>
    <w:rPr>
      <w:rFonts w:ascii="宋体" w:hAnsi="MS Sans Serif"/>
      <w:bCs/>
      <w:color w:val="000000"/>
      <w:sz w:val="24"/>
    </w:rPr>
  </w:style>
  <w:style w:type="character" w:customStyle="1" w:styleId="90">
    <w:name w:val="正文文本 2 Char"/>
    <w:link w:val="47"/>
    <w:qFormat/>
    <w:uiPriority w:val="0"/>
    <w:rPr>
      <w:rFonts w:ascii="宋体"/>
      <w:spacing w:val="-20"/>
      <w:kern w:val="2"/>
      <w:sz w:val="28"/>
    </w:rPr>
  </w:style>
  <w:style w:type="character" w:customStyle="1" w:styleId="91">
    <w:name w:val="标题 Char"/>
    <w:link w:val="51"/>
    <w:qFormat/>
    <w:uiPriority w:val="0"/>
    <w:rPr>
      <w:rFonts w:ascii="宋体" w:hAnsi="宋体" w:eastAsia="黑体"/>
      <w:b/>
      <w:smallCaps/>
      <w:snapToGrid w:val="0"/>
      <w:kern w:val="2"/>
      <w:sz w:val="44"/>
      <w:szCs w:val="24"/>
    </w:rPr>
  </w:style>
  <w:style w:type="character" w:customStyle="1" w:styleId="92">
    <w:name w:val="批注主题 Char"/>
    <w:basedOn w:val="76"/>
    <w:link w:val="52"/>
    <w:qFormat/>
    <w:uiPriority w:val="0"/>
  </w:style>
  <w:style w:type="paragraph" w:customStyle="1" w:styleId="93">
    <w:name w:val="样式 标题 3 + (中文) 黑体 小四 非加粗 段前: 7.8 磅 段后: 0 磅 行距: 固定值 20 磅"/>
    <w:basedOn w:val="4"/>
    <w:qFormat/>
    <w:uiPriority w:val="0"/>
    <w:pPr>
      <w:spacing w:line="400" w:lineRule="exact"/>
    </w:pPr>
    <w:rPr>
      <w:rFonts w:cs="宋体"/>
      <w:b/>
      <w:bCs w:val="0"/>
      <w:szCs w:val="20"/>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95">
    <w:name w:val="纯文本 Char"/>
    <w:qFormat/>
    <w:uiPriority w:val="0"/>
    <w:rPr>
      <w:rFonts w:ascii="宋体" w:hAnsi="Courier New" w:cs="Courier New"/>
      <w:kern w:val="2"/>
      <w:sz w:val="21"/>
      <w:szCs w:val="21"/>
    </w:rPr>
  </w:style>
  <w:style w:type="paragraph" w:customStyle="1" w:styleId="96">
    <w:name w:val="Normal_2"/>
    <w:qFormat/>
    <w:uiPriority w:val="0"/>
    <w:rPr>
      <w:rFonts w:ascii="Times New Roman" w:hAnsi="Times New Roman" w:eastAsia="Times New Roman" w:cs="Times New Roman"/>
      <w:sz w:val="24"/>
      <w:szCs w:val="24"/>
      <w:lang w:val="en-US" w:eastAsia="zh-CN" w:bidi="ar-SA"/>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100">
    <w:name w:val="List Paragraph"/>
    <w:basedOn w:val="1"/>
    <w:qFormat/>
    <w:uiPriority w:val="34"/>
    <w:pPr>
      <w:ind w:firstLine="420" w:firstLineChars="200"/>
    </w:pPr>
    <w:rPr>
      <w:rFonts w:ascii="Calibri" w:hAnsi="Calibri"/>
      <w:szCs w:val="22"/>
    </w:rPr>
  </w:style>
  <w:style w:type="paragraph" w:customStyle="1" w:styleId="10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
    <w:qFormat/>
    <w:uiPriority w:val="0"/>
    <w:rPr>
      <w:rFonts w:ascii="Times New Roman" w:hAnsi="Times New Roman" w:eastAsia="Times New Roman" w:cs="Times New Roman"/>
      <w:sz w:val="24"/>
      <w:szCs w:val="24"/>
      <w:lang w:val="en-US" w:eastAsia="zh-CN" w:bidi="ar-SA"/>
    </w:rPr>
  </w:style>
  <w:style w:type="paragraph" w:customStyle="1" w:styleId="105">
    <w:name w:val="Normal_3"/>
    <w:qFormat/>
    <w:uiPriority w:val="0"/>
    <w:rPr>
      <w:rFonts w:ascii="Times New Roman" w:hAnsi="Times New Roman" w:eastAsia="Times New Roman" w:cs="Times New Roman"/>
      <w:sz w:val="24"/>
      <w:szCs w:val="24"/>
      <w:lang w:val="en-US" w:eastAsia="zh-CN" w:bidi="ar-SA"/>
    </w:rPr>
  </w:style>
  <w:style w:type="paragraph" w:customStyle="1" w:styleId="106">
    <w:name w:val=" Char"/>
    <w:basedOn w:val="1"/>
    <w:qFormat/>
    <w:uiPriority w:val="0"/>
    <w:rPr>
      <w:rFonts w:ascii="Calibri" w:hAnsi="Calibri"/>
      <w:szCs w:val="22"/>
    </w:rPr>
  </w:style>
  <w:style w:type="paragraph" w:customStyle="1" w:styleId="107">
    <w:name w:val=" Char Char Char Char Char Char"/>
    <w:basedOn w:val="1"/>
    <w:qFormat/>
    <w:uiPriority w:val="0"/>
    <w:rPr>
      <w:rFonts w:ascii="Tahoma" w:hAnsi="Tahoma"/>
      <w:sz w:val="24"/>
      <w:szCs w:val="20"/>
    </w:rPr>
  </w:style>
  <w:style w:type="paragraph" w:customStyle="1" w:styleId="108">
    <w:name w:val="Blockquote"/>
    <w:basedOn w:val="1"/>
    <w:link w:val="109"/>
    <w:qFormat/>
    <w:uiPriority w:val="0"/>
    <w:pPr>
      <w:autoSpaceDE w:val="0"/>
      <w:autoSpaceDN w:val="0"/>
      <w:adjustRightInd w:val="0"/>
      <w:spacing w:before="100" w:after="100"/>
      <w:ind w:left="360" w:right="360"/>
      <w:jc w:val="left"/>
    </w:pPr>
    <w:rPr>
      <w:kern w:val="0"/>
      <w:sz w:val="24"/>
      <w:szCs w:val="20"/>
    </w:rPr>
  </w:style>
  <w:style w:type="character" w:customStyle="1" w:styleId="109">
    <w:name w:val="Blockquote Char"/>
    <w:link w:val="108"/>
    <w:qFormat/>
    <w:uiPriority w:val="0"/>
    <w:rPr>
      <w:sz w:val="24"/>
    </w:rPr>
  </w:style>
  <w:style w:type="paragraph" w:customStyle="1" w:styleId="11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111">
    <w:name w:val="样式1"/>
    <w:basedOn w:val="1"/>
    <w:next w:val="5"/>
    <w:qFormat/>
    <w:uiPriority w:val="0"/>
    <w:pPr>
      <w:spacing w:line="360" w:lineRule="auto"/>
      <w:ind w:firstLine="420" w:firstLineChars="200"/>
    </w:pPr>
    <w:rPr>
      <w:rFonts w:ascii="宋体" w:hAnsi="宋体"/>
      <w:szCs w:val="21"/>
    </w:rPr>
  </w:style>
  <w:style w:type="character" w:customStyle="1" w:styleId="112">
    <w:name w:val="tdrownotice1"/>
    <w:qFormat/>
    <w:uiPriority w:val="0"/>
    <w:rPr>
      <w:sz w:val="22"/>
    </w:rPr>
  </w:style>
  <w:style w:type="paragraph" w:customStyle="1" w:styleId="113">
    <w:name w:val="段落2"/>
    <w:basedOn w:val="1"/>
    <w:qFormat/>
    <w:uiPriority w:val="0"/>
    <w:pPr>
      <w:spacing w:line="360" w:lineRule="auto"/>
      <w:ind w:firstLine="480" w:firstLineChars="200"/>
    </w:pPr>
    <w:rPr>
      <w:rFonts w:ascii="Calibri" w:hAnsi="Calibri" w:cs="Courier New"/>
      <w:sz w:val="24"/>
      <w:szCs w:val="21"/>
    </w:rPr>
  </w:style>
  <w:style w:type="paragraph" w:customStyle="1" w:styleId="114">
    <w:name w:val="目录"/>
    <w:basedOn w:val="1"/>
    <w:qFormat/>
    <w:uiPriority w:val="0"/>
    <w:pPr>
      <w:widowControl/>
      <w:jc w:val="center"/>
    </w:pPr>
    <w:rPr>
      <w:rFonts w:ascii="宋体" w:hAnsi="Calibri"/>
      <w:b/>
      <w:kern w:val="0"/>
      <w:sz w:val="36"/>
      <w:szCs w:val="20"/>
    </w:rPr>
  </w:style>
  <w:style w:type="paragraph" w:customStyle="1" w:styleId="115">
    <w:name w:val="目录文字"/>
    <w:basedOn w:val="1"/>
    <w:qFormat/>
    <w:uiPriority w:val="0"/>
    <w:pPr>
      <w:widowControl/>
      <w:spacing w:line="480" w:lineRule="auto"/>
      <w:jc w:val="left"/>
    </w:pPr>
    <w:rPr>
      <w:rFonts w:ascii="宋体" w:hAnsi="宋体"/>
      <w:kern w:val="0"/>
      <w:sz w:val="24"/>
      <w:szCs w:val="20"/>
    </w:rPr>
  </w:style>
  <w:style w:type="paragraph" w:customStyle="1" w:styleId="11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7">
    <w:name w:val="xl33"/>
    <w:basedOn w:val="1"/>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18">
    <w:name w:val="段落1 Char"/>
    <w:basedOn w:val="29"/>
    <w:qFormat/>
    <w:uiPriority w:val="0"/>
    <w:pPr>
      <w:spacing w:line="360" w:lineRule="auto"/>
    </w:pPr>
    <w:rPr>
      <w:rFonts w:ascii="Times New Roman" w:hAnsi="Times New Roman"/>
      <w:sz w:val="24"/>
      <w:szCs w:val="21"/>
    </w:rPr>
  </w:style>
  <w:style w:type="paragraph" w:customStyle="1" w:styleId="119">
    <w:name w:val="样式3"/>
    <w:basedOn w:val="1"/>
    <w:uiPriority w:val="0"/>
    <w:pPr>
      <w:tabs>
        <w:tab w:val="left" w:pos="560"/>
        <w:tab w:val="left" w:pos="1120"/>
      </w:tabs>
      <w:spacing w:line="480" w:lineRule="atLeast"/>
    </w:pPr>
    <w:rPr>
      <w:rFonts w:ascii="Calibri" w:hAnsi="Calibri" w:eastAsia="创艺简黑体"/>
      <w:b/>
      <w:sz w:val="28"/>
      <w:szCs w:val="20"/>
    </w:rPr>
  </w:style>
  <w:style w:type="paragraph" w:customStyle="1" w:styleId="120">
    <w:name w:val="简单回函地址"/>
    <w:basedOn w:val="1"/>
    <w:qFormat/>
    <w:uiPriority w:val="0"/>
    <w:rPr>
      <w:rFonts w:ascii="Calibri" w:hAnsi="Calibri"/>
      <w:szCs w:val="22"/>
    </w:rPr>
  </w:style>
  <w:style w:type="paragraph" w:customStyle="1" w:styleId="121">
    <w:name w:val=" Char Char Char Char"/>
    <w:basedOn w:val="1"/>
    <w:uiPriority w:val="0"/>
    <w:pPr>
      <w:snapToGrid w:val="0"/>
      <w:spacing w:line="360" w:lineRule="auto"/>
      <w:ind w:firstLine="200" w:firstLineChars="200"/>
    </w:pPr>
    <w:rPr>
      <w:rFonts w:ascii="Calibri" w:hAnsi="Calibri" w:eastAsia="仿宋_GB2312"/>
      <w:sz w:val="24"/>
      <w:szCs w:val="22"/>
    </w:rPr>
  </w:style>
  <w:style w:type="paragraph" w:customStyle="1" w:styleId="122">
    <w:name w:val="Default Paragraph Char Char Char Char"/>
    <w:basedOn w:val="1"/>
    <w:next w:val="1"/>
    <w:uiPriority w:val="0"/>
    <w:pPr>
      <w:widowControl/>
      <w:spacing w:line="360" w:lineRule="auto"/>
      <w:jc w:val="left"/>
    </w:pPr>
    <w:rPr>
      <w:rFonts w:ascii="Calibri" w:hAnsi="Calibri"/>
      <w:kern w:val="0"/>
      <w:szCs w:val="20"/>
      <w:lang w:eastAsia="en-US"/>
    </w:rPr>
  </w:style>
  <w:style w:type="character" w:customStyle="1" w:styleId="123">
    <w:name w:val="t_tag"/>
    <w:basedOn w:val="57"/>
    <w:qFormat/>
    <w:uiPriority w:val="0"/>
  </w:style>
  <w:style w:type="paragraph" w:customStyle="1" w:styleId="124">
    <w:name w:val="Char"/>
    <w:basedOn w:val="1"/>
    <w:next w:val="1"/>
    <w:qFormat/>
    <w:uiPriority w:val="0"/>
    <w:pPr>
      <w:widowControl/>
      <w:spacing w:line="360" w:lineRule="auto"/>
      <w:jc w:val="left"/>
    </w:pPr>
    <w:rPr>
      <w:rFonts w:ascii="Calibri" w:hAnsi="Calibri"/>
      <w:kern w:val="0"/>
      <w:szCs w:val="20"/>
      <w:lang w:eastAsia="en-US"/>
    </w:rPr>
  </w:style>
  <w:style w:type="character" w:customStyle="1" w:styleId="125">
    <w:name w:val="批注框文本 Char1"/>
    <w:qFormat/>
    <w:uiPriority w:val="0"/>
    <w:rPr>
      <w:kern w:val="2"/>
      <w:sz w:val="18"/>
      <w:szCs w:val="18"/>
    </w:rPr>
  </w:style>
  <w:style w:type="character" w:customStyle="1" w:styleId="126">
    <w:name w:val="批注文字 Char1"/>
    <w:qFormat/>
    <w:uiPriority w:val="99"/>
    <w:rPr>
      <w:kern w:val="2"/>
      <w:sz w:val="21"/>
      <w:szCs w:val="24"/>
    </w:rPr>
  </w:style>
  <w:style w:type="character" w:customStyle="1" w:styleId="127">
    <w:name w:val="批注主题 Char1"/>
    <w:qFormat/>
    <w:uiPriority w:val="0"/>
    <w:rPr>
      <w:b/>
      <w:bCs/>
      <w:kern w:val="2"/>
      <w:sz w:val="21"/>
      <w:szCs w:val="24"/>
    </w:rPr>
  </w:style>
  <w:style w:type="paragraph" w:customStyle="1" w:styleId="128">
    <w:name w:val=" Char10 Char Char Char Char Char Char Char Char Char"/>
    <w:basedOn w:val="1"/>
    <w:next w:val="1"/>
    <w:qFormat/>
    <w:uiPriority w:val="0"/>
    <w:rPr>
      <w:rFonts w:ascii="Calibri" w:hAnsi="Calibri"/>
      <w:szCs w:val="22"/>
    </w:rPr>
  </w:style>
  <w:style w:type="character" w:customStyle="1" w:styleId="129">
    <w:name w:val="普通文字1 Char"/>
    <w:qFormat/>
    <w:uiPriority w:val="99"/>
    <w:rPr>
      <w:rFonts w:ascii="宋体" w:hAnsi="Courier New" w:eastAsia="宋体" w:cs="Courier New"/>
      <w:szCs w:val="21"/>
    </w:rPr>
  </w:style>
  <w:style w:type="paragraph" w:customStyle="1" w:styleId="130">
    <w:name w:val="TOC Heading"/>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character" w:customStyle="1" w:styleId="131">
    <w:name w:val="标题 1 Char1"/>
    <w:qFormat/>
    <w:uiPriority w:val="0"/>
    <w:rPr>
      <w:rFonts w:ascii="Calibri" w:hAnsi="Calibri" w:eastAsia="宋体"/>
      <w:b/>
      <w:kern w:val="44"/>
      <w:sz w:val="44"/>
      <w:szCs w:val="44"/>
    </w:rPr>
  </w:style>
  <w:style w:type="character" w:customStyle="1" w:styleId="132">
    <w:name w:val="标题 3 Char1"/>
    <w:semiHidden/>
    <w:qFormat/>
    <w:uiPriority w:val="0"/>
    <w:rPr>
      <w:rFonts w:ascii="Calibri" w:hAnsi="Calibri" w:eastAsia="宋体"/>
      <w:b/>
      <w:kern w:val="2"/>
      <w:sz w:val="32"/>
    </w:rPr>
  </w:style>
  <w:style w:type="character" w:customStyle="1" w:styleId="133">
    <w:name w:val="标题 4 Char1"/>
    <w:semiHidden/>
    <w:qFormat/>
    <w:uiPriority w:val="0"/>
    <w:rPr>
      <w:rFonts w:ascii="Cambria" w:hAnsi="Cambria" w:eastAsia="宋体"/>
      <w:b/>
      <w:kern w:val="2"/>
      <w:sz w:val="28"/>
      <w:szCs w:val="28"/>
    </w:rPr>
  </w:style>
  <w:style w:type="character" w:customStyle="1" w:styleId="134">
    <w:name w:val="标题 5 Char1"/>
    <w:semiHidden/>
    <w:qFormat/>
    <w:uiPriority w:val="0"/>
    <w:rPr>
      <w:rFonts w:ascii="Calibri" w:hAnsi="Calibri" w:eastAsia="宋体"/>
      <w:b/>
      <w:kern w:val="2"/>
      <w:sz w:val="28"/>
      <w:szCs w:val="28"/>
    </w:rPr>
  </w:style>
  <w:style w:type="character" w:customStyle="1" w:styleId="135">
    <w:name w:val="标题 6 Char1"/>
    <w:semiHidden/>
    <w:qFormat/>
    <w:uiPriority w:val="0"/>
    <w:rPr>
      <w:rFonts w:ascii="Cambria" w:hAnsi="Cambria" w:eastAsia="宋体"/>
      <w:b/>
      <w:kern w:val="2"/>
      <w:sz w:val="24"/>
      <w:szCs w:val="24"/>
    </w:rPr>
  </w:style>
  <w:style w:type="character" w:customStyle="1" w:styleId="136">
    <w:name w:val="标题 7 Char1"/>
    <w:semiHidden/>
    <w:qFormat/>
    <w:uiPriority w:val="0"/>
    <w:rPr>
      <w:rFonts w:ascii="Calibri" w:hAnsi="Calibri" w:eastAsia="宋体"/>
      <w:b/>
      <w:kern w:val="2"/>
      <w:sz w:val="24"/>
      <w:szCs w:val="24"/>
    </w:rPr>
  </w:style>
  <w:style w:type="character" w:customStyle="1" w:styleId="137">
    <w:name w:val="标题 8 Char1"/>
    <w:semiHidden/>
    <w:qFormat/>
    <w:uiPriority w:val="0"/>
    <w:rPr>
      <w:rFonts w:ascii="Cambria" w:hAnsi="Cambria" w:eastAsia="宋体"/>
      <w:kern w:val="2"/>
      <w:sz w:val="24"/>
      <w:szCs w:val="24"/>
    </w:rPr>
  </w:style>
  <w:style w:type="character" w:customStyle="1" w:styleId="138">
    <w:name w:val="标题 9 Char1"/>
    <w:semiHidden/>
    <w:qFormat/>
    <w:uiPriority w:val="0"/>
    <w:rPr>
      <w:rFonts w:ascii="Cambria" w:hAnsi="Cambria" w:eastAsia="宋体"/>
      <w:kern w:val="2"/>
      <w:sz w:val="21"/>
      <w:szCs w:val="21"/>
    </w:rPr>
  </w:style>
  <w:style w:type="paragraph" w:customStyle="1" w:styleId="139">
    <w:name w:val="Char Char Char Char Char Char"/>
    <w:basedOn w:val="1"/>
    <w:qFormat/>
    <w:uiPriority w:val="0"/>
    <w:rPr>
      <w:rFonts w:ascii="Tahoma" w:hAnsi="Tahoma"/>
      <w:sz w:val="24"/>
      <w:szCs w:val="20"/>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41">
    <w:name w:val="Char10 Char Char Char Char Char Char Char Char Char"/>
    <w:basedOn w:val="1"/>
    <w:next w:val="1"/>
    <w:qFormat/>
    <w:uiPriority w:val="0"/>
    <w:rPr>
      <w:rFonts w:ascii="Calibri" w:hAnsi="Calibri"/>
      <w:szCs w:val="22"/>
    </w:rPr>
  </w:style>
  <w:style w:type="paragraph" w:customStyle="1" w:styleId="142">
    <w:name w:val="MsoNormal"/>
    <w:basedOn w:val="143"/>
    <w:qFormat/>
    <w:uiPriority w:val="0"/>
    <w:rPr>
      <w:rFonts w:ascii="Calibri" w:hAnsi="Calibri" w:eastAsia="Calibri"/>
      <w:sz w:val="21"/>
      <w:lang w:val="en-US" w:eastAsia="zh-CN"/>
    </w:rPr>
  </w:style>
  <w:style w:type="paragraph" w:customStyle="1" w:styleId="143">
    <w:name w:val="Normal_0"/>
    <w:qFormat/>
    <w:uiPriority w:val="0"/>
    <w:rPr>
      <w:rFonts w:ascii="Times New Roman" w:hAnsi="Times New Roman" w:eastAsia="宋体" w:cs="Times New Roman"/>
      <w:sz w:val="24"/>
      <w:szCs w:val="24"/>
      <w:lang w:val="en-US" w:eastAsia="zh-CN" w:bidi="ar-SA"/>
    </w:rPr>
  </w:style>
  <w:style w:type="paragraph" w:customStyle="1" w:styleId="144">
    <w:name w:val="标题 2_0"/>
    <w:basedOn w:val="145"/>
    <w:next w:val="146"/>
    <w:link w:val="147"/>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4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7">
    <w:name w:val="标题 2 Char_0"/>
    <w:link w:val="144"/>
    <w:qFormat/>
    <w:uiPriority w:val="0"/>
    <w:rPr>
      <w:rFonts w:ascii="黑体" w:hAnsi="宋体" w:eastAsia="黑体"/>
      <w:b/>
      <w:smallCaps/>
      <w:snapToGrid w:val="0"/>
      <w:sz w:val="36"/>
      <w:szCs w:val="24"/>
    </w:rPr>
  </w:style>
  <w:style w:type="paragraph" w:customStyle="1" w:styleId="148">
    <w:name w:val="纯文本_0"/>
    <w:basedOn w:val="146"/>
    <w:link w:val="149"/>
    <w:qFormat/>
    <w:uiPriority w:val="99"/>
    <w:rPr>
      <w:rFonts w:ascii="宋体" w:hAnsi="Courier New"/>
      <w:szCs w:val="21"/>
      <w:lang w:val="en-US" w:eastAsia="zh-CN"/>
    </w:rPr>
  </w:style>
  <w:style w:type="character" w:customStyle="1" w:styleId="149">
    <w:name w:val="Texte Char1"/>
    <w:link w:val="148"/>
    <w:qFormat/>
    <w:uiPriority w:val="99"/>
    <w:rPr>
      <w:rFonts w:ascii="宋体" w:hAnsi="Courier New"/>
      <w:kern w:val="2"/>
      <w:sz w:val="21"/>
      <w:szCs w:val="21"/>
      <w:lang w:val="en-US" w:eastAsia="zh-CN"/>
    </w:rPr>
  </w:style>
  <w:style w:type="paragraph" w:customStyle="1" w:styleId="150">
    <w:name w:val="纯文本_1"/>
    <w:basedOn w:val="151"/>
    <w:link w:val="152"/>
    <w:qFormat/>
    <w:uiPriority w:val="0"/>
    <w:rPr>
      <w:rFonts w:ascii="宋体" w:hAnsi="Courier New"/>
      <w:szCs w:val="21"/>
    </w:rPr>
  </w:style>
  <w:style w:type="paragraph" w:customStyle="1" w:styleId="1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纯文本 Char1_0"/>
    <w:link w:val="150"/>
    <w:qFormat/>
    <w:uiPriority w:val="0"/>
    <w:rPr>
      <w:rFonts w:ascii="宋体" w:hAnsi="Courier New"/>
      <w:kern w:val="2"/>
      <w:sz w:val="21"/>
      <w:szCs w:val="21"/>
    </w:rPr>
  </w:style>
  <w:style w:type="paragraph" w:customStyle="1" w:styleId="153">
    <w:name w:val="标题 3_0"/>
    <w:basedOn w:val="154"/>
    <w:next w:val="155"/>
    <w:link w:val="156"/>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5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缩进_0"/>
    <w:basedOn w:val="154"/>
    <w:unhideWhenUsed/>
    <w:qFormat/>
    <w:uiPriority w:val="0"/>
    <w:pPr>
      <w:ind w:firstLine="420" w:firstLineChars="200"/>
    </w:pPr>
    <w:rPr>
      <w:rFonts w:ascii="Calibri" w:hAnsi="Calibri"/>
      <w:bCs/>
      <w:szCs w:val="32"/>
    </w:rPr>
  </w:style>
  <w:style w:type="character" w:customStyle="1" w:styleId="156">
    <w:name w:val="标题 3 Char_0"/>
    <w:link w:val="153"/>
    <w:qFormat/>
    <w:uiPriority w:val="0"/>
    <w:rPr>
      <w:b/>
      <w:sz w:val="32"/>
    </w:rPr>
  </w:style>
  <w:style w:type="paragraph" w:customStyle="1" w:styleId="157">
    <w:name w:val="标题 1_0"/>
    <w:basedOn w:val="154"/>
    <w:next w:val="154"/>
    <w:link w:val="158"/>
    <w:qFormat/>
    <w:uiPriority w:val="0"/>
    <w:pPr>
      <w:keepNext/>
      <w:widowControl/>
      <w:numPr>
        <w:ilvl w:val="0"/>
        <w:numId w:val="1"/>
      </w:numPr>
      <w:jc w:val="center"/>
      <w:outlineLvl w:val="0"/>
    </w:pPr>
    <w:rPr>
      <w:rFonts w:ascii="黑体" w:eastAsia="黑体"/>
      <w:kern w:val="0"/>
      <w:sz w:val="52"/>
      <w:szCs w:val="20"/>
    </w:rPr>
  </w:style>
  <w:style w:type="character" w:customStyle="1" w:styleId="158">
    <w:name w:val="标题 1 Char_0"/>
    <w:link w:val="157"/>
    <w:qFormat/>
    <w:uiPriority w:val="0"/>
    <w:rPr>
      <w:rFonts w:ascii="黑体" w:eastAsia="黑体"/>
      <w:sz w:val="52"/>
    </w:rPr>
  </w:style>
  <w:style w:type="paragraph" w:customStyle="1" w:styleId="159">
    <w:name w:val="标题 6_0"/>
    <w:basedOn w:val="154"/>
    <w:next w:val="154"/>
    <w:link w:val="16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60">
    <w:name w:val="标题 6 Char_0"/>
    <w:link w:val="159"/>
    <w:qFormat/>
    <w:uiPriority w:val="0"/>
    <w:rPr>
      <w:rFonts w:ascii="Arial" w:hAnsi="Arial" w:eastAsia="黑体"/>
      <w:b/>
      <w:bCs/>
      <w:sz w:val="24"/>
      <w:szCs w:val="24"/>
    </w:rPr>
  </w:style>
  <w:style w:type="paragraph" w:customStyle="1" w:styleId="161">
    <w:name w:val="标题 7_0"/>
    <w:basedOn w:val="154"/>
    <w:next w:val="154"/>
    <w:link w:val="162"/>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62">
    <w:name w:val="标题 7 Char_0"/>
    <w:link w:val="161"/>
    <w:qFormat/>
    <w:uiPriority w:val="0"/>
    <w:rPr>
      <w:b/>
      <w:bCs/>
      <w:sz w:val="24"/>
      <w:szCs w:val="24"/>
    </w:rPr>
  </w:style>
  <w:style w:type="paragraph" w:customStyle="1" w:styleId="163">
    <w:name w:val="标题 8_0"/>
    <w:basedOn w:val="154"/>
    <w:next w:val="154"/>
    <w:link w:val="164"/>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64">
    <w:name w:val="标题 8 Char_0"/>
    <w:link w:val="163"/>
    <w:qFormat/>
    <w:uiPriority w:val="0"/>
    <w:rPr>
      <w:rFonts w:ascii="Arial" w:hAnsi="Arial" w:eastAsia="黑体"/>
      <w:sz w:val="24"/>
      <w:szCs w:val="24"/>
    </w:rPr>
  </w:style>
  <w:style w:type="paragraph" w:customStyle="1" w:styleId="165">
    <w:name w:val="标题 9_0"/>
    <w:basedOn w:val="154"/>
    <w:next w:val="154"/>
    <w:link w:val="166"/>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66">
    <w:name w:val="标题 9 Char_0"/>
    <w:link w:val="165"/>
    <w:qFormat/>
    <w:uiPriority w:val="0"/>
    <w:rPr>
      <w:rFonts w:ascii="Arial" w:hAnsi="Arial" w:eastAsia="黑体"/>
      <w:sz w:val="21"/>
      <w:szCs w:val="21"/>
    </w:rPr>
  </w:style>
  <w:style w:type="paragraph" w:customStyle="1" w:styleId="167">
    <w:name w:val="Blockquote_0"/>
    <w:basedOn w:val="154"/>
    <w:link w:val="168"/>
    <w:qFormat/>
    <w:uiPriority w:val="0"/>
    <w:pPr>
      <w:autoSpaceDE w:val="0"/>
      <w:autoSpaceDN w:val="0"/>
      <w:adjustRightInd w:val="0"/>
      <w:spacing w:before="100" w:after="100"/>
      <w:ind w:left="360" w:right="360"/>
      <w:jc w:val="left"/>
    </w:pPr>
    <w:rPr>
      <w:kern w:val="0"/>
      <w:sz w:val="24"/>
      <w:szCs w:val="20"/>
    </w:rPr>
  </w:style>
  <w:style w:type="character" w:customStyle="1" w:styleId="168">
    <w:name w:val="Blockquote Char_0"/>
    <w:link w:val="167"/>
    <w:qFormat/>
    <w:locked/>
    <w:uiPriority w:val="0"/>
    <w:rPr>
      <w:sz w:val="24"/>
    </w:rPr>
  </w:style>
  <w:style w:type="paragraph" w:customStyle="1" w:styleId="169">
    <w:name w:val="标题 4_0"/>
    <w:basedOn w:val="154"/>
    <w:next w:val="154"/>
    <w:link w:val="170"/>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70">
    <w:name w:val="标题 4 Char_0"/>
    <w:link w:val="169"/>
    <w:qFormat/>
    <w:uiPriority w:val="0"/>
    <w:rPr>
      <w:rFonts w:ascii="Arial" w:hAnsi="Arial" w:eastAsia="黑体"/>
      <w:sz w:val="28"/>
    </w:rPr>
  </w:style>
  <w:style w:type="paragraph" w:customStyle="1" w:styleId="171">
    <w:name w:val="纯文本_2"/>
    <w:basedOn w:val="154"/>
    <w:link w:val="172"/>
    <w:qFormat/>
    <w:uiPriority w:val="0"/>
    <w:rPr>
      <w:rFonts w:ascii="宋体" w:hAnsi="Courier New"/>
      <w:szCs w:val="21"/>
    </w:rPr>
  </w:style>
  <w:style w:type="character" w:customStyle="1" w:styleId="172">
    <w:name w:val="纯文本 Char1_1"/>
    <w:link w:val="171"/>
    <w:qFormat/>
    <w:uiPriority w:val="0"/>
    <w:rPr>
      <w:rFonts w:ascii="宋体" w:hAnsi="Courier New"/>
      <w:kern w:val="2"/>
      <w:sz w:val="21"/>
      <w:szCs w:val="21"/>
    </w:rPr>
  </w:style>
  <w:style w:type="paragraph" w:customStyle="1" w:styleId="173">
    <w:name w:val="Blockquote_0_1"/>
    <w:basedOn w:val="174"/>
    <w:link w:val="175"/>
    <w:qFormat/>
    <w:uiPriority w:val="0"/>
    <w:pPr>
      <w:autoSpaceDE w:val="0"/>
      <w:autoSpaceDN w:val="0"/>
      <w:adjustRightInd w:val="0"/>
      <w:spacing w:before="100" w:after="100"/>
      <w:ind w:left="360" w:right="360"/>
      <w:jc w:val="left"/>
    </w:pPr>
    <w:rPr>
      <w:kern w:val="0"/>
      <w:sz w:val="24"/>
      <w:szCs w:val="20"/>
    </w:rPr>
  </w:style>
  <w:style w:type="paragraph" w:customStyle="1" w:styleId="17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Blockquote Char_0_1"/>
    <w:link w:val="173"/>
    <w:qFormat/>
    <w:locked/>
    <w:uiPriority w:val="0"/>
    <w:rPr>
      <w:sz w:val="24"/>
    </w:rPr>
  </w:style>
  <w:style w:type="paragraph" w:customStyle="1" w:styleId="176">
    <w:name w:val="正文文本_0"/>
    <w:basedOn w:val="154"/>
    <w:link w:val="177"/>
    <w:qFormat/>
    <w:uiPriority w:val="0"/>
    <w:pPr>
      <w:spacing w:after="120"/>
    </w:pPr>
  </w:style>
  <w:style w:type="character" w:customStyle="1" w:styleId="177">
    <w:name w:val="正文文本 Char_0"/>
    <w:link w:val="176"/>
    <w:qFormat/>
    <w:uiPriority w:val="0"/>
    <w:rPr>
      <w:kern w:val="2"/>
      <w:sz w:val="21"/>
      <w:szCs w:val="24"/>
    </w:rPr>
  </w:style>
  <w:style w:type="paragraph" w:customStyle="1" w:styleId="178">
    <w:name w:val="普通(网站)_0"/>
    <w:basedOn w:val="154"/>
    <w:qFormat/>
    <w:uiPriority w:val="0"/>
    <w:pPr>
      <w:widowControl/>
      <w:spacing w:before="100" w:beforeAutospacing="1" w:after="100" w:afterAutospacing="1"/>
      <w:jc w:val="left"/>
    </w:pPr>
    <w:rPr>
      <w:rFonts w:ascii="宋体" w:hAnsi="宋体"/>
      <w:kern w:val="0"/>
      <w:sz w:val="24"/>
    </w:rPr>
  </w:style>
  <w:style w:type="paragraph" w:customStyle="1" w:styleId="17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脚注文本_0"/>
    <w:basedOn w:val="101"/>
    <w:link w:val="182"/>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182">
    <w:name w:val="脚注文本 Char_0"/>
    <w:link w:val="181"/>
    <w:semiHidden/>
    <w:qFormat/>
    <w:uiPriority w:val="0"/>
    <w:rPr>
      <w:sz w:val="18"/>
    </w:rPr>
  </w:style>
  <w:style w:type="paragraph" w:customStyle="1" w:styleId="1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9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9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02">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03">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0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05">
    <w:name w:val="font6"/>
    <w:basedOn w:val="1"/>
    <w:qFormat/>
    <w:uiPriority w:val="0"/>
    <w:pPr>
      <w:widowControl/>
      <w:spacing w:before="100" w:beforeAutospacing="1" w:after="100" w:afterAutospacing="1"/>
      <w:jc w:val="left"/>
    </w:pPr>
    <w:rPr>
      <w:kern w:val="0"/>
      <w:sz w:val="18"/>
      <w:szCs w:val="18"/>
    </w:rPr>
  </w:style>
  <w:style w:type="paragraph" w:customStyle="1" w:styleId="206">
    <w:name w:val=" Char Char Char Char Char"/>
    <w:basedOn w:val="1"/>
    <w:qFormat/>
    <w:uiPriority w:val="0"/>
    <w:rPr>
      <w:rFonts w:ascii="Tahoma" w:hAnsi="Tahoma"/>
      <w:sz w:val="24"/>
      <w:szCs w:val="20"/>
    </w:rPr>
  </w:style>
  <w:style w:type="paragraph" w:customStyle="1" w:styleId="207">
    <w:name w:val="范本目录"/>
    <w:basedOn w:val="1"/>
    <w:qFormat/>
    <w:uiPriority w:val="0"/>
    <w:pPr>
      <w:adjustRightInd w:val="0"/>
      <w:snapToGrid w:val="0"/>
      <w:spacing w:beforeLines="20" w:afterLines="20" w:line="540" w:lineRule="exact"/>
      <w:jc w:val="center"/>
    </w:pPr>
    <w:rPr>
      <w:rFonts w:hAnsi="宋体"/>
      <w:b/>
      <w:bCs/>
      <w:sz w:val="36"/>
    </w:rPr>
  </w:style>
  <w:style w:type="character" w:customStyle="1" w:styleId="208">
    <w:name w:val=" Char Char"/>
    <w:qFormat/>
    <w:uiPriority w:val="0"/>
    <w:rPr>
      <w:rFonts w:ascii="宋体" w:hAnsi="Courier New" w:eastAsia="宋体" w:cs="Courier New"/>
      <w:kern w:val="2"/>
      <w:sz w:val="21"/>
      <w:szCs w:val="21"/>
      <w:lang w:val="en-US" w:eastAsia="zh-CN" w:bidi="ar-SA"/>
    </w:rPr>
  </w:style>
  <w:style w:type="character" w:customStyle="1" w:styleId="209">
    <w:name w:val="标题4 Char Char"/>
    <w:link w:val="210"/>
    <w:qFormat/>
    <w:uiPriority w:val="0"/>
    <w:rPr>
      <w:rFonts w:ascii="Arial" w:hAnsi="Arial"/>
      <w:b/>
      <w:bCs/>
      <w:sz w:val="24"/>
      <w:szCs w:val="32"/>
    </w:rPr>
  </w:style>
  <w:style w:type="paragraph" w:customStyle="1" w:styleId="210">
    <w:name w:val="标题4"/>
    <w:basedOn w:val="3"/>
    <w:next w:val="26"/>
    <w:link w:val="209"/>
    <w:qFormat/>
    <w:uiPriority w:val="0"/>
    <w:pPr>
      <w:spacing w:before="0" w:after="0" w:line="413" w:lineRule="auto"/>
    </w:pPr>
    <w:rPr>
      <w:rFonts w:ascii="Arial" w:hAnsi="Arial"/>
      <w:kern w:val="0"/>
      <w:sz w:val="24"/>
    </w:rPr>
  </w:style>
  <w:style w:type="character" w:customStyle="1" w:styleId="211">
    <w:name w:val="明显引用 Char"/>
    <w:link w:val="212"/>
    <w:qFormat/>
    <w:uiPriority w:val="0"/>
    <w:rPr>
      <w:b/>
      <w:bCs/>
      <w:i/>
      <w:iCs/>
      <w:color w:val="4F81BD"/>
      <w:kern w:val="2"/>
      <w:sz w:val="21"/>
      <w:szCs w:val="22"/>
    </w:rPr>
  </w:style>
  <w:style w:type="paragraph" w:styleId="212">
    <w:name w:val="Intense Quote"/>
    <w:basedOn w:val="1"/>
    <w:next w:val="1"/>
    <w:link w:val="211"/>
    <w:qFormat/>
    <w:uiPriority w:val="0"/>
    <w:pPr>
      <w:pBdr>
        <w:bottom w:val="single" w:color="4F81BD" w:sz="4" w:space="4"/>
      </w:pBdr>
      <w:spacing w:before="200" w:after="280"/>
      <w:ind w:left="936" w:right="936"/>
    </w:pPr>
    <w:rPr>
      <w:b/>
      <w:bCs/>
      <w:i/>
      <w:iCs/>
      <w:color w:val="4F81BD"/>
      <w:szCs w:val="22"/>
    </w:rPr>
  </w:style>
  <w:style w:type="character" w:customStyle="1" w:styleId="213">
    <w:name w:val="明显引用 Char1"/>
    <w:qFormat/>
    <w:uiPriority w:val="30"/>
    <w:rPr>
      <w:b/>
      <w:bCs/>
      <w:i/>
      <w:iCs/>
      <w:color w:val="4F81BD"/>
      <w:kern w:val="2"/>
      <w:sz w:val="21"/>
      <w:szCs w:val="24"/>
    </w:rPr>
  </w:style>
  <w:style w:type="character" w:customStyle="1" w:styleId="214">
    <w:name w:val="标题5 Char Char"/>
    <w:link w:val="215"/>
    <w:qFormat/>
    <w:uiPriority w:val="0"/>
    <w:rPr>
      <w:rFonts w:ascii="Arial" w:hAnsi="Arial"/>
      <w:b/>
      <w:bCs/>
      <w:sz w:val="24"/>
      <w:szCs w:val="32"/>
    </w:rPr>
  </w:style>
  <w:style w:type="paragraph" w:customStyle="1" w:styleId="215">
    <w:name w:val="标题5"/>
    <w:basedOn w:val="4"/>
    <w:link w:val="214"/>
    <w:qFormat/>
    <w:uiPriority w:val="0"/>
    <w:pPr>
      <w:spacing w:before="260" w:after="260" w:line="413" w:lineRule="auto"/>
    </w:pPr>
    <w:rPr>
      <w:rFonts w:ascii="Arial" w:hAnsi="Arial" w:eastAsia="宋体"/>
      <w:b/>
      <w:kern w:val="0"/>
      <w:szCs w:val="32"/>
    </w:rPr>
  </w:style>
  <w:style w:type="character" w:customStyle="1" w:styleId="216">
    <w:name w:val="引用 Char"/>
    <w:link w:val="217"/>
    <w:qFormat/>
    <w:uiPriority w:val="0"/>
    <w:rPr>
      <w:i/>
      <w:iCs/>
      <w:color w:val="000000"/>
      <w:kern w:val="2"/>
      <w:sz w:val="21"/>
      <w:szCs w:val="22"/>
    </w:rPr>
  </w:style>
  <w:style w:type="paragraph" w:styleId="217">
    <w:name w:val="Quote"/>
    <w:basedOn w:val="1"/>
    <w:next w:val="1"/>
    <w:link w:val="216"/>
    <w:qFormat/>
    <w:uiPriority w:val="0"/>
    <w:rPr>
      <w:i/>
      <w:iCs/>
      <w:color w:val="000000"/>
      <w:szCs w:val="22"/>
    </w:rPr>
  </w:style>
  <w:style w:type="character" w:customStyle="1" w:styleId="218">
    <w:name w:val="引用 Char1"/>
    <w:qFormat/>
    <w:uiPriority w:val="29"/>
    <w:rPr>
      <w:i/>
      <w:iCs/>
      <w:color w:val="000000"/>
      <w:kern w:val="2"/>
      <w:sz w:val="21"/>
      <w:szCs w:val="24"/>
    </w:rPr>
  </w:style>
  <w:style w:type="character" w:customStyle="1" w:styleId="219">
    <w:name w:val="ask-title2"/>
    <w:qFormat/>
    <w:uiPriority w:val="0"/>
  </w:style>
  <w:style w:type="character" w:customStyle="1" w:styleId="220">
    <w:name w:val="正文文本 Char1"/>
    <w:qFormat/>
    <w:uiPriority w:val="0"/>
    <w:rPr>
      <w:kern w:val="2"/>
      <w:sz w:val="21"/>
      <w:szCs w:val="22"/>
    </w:rPr>
  </w:style>
  <w:style w:type="character" w:customStyle="1" w:styleId="221">
    <w:name w:val="Subtle Emphasis"/>
    <w:qFormat/>
    <w:uiPriority w:val="0"/>
    <w:rPr>
      <w:i/>
      <w:iCs/>
      <w:color w:val="808080"/>
    </w:rPr>
  </w:style>
  <w:style w:type="character" w:customStyle="1" w:styleId="222">
    <w:name w:val="Intense Reference"/>
    <w:qFormat/>
    <w:uiPriority w:val="0"/>
    <w:rPr>
      <w:b/>
      <w:bCs/>
      <w:smallCaps/>
      <w:color w:val="C0504D"/>
      <w:spacing w:val="5"/>
      <w:u w:val="single"/>
    </w:rPr>
  </w:style>
  <w:style w:type="character" w:customStyle="1" w:styleId="223">
    <w:name w:val="Book Title"/>
    <w:qFormat/>
    <w:uiPriority w:val="0"/>
    <w:rPr>
      <w:b/>
      <w:bCs/>
      <w:smallCaps/>
      <w:spacing w:val="5"/>
    </w:rPr>
  </w:style>
  <w:style w:type="character" w:customStyle="1" w:styleId="224">
    <w:name w:val="日期 Char1"/>
    <w:qFormat/>
    <w:uiPriority w:val="0"/>
    <w:rPr>
      <w:kern w:val="2"/>
      <w:sz w:val="21"/>
      <w:szCs w:val="22"/>
    </w:rPr>
  </w:style>
  <w:style w:type="character" w:customStyle="1" w:styleId="225">
    <w:name w:val="Intense Emphasis"/>
    <w:qFormat/>
    <w:uiPriority w:val="0"/>
    <w:rPr>
      <w:b/>
      <w:bCs/>
      <w:i/>
      <w:iCs/>
      <w:color w:val="4F81BD"/>
    </w:rPr>
  </w:style>
  <w:style w:type="character" w:customStyle="1" w:styleId="226">
    <w:name w:val="textcontents"/>
    <w:qFormat/>
    <w:uiPriority w:val="0"/>
    <w:rPr>
      <w:rFonts w:cs="Times New Roman"/>
    </w:rPr>
  </w:style>
  <w:style w:type="character" w:customStyle="1" w:styleId="227">
    <w:name w:val="Subtle Reference"/>
    <w:qFormat/>
    <w:uiPriority w:val="0"/>
    <w:rPr>
      <w:smallCaps/>
      <w:color w:val="C0504D"/>
      <w:u w:val="single"/>
    </w:rPr>
  </w:style>
  <w:style w:type="character" w:customStyle="1" w:styleId="228">
    <w:name w:val="批注文字 Char Char"/>
    <w:qFormat/>
    <w:uiPriority w:val="0"/>
    <w:rPr>
      <w:rFonts w:ascii="宋体" w:hAnsi="Times New Roman" w:eastAsia="宋体" w:cs="Times New Roman"/>
      <w:sz w:val="28"/>
      <w:szCs w:val="20"/>
    </w:rPr>
  </w:style>
  <w:style w:type="character" w:customStyle="1" w:styleId="229">
    <w:name w:val="文档结构图 Char1"/>
    <w:qFormat/>
    <w:uiPriority w:val="0"/>
    <w:rPr>
      <w:rFonts w:ascii="宋体"/>
      <w:kern w:val="2"/>
      <w:sz w:val="18"/>
      <w:szCs w:val="18"/>
    </w:rPr>
  </w:style>
  <w:style w:type="paragraph" w:customStyle="1" w:styleId="230">
    <w:name w:val="Revision"/>
    <w:qFormat/>
    <w:uiPriority w:val="0"/>
    <w:rPr>
      <w:rFonts w:ascii="Times New Roman" w:hAnsi="Times New Roman" w:eastAsia="宋体" w:cs="Times New Roman"/>
      <w:kern w:val="2"/>
      <w:sz w:val="21"/>
      <w:szCs w:val="24"/>
      <w:lang w:val="en-US" w:eastAsia="zh-CN" w:bidi="ar-SA"/>
    </w:rPr>
  </w:style>
  <w:style w:type="character" w:customStyle="1" w:styleId="231">
    <w:name w:val="页脚 Char1"/>
    <w:semiHidden/>
    <w:qFormat/>
    <w:uiPriority w:val="99"/>
    <w:rPr>
      <w:kern w:val="2"/>
      <w:sz w:val="18"/>
      <w:szCs w:val="18"/>
    </w:rPr>
  </w:style>
  <w:style w:type="character" w:customStyle="1" w:styleId="232">
    <w:name w:val="批注框文本 Char2"/>
    <w:semiHidden/>
    <w:qFormat/>
    <w:uiPriority w:val="99"/>
    <w:rPr>
      <w:kern w:val="2"/>
      <w:sz w:val="18"/>
      <w:szCs w:val="18"/>
    </w:rPr>
  </w:style>
  <w:style w:type="character" w:customStyle="1" w:styleId="233">
    <w:name w:val="批注主题 Char2"/>
    <w:semiHidden/>
    <w:qFormat/>
    <w:uiPriority w:val="99"/>
    <w:rPr>
      <w:b/>
      <w:bCs/>
      <w:kern w:val="2"/>
      <w:sz w:val="21"/>
      <w:szCs w:val="22"/>
    </w:rPr>
  </w:style>
  <w:style w:type="character" w:customStyle="1" w:styleId="234">
    <w:name w:val="文档结构图 Char2"/>
    <w:semiHidden/>
    <w:qFormat/>
    <w:uiPriority w:val="99"/>
    <w:rPr>
      <w:rFonts w:ascii="宋体"/>
      <w:kern w:val="2"/>
      <w:sz w:val="18"/>
      <w:szCs w:val="18"/>
    </w:rPr>
  </w:style>
  <w:style w:type="character" w:customStyle="1" w:styleId="235">
    <w:name w:val="页眉 Char1"/>
    <w:semiHidden/>
    <w:qFormat/>
    <w:uiPriority w:val="99"/>
    <w:rPr>
      <w:kern w:val="2"/>
      <w:sz w:val="18"/>
      <w:szCs w:val="18"/>
    </w:rPr>
  </w:style>
  <w:style w:type="character" w:customStyle="1" w:styleId="236">
    <w:name w:val="日期 Char2"/>
    <w:semiHidden/>
    <w:qFormat/>
    <w:uiPriority w:val="99"/>
    <w:rPr>
      <w:kern w:val="2"/>
      <w:sz w:val="21"/>
      <w:szCs w:val="22"/>
    </w:rPr>
  </w:style>
  <w:style w:type="character" w:customStyle="1" w:styleId="237">
    <w:name w:val="正文文本 Char2"/>
    <w:semiHidden/>
    <w:qFormat/>
    <w:uiPriority w:val="99"/>
    <w:rPr>
      <w:kern w:val="2"/>
      <w:sz w:val="21"/>
      <w:szCs w:val="22"/>
    </w:rPr>
  </w:style>
  <w:style w:type="character" w:customStyle="1" w:styleId="238">
    <w:name w:val="标题 Char1"/>
    <w:qFormat/>
    <w:uiPriority w:val="10"/>
    <w:rPr>
      <w:rFonts w:ascii="Cambria" w:hAnsi="Cambria" w:cs="Times New Roman"/>
      <w:b/>
      <w:bCs/>
      <w:kern w:val="2"/>
      <w:sz w:val="32"/>
      <w:szCs w:val="32"/>
    </w:rPr>
  </w:style>
  <w:style w:type="character" w:customStyle="1" w:styleId="239">
    <w:name w:val="副标题 Char1"/>
    <w:qFormat/>
    <w:uiPriority w:val="11"/>
    <w:rPr>
      <w:rFonts w:ascii="Cambria" w:hAnsi="Cambria" w:cs="Times New Roman"/>
      <w:b/>
      <w:bCs/>
      <w:kern w:val="28"/>
      <w:sz w:val="32"/>
      <w:szCs w:val="32"/>
    </w:rPr>
  </w:style>
  <w:style w:type="paragraph" w:customStyle="1" w:styleId="24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24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4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244">
    <w:name w:val="正文2 Char"/>
    <w:link w:val="245"/>
    <w:qFormat/>
    <w:uiPriority w:val="0"/>
    <w:rPr>
      <w:rFonts w:ascii="楷体" w:eastAsia="楷体"/>
      <w:b/>
      <w:color w:val="0000FF"/>
      <w:kern w:val="2"/>
      <w:sz w:val="21"/>
      <w:szCs w:val="22"/>
      <w:lang w:val="en-US" w:eastAsia="zh-CN" w:bidi="ar-SA"/>
    </w:rPr>
  </w:style>
  <w:style w:type="paragraph" w:customStyle="1" w:styleId="245">
    <w:name w:val="正文2"/>
    <w:link w:val="244"/>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paragraph" w:customStyle="1" w:styleId="24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7">
    <w:name w:val="正文文本 (2)_"/>
    <w:link w:val="248"/>
    <w:qFormat/>
    <w:locked/>
    <w:uiPriority w:val="99"/>
    <w:rPr>
      <w:rFonts w:ascii="MingLiU" w:eastAsia="MingLiU" w:cs="MingLiU"/>
      <w:spacing w:val="20"/>
      <w:sz w:val="22"/>
      <w:shd w:val="clear" w:color="auto" w:fill="FFFFFF"/>
    </w:rPr>
  </w:style>
  <w:style w:type="paragraph" w:customStyle="1" w:styleId="248">
    <w:name w:val="正文文本 (2)1"/>
    <w:basedOn w:val="1"/>
    <w:link w:val="247"/>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249">
    <w:name w:val="正文文本 (2) + 间距 0 pt5"/>
    <w:qFormat/>
    <w:uiPriority w:val="99"/>
    <w:rPr>
      <w:rFonts w:ascii="MingLiU" w:eastAsia="MingLiU" w:cs="MingLiU"/>
      <w:spacing w:val="0"/>
      <w:sz w:val="22"/>
      <w:shd w:val="clear" w:color="auto" w:fill="FFFFFF"/>
    </w:rPr>
  </w:style>
  <w:style w:type="paragraph" w:customStyle="1" w:styleId="250">
    <w:name w:val="Table Paragraph"/>
    <w:basedOn w:val="1"/>
    <w:qFormat/>
    <w:uiPriority w:val="1"/>
    <w:pPr>
      <w:jc w:val="left"/>
    </w:pPr>
    <w:rPr>
      <w:rFonts w:ascii="Calibri" w:hAnsi="Calibri"/>
      <w:kern w:val="0"/>
      <w:sz w:val="22"/>
      <w:szCs w:val="22"/>
      <w:lang w:eastAsia="en-US"/>
    </w:rPr>
  </w:style>
  <w:style w:type="paragraph" w:customStyle="1" w:styleId="251">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25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117</Pages>
  <Words>63414</Words>
  <Characters>66174</Characters>
  <Lines>530</Lines>
  <Paragraphs>149</Paragraphs>
  <TotalTime>9</TotalTime>
  <ScaleCrop>false</ScaleCrop>
  <LinksUpToDate>false</LinksUpToDate>
  <CharactersWithSpaces>71439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2022-12-19T02:18:00Z</dcterms:created>
  <dc:creator>User</dc:creator>
  <cp:lastModifiedBy>凌宵</cp:lastModifiedBy>
  <cp:lastPrinted>2019-10-30T02:02:00Z</cp:lastPrinted>
  <dcterms:modified xsi:type="dcterms:W3CDTF">2024-06-17T02:12:24Z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EA422C5185F444C183A6BF250EF4FF97</vt:lpwstr>
  </property>
</Properties>
</file>