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eastAsia="黑体"/>
          <w:sz w:val="44"/>
          <w:szCs w:val="44"/>
        </w:rPr>
      </w:pPr>
      <w:r>
        <w:rPr>
          <w:rFonts w:hint="eastAsia" w:eastAsia="黑体"/>
          <w:sz w:val="44"/>
          <w:szCs w:val="44"/>
        </w:rPr>
        <w:t>安徽省第二人民医院专科医疗及科教功能区建设项目楼层配电箱采购项目</w:t>
      </w:r>
    </w:p>
    <w:p>
      <w:pPr>
        <w:spacing w:beforeLines="100" w:line="460" w:lineRule="exact"/>
        <w:ind w:firstLine="437"/>
        <w:jc w:val="center"/>
        <w:rPr>
          <w:rFonts w:hint="eastAsia" w:eastAsia="黑体"/>
          <w:sz w:val="32"/>
          <w:szCs w:val="32"/>
        </w:rPr>
      </w:pPr>
      <w:r>
        <w:rPr>
          <w:rFonts w:hint="eastAsia" w:eastAsia="黑体"/>
          <w:sz w:val="32"/>
          <w:szCs w:val="32"/>
        </w:rPr>
        <w:t>（招标编号：</w:t>
      </w:r>
      <w:r>
        <w:rPr>
          <w:rFonts w:hint="eastAsia" w:eastAsia="黑体"/>
          <w:sz w:val="32"/>
          <w:szCs w:val="32"/>
          <w:u w:val="single"/>
        </w:rPr>
        <w:t xml:space="preserve">      </w:t>
      </w:r>
      <w:r>
        <w:rPr>
          <w:rFonts w:hint="eastAsia" w:eastAsia="黑体"/>
          <w:sz w:val="32"/>
          <w:szCs w:val="32"/>
        </w:rPr>
        <w:t>）</w:t>
      </w:r>
    </w:p>
    <w:p>
      <w:pPr>
        <w:spacing w:line="540" w:lineRule="exact"/>
        <w:rPr>
          <w:rFonts w:hint="eastAsia"/>
          <w:szCs w:val="21"/>
        </w:rPr>
      </w:pPr>
    </w:p>
    <w:p>
      <w:pPr>
        <w:jc w:val="center"/>
        <w:rPr>
          <w:rFonts w:hint="eastAsia" w:eastAsia="黑体"/>
          <w:sz w:val="72"/>
          <w:szCs w:val="72"/>
        </w:rPr>
      </w:pPr>
    </w:p>
    <w:p>
      <w:pPr>
        <w:jc w:val="center"/>
        <w:rPr>
          <w:rFonts w:hint="eastAsia" w:eastAsia="黑体"/>
          <w:sz w:val="72"/>
          <w:szCs w:val="72"/>
        </w:rPr>
      </w:pPr>
      <w:r>
        <w:rPr>
          <w:rFonts w:hint="eastAsia" w:eastAsia="黑体"/>
          <w:sz w:val="72"/>
          <w:szCs w:val="72"/>
        </w:rPr>
        <w:t>招 标 文 件</w:t>
      </w:r>
    </w:p>
    <w:p>
      <w:pPr>
        <w:spacing w:line="540" w:lineRule="exact"/>
        <w:ind w:firstLine="437"/>
        <w:rPr>
          <w:rFonts w:hint="eastAsia"/>
          <w:szCs w:val="21"/>
        </w:rPr>
      </w:pPr>
    </w:p>
    <w:p>
      <w:pPr>
        <w:spacing w:line="540" w:lineRule="exact"/>
        <w:ind w:firstLine="437"/>
        <w:rPr>
          <w:rFonts w:hint="eastAsia"/>
          <w:szCs w:val="21"/>
        </w:rPr>
      </w:pPr>
    </w:p>
    <w:p>
      <w:pPr>
        <w:tabs>
          <w:tab w:val="left" w:pos="315"/>
          <w:tab w:val="left" w:pos="8820"/>
        </w:tabs>
        <w:ind w:right="267" w:rightChars="127"/>
        <w:jc w:val="center"/>
        <w:rPr>
          <w:rFonts w:ascii="仿宋_GB2312" w:eastAsia="仿宋_GB2312"/>
          <w:sz w:val="44"/>
        </w:rPr>
      </w:pPr>
      <w:r>
        <w:rPr>
          <w:rFonts w:ascii="仿宋_GB2312" w:eastAsia="仿宋_GB2312"/>
          <w:b/>
          <w:sz w:val="32"/>
        </w:rPr>
        <w:drawing>
          <wp:inline distT="0" distB="0" distL="0" distR="0">
            <wp:extent cx="1949450" cy="1871345"/>
            <wp:effectExtent l="19050" t="0" r="0" b="0"/>
            <wp:docPr id="1" name="图片 1" descr="中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心LOGO"/>
                    <pic:cNvPicPr>
                      <a:picLocks noChangeAspect="1" noChangeArrowheads="1"/>
                    </pic:cNvPicPr>
                  </pic:nvPicPr>
                  <pic:blipFill>
                    <a:blip r:embed="rId16" cstate="print"/>
                    <a:srcRect/>
                    <a:stretch>
                      <a:fillRect/>
                    </a:stretch>
                  </pic:blipFill>
                  <pic:spPr>
                    <a:xfrm>
                      <a:off x="0" y="0"/>
                      <a:ext cx="1949450" cy="1871345"/>
                    </a:xfrm>
                    <a:prstGeom prst="rect">
                      <a:avLst/>
                    </a:prstGeom>
                    <a:noFill/>
                    <a:ln w="9525" cmpd="sng">
                      <a:noFill/>
                      <a:miter lim="800000"/>
                      <a:headEnd/>
                      <a:tailEnd/>
                    </a:ln>
                  </pic:spPr>
                </pic:pic>
              </a:graphicData>
            </a:graphic>
          </wp:inline>
        </w:drawing>
      </w:r>
    </w:p>
    <w:p>
      <w:pPr>
        <w:spacing w:line="540" w:lineRule="exact"/>
        <w:ind w:firstLine="437"/>
        <w:rPr>
          <w:rFonts w:hint="eastAsia"/>
          <w:szCs w:val="21"/>
        </w:rPr>
      </w:pPr>
      <w:bookmarkStart w:id="527" w:name="_GoBack"/>
      <w:bookmarkEnd w:id="527"/>
    </w:p>
    <w:p>
      <w:pPr>
        <w:spacing w:line="540" w:lineRule="exact"/>
        <w:ind w:firstLine="437"/>
        <w:rPr>
          <w:rFonts w:hint="eastAsia"/>
          <w:szCs w:val="21"/>
        </w:rPr>
      </w:pPr>
    </w:p>
    <w:p>
      <w:pPr>
        <w:spacing w:line="360" w:lineRule="auto"/>
        <w:ind w:firstLine="437"/>
        <w:jc w:val="center"/>
        <w:rPr>
          <w:rFonts w:hint="eastAsia"/>
          <w:sz w:val="32"/>
          <w:szCs w:val="32"/>
        </w:rPr>
      </w:pPr>
      <w:r>
        <w:rPr>
          <w:rFonts w:hint="eastAsia" w:eastAsia="黑体"/>
          <w:sz w:val="32"/>
          <w:szCs w:val="32"/>
        </w:rPr>
        <w:t xml:space="preserve"> 招   标   人：</w:t>
      </w:r>
      <w:r>
        <w:rPr>
          <w:rFonts w:hint="eastAsia" w:eastAsia="黑体"/>
          <w:sz w:val="32"/>
          <w:szCs w:val="32"/>
          <w:u w:val="single"/>
        </w:rPr>
        <w:t>安徽省第二人民医院</w:t>
      </w:r>
      <w:r>
        <w:rPr>
          <w:rFonts w:hint="eastAsia"/>
          <w:sz w:val="32"/>
          <w:szCs w:val="32"/>
        </w:rPr>
        <w:t>（盖单位章）</w:t>
      </w:r>
    </w:p>
    <w:p>
      <w:pPr>
        <w:spacing w:line="360" w:lineRule="auto"/>
        <w:ind w:firstLine="437"/>
        <w:jc w:val="center"/>
        <w:rPr>
          <w:rFonts w:hint="eastAsia"/>
          <w:sz w:val="32"/>
          <w:szCs w:val="32"/>
        </w:rPr>
      </w:pPr>
      <w:r>
        <w:rPr>
          <w:rFonts w:hint="eastAsia" w:eastAsia="黑体"/>
          <w:sz w:val="32"/>
          <w:szCs w:val="32"/>
        </w:rPr>
        <w:t>招标代理机构：</w:t>
      </w:r>
      <w:r>
        <w:rPr>
          <w:rFonts w:hint="eastAsia" w:eastAsia="黑体"/>
          <w:sz w:val="32"/>
          <w:szCs w:val="32"/>
          <w:u w:val="single"/>
        </w:rPr>
        <w:t xml:space="preserve"> 大成工程咨询有限公司 </w:t>
      </w:r>
      <w:r>
        <w:rPr>
          <w:rFonts w:hint="eastAsia"/>
          <w:sz w:val="32"/>
          <w:szCs w:val="32"/>
        </w:rPr>
        <w:t>（盖单位章）</w:t>
      </w:r>
    </w:p>
    <w:p>
      <w:pPr>
        <w:spacing w:line="360" w:lineRule="auto"/>
        <w:ind w:firstLine="437"/>
        <w:jc w:val="center"/>
        <w:rPr>
          <w:rFonts w:hint="eastAsia"/>
          <w:sz w:val="32"/>
          <w:szCs w:val="32"/>
          <w:u w:val="single"/>
        </w:rPr>
      </w:pPr>
    </w:p>
    <w:p>
      <w:pPr>
        <w:spacing w:line="540" w:lineRule="exact"/>
        <w:ind w:firstLine="437"/>
        <w:jc w:val="center"/>
        <w:rPr>
          <w:sz w:val="32"/>
          <w:szCs w:val="32"/>
        </w:rPr>
      </w:pPr>
      <w:r>
        <w:rPr>
          <w:rFonts w:hint="eastAsia" w:eastAsia="黑体"/>
          <w:sz w:val="32"/>
          <w:szCs w:val="32"/>
        </w:rPr>
        <w:t>日    期</w:t>
      </w:r>
      <w:r>
        <w:rPr>
          <w:rFonts w:hint="eastAsia"/>
          <w:sz w:val="32"/>
          <w:szCs w:val="32"/>
        </w:rPr>
        <w:t>：</w:t>
      </w:r>
      <w:r>
        <w:rPr>
          <w:rFonts w:hint="eastAsia" w:eastAsia="黑体"/>
          <w:sz w:val="32"/>
          <w:szCs w:val="32"/>
          <w:u w:val="single"/>
        </w:rPr>
        <w:t>2022</w:t>
      </w:r>
      <w:r>
        <w:rPr>
          <w:rFonts w:hint="eastAsia"/>
          <w:sz w:val="32"/>
          <w:szCs w:val="32"/>
        </w:rPr>
        <w:t>年</w:t>
      </w:r>
      <w:r>
        <w:rPr>
          <w:rFonts w:hint="eastAsia" w:eastAsia="黑体"/>
          <w:sz w:val="32"/>
          <w:szCs w:val="32"/>
          <w:u w:val="single"/>
        </w:rPr>
        <w:t xml:space="preserve"> 12</w:t>
      </w:r>
      <w:r>
        <w:rPr>
          <w:rFonts w:hint="eastAsia"/>
          <w:sz w:val="32"/>
          <w:szCs w:val="32"/>
        </w:rPr>
        <w:t>月</w:t>
      </w:r>
      <w:r>
        <w:rPr>
          <w:rFonts w:hint="eastAsia" w:eastAsia="黑体"/>
          <w:sz w:val="32"/>
          <w:szCs w:val="32"/>
          <w:u w:val="single"/>
        </w:rPr>
        <w:t xml:space="preserve">   </w:t>
      </w:r>
      <w:r>
        <w:rPr>
          <w:rFonts w:hint="eastAsia"/>
          <w:sz w:val="32"/>
          <w:szCs w:val="32"/>
        </w:rPr>
        <w:t>日</w:t>
      </w:r>
    </w:p>
    <w:p>
      <w:pPr>
        <w:spacing w:afterLines="150" w:line="540" w:lineRule="exact"/>
        <w:ind w:firstLine="437"/>
        <w:jc w:val="center"/>
        <w:rPr>
          <w:rFonts w:hint="eastAsia"/>
          <w:b/>
          <w:sz w:val="52"/>
          <w:szCs w:val="52"/>
        </w:rPr>
      </w:pPr>
      <w:r>
        <w:rPr>
          <w:b/>
          <w:sz w:val="52"/>
          <w:szCs w:val="52"/>
        </w:rPr>
        <w:br w:type="page"/>
      </w:r>
      <w:r>
        <w:rPr>
          <w:rFonts w:hint="eastAsia"/>
          <w:b/>
          <w:sz w:val="52"/>
          <w:szCs w:val="52"/>
        </w:rPr>
        <w:t>目  录</w:t>
      </w:r>
    </w:p>
    <w:p>
      <w:pPr>
        <w:pStyle w:val="35"/>
        <w:tabs>
          <w:tab w:val="right" w:leader="dot" w:pos="8949"/>
        </w:tabs>
        <w:spacing w:line="480" w:lineRule="exact"/>
        <w:rPr>
          <w:rFonts w:ascii="Times New Roman" w:hAnsi="Times New Roman" w:eastAsia="黑体" w:cs="Times New Roman"/>
          <w:b w:val="0"/>
          <w:bCs w:val="0"/>
          <w:caps w:val="0"/>
          <w:sz w:val="21"/>
          <w:szCs w:val="22"/>
          <w:lang w:val="en-US" w:eastAsia="zh-CN"/>
        </w:rPr>
      </w:pPr>
      <w:r>
        <w:rPr>
          <w:rFonts w:ascii="Times New Roman" w:hAnsi="Times New Roman" w:cs="Times New Roman"/>
        </w:rPr>
        <w:fldChar w:fldCharType="begin"/>
      </w:r>
      <w:r>
        <w:rPr>
          <w:rFonts w:ascii="Times New Roman" w:hAnsi="Times New Roman" w:cs="Times New Roman"/>
        </w:rPr>
        <w:instrText xml:space="preserve"> TOC \o "1-2" \h \z \u </w:instrText>
      </w:r>
      <w:r>
        <w:rPr>
          <w:rFonts w:ascii="Times New Roman" w:hAnsi="Times New Roman" w:cs="Times New Roman"/>
        </w:rPr>
        <w:fldChar w:fldCharType="separate"/>
      </w:r>
      <w:r>
        <w:fldChar w:fldCharType="begin"/>
      </w:r>
      <w:r>
        <w:instrText xml:space="preserve"> HYPERLINK \l "_Toc26781045" </w:instrText>
      </w:r>
      <w:r>
        <w:fldChar w:fldCharType="separate"/>
      </w:r>
      <w:r>
        <w:rPr>
          <w:rStyle w:val="62"/>
          <w:rFonts w:hint="eastAsia" w:ascii="Times New Roman" w:hAnsi="Times New Roman"/>
          <w:color w:val="000000"/>
          <w:lang w:val="en-US" w:eastAsia="zh-CN"/>
        </w:rPr>
        <w:t>第一章</w:t>
      </w:r>
      <w:r>
        <w:rPr>
          <w:rStyle w:val="62"/>
          <w:rFonts w:ascii="Times New Roman" w:hAnsi="Times New Roman"/>
          <w:color w:val="000000"/>
          <w:lang w:val="en-US" w:eastAsia="zh-CN"/>
        </w:rPr>
        <w:t xml:space="preserve">  </w:t>
      </w:r>
      <w:r>
        <w:rPr>
          <w:rStyle w:val="62"/>
          <w:rFonts w:hint="eastAsia" w:ascii="Times New Roman" w:hAnsi="Times New Roman"/>
          <w:color w:val="000000"/>
          <w:lang w:val="en-US" w:eastAsia="zh-CN"/>
        </w:rPr>
        <w:t>招标公告</w:t>
      </w:r>
      <w:r>
        <w:rPr>
          <w:rFonts w:ascii="Times New Roman" w:hAnsi="Times New Roman" w:eastAsia="黑体"/>
          <w:lang w:val="en-US" w:eastAsia="zh-CN"/>
        </w:rPr>
        <w:tab/>
      </w:r>
      <w:r>
        <w:rPr>
          <w:rFonts w:ascii="Times New Roman" w:hAnsi="Times New Roman" w:eastAsia="黑体"/>
          <w:lang w:val="en-US" w:eastAsia="zh-CN"/>
        </w:rPr>
        <w:fldChar w:fldCharType="begin"/>
      </w:r>
      <w:r>
        <w:rPr>
          <w:rFonts w:ascii="Times New Roman" w:hAnsi="Times New Roman" w:eastAsia="黑体"/>
          <w:lang w:val="en-US" w:eastAsia="zh-CN"/>
        </w:rPr>
        <w:instrText xml:space="preserve"> PAGEREF _Toc26781045 \h </w:instrText>
      </w:r>
      <w:r>
        <w:rPr>
          <w:rFonts w:ascii="Times New Roman" w:hAnsi="Times New Roman" w:eastAsia="黑体"/>
          <w:lang w:val="en-US" w:eastAsia="zh-CN"/>
        </w:rPr>
        <w:fldChar w:fldCharType="separate"/>
      </w:r>
      <w:r>
        <w:rPr>
          <w:rFonts w:ascii="Times New Roman" w:hAnsi="Times New Roman" w:eastAsia="黑体"/>
          <w:lang w:val="en-US" w:eastAsia="zh-CN"/>
        </w:rPr>
        <w:t>3</w:t>
      </w:r>
      <w:r>
        <w:rPr>
          <w:rFonts w:ascii="Times New Roman" w:hAnsi="Times New Roman" w:eastAsia="黑体"/>
          <w:lang w:val="en-US" w:eastAsia="zh-CN"/>
        </w:rPr>
        <w:fldChar w:fldCharType="end"/>
      </w:r>
      <w:r>
        <w:rPr>
          <w:rFonts w:ascii="Times New Roman" w:hAnsi="Times New Roman" w:eastAsia="黑体"/>
          <w:lang w:val="en-US" w:eastAsia="zh-CN"/>
        </w:rPr>
        <w:fldChar w:fldCharType="end"/>
      </w:r>
    </w:p>
    <w:p>
      <w:pPr>
        <w:pStyle w:val="35"/>
        <w:tabs>
          <w:tab w:val="right" w:leader="dot" w:pos="8949"/>
        </w:tabs>
        <w:spacing w:line="480" w:lineRule="exact"/>
        <w:rPr>
          <w:rFonts w:ascii="Times New Roman" w:hAnsi="Times New Roman" w:eastAsia="黑体" w:cs="Times New Roman"/>
          <w:b w:val="0"/>
          <w:bCs w:val="0"/>
          <w:caps w:val="0"/>
          <w:sz w:val="21"/>
          <w:szCs w:val="22"/>
          <w:lang w:val="en-US" w:eastAsia="zh-CN"/>
        </w:rPr>
      </w:pPr>
      <w:r>
        <w:fldChar w:fldCharType="begin"/>
      </w:r>
      <w:r>
        <w:instrText xml:space="preserve"> HYPERLINK \l "_Toc26781046" </w:instrText>
      </w:r>
      <w:r>
        <w:fldChar w:fldCharType="separate"/>
      </w:r>
      <w:r>
        <w:rPr>
          <w:rStyle w:val="62"/>
          <w:rFonts w:hint="eastAsia" w:ascii="Times New Roman" w:hAnsi="Times New Roman"/>
          <w:color w:val="000000"/>
          <w:lang w:val="en-US" w:eastAsia="zh-CN"/>
        </w:rPr>
        <w:t>第二章</w:t>
      </w:r>
      <w:r>
        <w:rPr>
          <w:rStyle w:val="62"/>
          <w:rFonts w:ascii="Times New Roman" w:hAnsi="Times New Roman"/>
          <w:color w:val="000000"/>
          <w:lang w:val="en-US" w:eastAsia="zh-CN"/>
        </w:rPr>
        <w:t xml:space="preserve">  </w:t>
      </w:r>
      <w:r>
        <w:rPr>
          <w:rStyle w:val="62"/>
          <w:rFonts w:hint="eastAsia" w:ascii="Times New Roman" w:hAnsi="Times New Roman"/>
          <w:color w:val="000000"/>
          <w:lang w:val="en-US" w:eastAsia="zh-CN"/>
        </w:rPr>
        <w:t>投标人须知</w:t>
      </w:r>
      <w:r>
        <w:rPr>
          <w:rFonts w:ascii="Times New Roman" w:hAnsi="Times New Roman" w:eastAsia="黑体"/>
          <w:lang w:val="en-US" w:eastAsia="zh-CN"/>
        </w:rPr>
        <w:tab/>
      </w:r>
      <w:r>
        <w:rPr>
          <w:rFonts w:ascii="Times New Roman" w:hAnsi="Times New Roman" w:eastAsia="黑体"/>
          <w:lang w:val="en-US" w:eastAsia="zh-CN"/>
        </w:rPr>
        <w:fldChar w:fldCharType="begin"/>
      </w:r>
      <w:r>
        <w:rPr>
          <w:rFonts w:ascii="Times New Roman" w:hAnsi="Times New Roman" w:eastAsia="黑体"/>
          <w:lang w:val="en-US" w:eastAsia="zh-CN"/>
        </w:rPr>
        <w:instrText xml:space="preserve"> PAGEREF _Toc26781046 \h </w:instrText>
      </w:r>
      <w:r>
        <w:rPr>
          <w:rFonts w:ascii="Times New Roman" w:hAnsi="Times New Roman" w:eastAsia="黑体"/>
          <w:lang w:val="en-US" w:eastAsia="zh-CN"/>
        </w:rPr>
        <w:fldChar w:fldCharType="separate"/>
      </w:r>
      <w:r>
        <w:rPr>
          <w:rFonts w:ascii="Times New Roman" w:hAnsi="Times New Roman" w:eastAsia="黑体"/>
          <w:lang w:val="en-US" w:eastAsia="zh-CN"/>
        </w:rPr>
        <w:t>3</w:t>
      </w:r>
      <w:r>
        <w:rPr>
          <w:rFonts w:ascii="Times New Roman" w:hAnsi="Times New Roman" w:eastAsia="黑体"/>
          <w:lang w:val="en-US" w:eastAsia="zh-CN"/>
        </w:rPr>
        <w:fldChar w:fldCharType="end"/>
      </w:r>
      <w:r>
        <w:rPr>
          <w:rFonts w:ascii="Times New Roman" w:hAnsi="Times New Roman" w:eastAsia="黑体"/>
          <w:lang w:val="en-US" w:eastAsia="zh-CN"/>
        </w:rPr>
        <w:fldChar w:fldCharType="end"/>
      </w:r>
    </w:p>
    <w:p>
      <w:pPr>
        <w:pStyle w:val="45"/>
        <w:spacing w:line="480" w:lineRule="exact"/>
        <w:rPr>
          <w:rFonts w:ascii="Times New Roman" w:hAnsi="Times New Roman" w:cs="Times New Roman"/>
          <w:smallCaps w:val="0"/>
          <w:sz w:val="21"/>
          <w:szCs w:val="22"/>
        </w:rPr>
      </w:pPr>
      <w:r>
        <w:fldChar w:fldCharType="begin"/>
      </w:r>
      <w:r>
        <w:instrText xml:space="preserve"> HYPERLINK \l "_Toc26781047" </w:instrText>
      </w:r>
      <w:r>
        <w:fldChar w:fldCharType="separate"/>
      </w:r>
      <w:r>
        <w:rPr>
          <w:rStyle w:val="62"/>
          <w:rFonts w:hint="eastAsia" w:ascii="Times New Roman" w:hAnsi="Times New Roman" w:eastAsia="宋体"/>
          <w:color w:val="000000"/>
        </w:rPr>
        <w:t>投标人须知前附表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_Toc26781047 \h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Fonts w:ascii="Times New Roman" w:hAnsi="Times New Roman"/>
        </w:rPr>
        <w:fldChar w:fldCharType="end"/>
      </w:r>
    </w:p>
    <w:p>
      <w:pPr>
        <w:pStyle w:val="35"/>
        <w:tabs>
          <w:tab w:val="right" w:leader="dot" w:pos="8949"/>
        </w:tabs>
        <w:spacing w:line="480" w:lineRule="exact"/>
        <w:rPr>
          <w:rFonts w:ascii="Times New Roman" w:hAnsi="Times New Roman" w:eastAsia="黑体" w:cs="Times New Roman"/>
          <w:b w:val="0"/>
          <w:bCs w:val="0"/>
          <w:caps w:val="0"/>
          <w:sz w:val="21"/>
          <w:szCs w:val="22"/>
          <w:lang w:val="en-US" w:eastAsia="zh-CN"/>
        </w:rPr>
      </w:pPr>
      <w:r>
        <w:fldChar w:fldCharType="begin"/>
      </w:r>
      <w:r>
        <w:instrText xml:space="preserve"> HYPERLINK \l "_Toc26781063" </w:instrText>
      </w:r>
      <w:r>
        <w:fldChar w:fldCharType="separate"/>
      </w:r>
      <w:r>
        <w:rPr>
          <w:rStyle w:val="62"/>
          <w:rFonts w:hint="eastAsia" w:ascii="Times New Roman" w:hAnsi="Times New Roman"/>
          <w:color w:val="000000"/>
          <w:lang w:val="en-US" w:eastAsia="zh-CN"/>
        </w:rPr>
        <w:t>附件：合肥市公共资源交易电子招标投标操作规程</w:t>
      </w:r>
      <w:r>
        <w:rPr>
          <w:rFonts w:ascii="Times New Roman" w:hAnsi="Times New Roman" w:eastAsia="黑体"/>
          <w:lang w:val="en-US" w:eastAsia="zh-CN"/>
        </w:rPr>
        <w:tab/>
      </w:r>
      <w:r>
        <w:rPr>
          <w:rFonts w:ascii="Times New Roman" w:hAnsi="Times New Roman" w:eastAsia="黑体"/>
          <w:lang w:val="en-US" w:eastAsia="zh-CN"/>
        </w:rPr>
        <w:fldChar w:fldCharType="begin"/>
      </w:r>
      <w:r>
        <w:rPr>
          <w:rFonts w:ascii="Times New Roman" w:hAnsi="Times New Roman" w:eastAsia="黑体"/>
          <w:lang w:val="en-US" w:eastAsia="zh-CN"/>
        </w:rPr>
        <w:instrText xml:space="preserve"> PAGEREF _Toc26781063 \h </w:instrText>
      </w:r>
      <w:r>
        <w:rPr>
          <w:rFonts w:ascii="Times New Roman" w:hAnsi="Times New Roman" w:eastAsia="黑体"/>
          <w:lang w:val="en-US" w:eastAsia="zh-CN"/>
        </w:rPr>
        <w:fldChar w:fldCharType="separate"/>
      </w:r>
      <w:r>
        <w:rPr>
          <w:rFonts w:ascii="Times New Roman" w:hAnsi="Times New Roman" w:eastAsia="黑体"/>
          <w:lang w:val="en-US" w:eastAsia="zh-CN"/>
        </w:rPr>
        <w:t>36</w:t>
      </w:r>
      <w:r>
        <w:rPr>
          <w:rFonts w:ascii="Times New Roman" w:hAnsi="Times New Roman" w:eastAsia="黑体"/>
          <w:lang w:val="en-US" w:eastAsia="zh-CN"/>
        </w:rPr>
        <w:fldChar w:fldCharType="end"/>
      </w:r>
      <w:r>
        <w:rPr>
          <w:rFonts w:ascii="Times New Roman" w:hAnsi="Times New Roman" w:eastAsia="黑体"/>
          <w:lang w:val="en-US" w:eastAsia="zh-CN"/>
        </w:rPr>
        <w:fldChar w:fldCharType="end"/>
      </w:r>
    </w:p>
    <w:p>
      <w:pPr>
        <w:pStyle w:val="35"/>
        <w:tabs>
          <w:tab w:val="right" w:leader="dot" w:pos="8949"/>
        </w:tabs>
        <w:spacing w:line="480" w:lineRule="exact"/>
        <w:rPr>
          <w:rFonts w:ascii="Times New Roman" w:hAnsi="Times New Roman" w:cs="Times New Roman"/>
          <w:smallCaps/>
          <w:sz w:val="21"/>
          <w:szCs w:val="22"/>
        </w:rPr>
      </w:pPr>
      <w:r>
        <w:fldChar w:fldCharType="begin"/>
      </w:r>
      <w:r>
        <w:instrText xml:space="preserve"> HYPERLINK \l "_Toc26781064" </w:instrText>
      </w:r>
      <w:r>
        <w:fldChar w:fldCharType="separate"/>
      </w:r>
      <w:r>
        <w:rPr>
          <w:rStyle w:val="62"/>
          <w:rFonts w:hint="eastAsia" w:ascii="Times New Roman" w:hAnsi="Times New Roman"/>
          <w:color w:val="000000"/>
          <w:lang w:val="en-US" w:eastAsia="zh-CN"/>
        </w:rPr>
        <w:t>第三章</w:t>
      </w:r>
      <w:r>
        <w:rPr>
          <w:rStyle w:val="62"/>
          <w:rFonts w:ascii="Times New Roman" w:hAnsi="Times New Roman"/>
          <w:color w:val="000000"/>
          <w:lang w:val="en-US" w:eastAsia="zh-CN"/>
        </w:rPr>
        <w:t xml:space="preserve">  </w:t>
      </w:r>
      <w:r>
        <w:rPr>
          <w:rStyle w:val="62"/>
          <w:rFonts w:hint="eastAsia" w:ascii="Times New Roman" w:hAnsi="Times New Roman"/>
          <w:color w:val="000000"/>
          <w:lang w:val="en-US" w:eastAsia="zh-CN"/>
        </w:rPr>
        <w:t>评标办法</w:t>
      </w:r>
      <w:r>
        <w:rPr>
          <w:rStyle w:val="62"/>
          <w:rFonts w:ascii="Times New Roman" w:hAnsi="Times New Roman"/>
          <w:color w:val="000000"/>
          <w:lang w:val="en-US" w:eastAsia="zh-CN"/>
        </w:rPr>
        <w:t xml:space="preserve"> </w:t>
      </w:r>
      <w:r>
        <w:rPr>
          <w:rStyle w:val="62"/>
          <w:rFonts w:hint="eastAsia" w:ascii="Times New Roman" w:hAnsi="Times New Roman"/>
          <w:color w:val="000000"/>
          <w:lang w:val="en-US" w:eastAsia="zh-CN"/>
        </w:rPr>
        <w:t>（第一种：</w:t>
      </w:r>
      <w:r>
        <w:rPr>
          <w:rStyle w:val="62"/>
          <w:rFonts w:hint="eastAsia" w:ascii="Times New Roman" w:hAnsi="Times New Roman"/>
          <w:color w:val="000000"/>
        </w:rPr>
        <w:t>综合评估法（一次平均）</w:t>
      </w:r>
      <w:r>
        <w:rPr>
          <w:rStyle w:val="62"/>
          <w:rFonts w:hint="eastAsia" w:ascii="Times New Roman" w:hAnsi="Times New Roman"/>
          <w:color w:val="000000"/>
          <w:lang w:val="en-US" w:eastAsia="zh-CN"/>
        </w:rPr>
        <w:t>）</w:t>
      </w:r>
      <w:r>
        <w:rPr>
          <w:rFonts w:ascii="Times New Roman" w:hAnsi="Times New Roman" w:eastAsia="黑体"/>
          <w:lang w:val="en-US" w:eastAsia="zh-CN"/>
        </w:rPr>
        <w:tab/>
      </w:r>
      <w:r>
        <w:rPr>
          <w:rFonts w:ascii="Times New Roman" w:hAnsi="Times New Roman" w:eastAsia="黑体"/>
          <w:lang w:val="en-US" w:eastAsia="zh-CN"/>
        </w:rPr>
        <w:fldChar w:fldCharType="begin"/>
      </w:r>
      <w:r>
        <w:rPr>
          <w:rFonts w:ascii="Times New Roman" w:hAnsi="Times New Roman" w:eastAsia="黑体"/>
          <w:lang w:val="en-US" w:eastAsia="zh-CN"/>
        </w:rPr>
        <w:instrText xml:space="preserve"> PAGEREF _Toc26781064 \h </w:instrText>
      </w:r>
      <w:r>
        <w:rPr>
          <w:rFonts w:ascii="Times New Roman" w:hAnsi="Times New Roman" w:eastAsia="黑体"/>
          <w:lang w:val="en-US" w:eastAsia="zh-CN"/>
        </w:rPr>
        <w:fldChar w:fldCharType="separate"/>
      </w:r>
      <w:r>
        <w:rPr>
          <w:rFonts w:ascii="Times New Roman" w:hAnsi="Times New Roman" w:eastAsia="黑体"/>
          <w:lang w:val="en-US" w:eastAsia="zh-CN"/>
        </w:rPr>
        <w:t>39</w:t>
      </w:r>
      <w:r>
        <w:rPr>
          <w:rFonts w:ascii="Times New Roman" w:hAnsi="Times New Roman" w:eastAsia="黑体"/>
          <w:lang w:val="en-US" w:eastAsia="zh-CN"/>
        </w:rPr>
        <w:fldChar w:fldCharType="end"/>
      </w:r>
      <w:r>
        <w:rPr>
          <w:rFonts w:ascii="Times New Roman" w:hAnsi="Times New Roman" w:eastAsia="黑体"/>
          <w:lang w:val="en-US" w:eastAsia="zh-CN"/>
        </w:rPr>
        <w:fldChar w:fldCharType="end"/>
      </w:r>
    </w:p>
    <w:p>
      <w:pPr>
        <w:pStyle w:val="35"/>
        <w:tabs>
          <w:tab w:val="right" w:leader="dot" w:pos="8949"/>
        </w:tabs>
        <w:spacing w:line="480" w:lineRule="exact"/>
        <w:rPr>
          <w:rFonts w:ascii="Times New Roman" w:hAnsi="Times New Roman" w:eastAsia="黑体" w:cs="Times New Roman"/>
          <w:b w:val="0"/>
          <w:bCs w:val="0"/>
          <w:caps w:val="0"/>
          <w:sz w:val="21"/>
          <w:szCs w:val="22"/>
          <w:lang w:val="en-US" w:eastAsia="zh-CN"/>
        </w:rPr>
      </w:pPr>
      <w:r>
        <w:fldChar w:fldCharType="begin"/>
      </w:r>
      <w:r>
        <w:instrText xml:space="preserve"> HYPERLINK \l "_Toc26781084" </w:instrText>
      </w:r>
      <w:r>
        <w:fldChar w:fldCharType="separate"/>
      </w:r>
      <w:r>
        <w:rPr>
          <w:rStyle w:val="62"/>
          <w:rFonts w:hint="eastAsia" w:ascii="Times New Roman" w:hAnsi="Times New Roman"/>
          <w:color w:val="000000"/>
          <w:lang w:val="en-US" w:eastAsia="zh-CN"/>
        </w:rPr>
        <w:t>第四章</w:t>
      </w:r>
      <w:r>
        <w:rPr>
          <w:rStyle w:val="62"/>
          <w:rFonts w:ascii="Times New Roman" w:hAnsi="Times New Roman"/>
          <w:color w:val="000000"/>
          <w:lang w:val="en-US" w:eastAsia="zh-CN"/>
        </w:rPr>
        <w:t xml:space="preserve">  </w:t>
      </w:r>
      <w:r>
        <w:rPr>
          <w:rStyle w:val="62"/>
          <w:rFonts w:hint="eastAsia" w:ascii="Times New Roman" w:hAnsi="Times New Roman"/>
          <w:color w:val="000000"/>
          <w:lang w:val="en-US" w:eastAsia="zh-CN"/>
        </w:rPr>
        <w:t>合同条款及格式</w:t>
      </w:r>
      <w:r>
        <w:rPr>
          <w:rFonts w:ascii="Times New Roman" w:hAnsi="Times New Roman" w:eastAsia="黑体"/>
          <w:lang w:val="en-US" w:eastAsia="zh-CN"/>
        </w:rPr>
        <w:tab/>
      </w:r>
      <w:r>
        <w:rPr>
          <w:rFonts w:ascii="Times New Roman" w:hAnsi="Times New Roman" w:eastAsia="黑体"/>
          <w:lang w:val="en-US" w:eastAsia="zh-CN"/>
        </w:rPr>
        <w:fldChar w:fldCharType="begin"/>
      </w:r>
      <w:r>
        <w:rPr>
          <w:rFonts w:ascii="Times New Roman" w:hAnsi="Times New Roman" w:eastAsia="黑体"/>
          <w:lang w:val="en-US" w:eastAsia="zh-CN"/>
        </w:rPr>
        <w:instrText xml:space="preserve"> PAGEREF _Toc26781084 \h </w:instrText>
      </w:r>
      <w:r>
        <w:rPr>
          <w:rFonts w:ascii="Times New Roman" w:hAnsi="Times New Roman" w:eastAsia="黑体"/>
          <w:lang w:val="en-US" w:eastAsia="zh-CN"/>
        </w:rPr>
        <w:fldChar w:fldCharType="separate"/>
      </w:r>
      <w:r>
        <w:rPr>
          <w:rFonts w:ascii="Times New Roman" w:hAnsi="Times New Roman" w:eastAsia="黑体"/>
          <w:lang w:val="en-US" w:eastAsia="zh-CN"/>
        </w:rPr>
        <w:t>49</w:t>
      </w:r>
      <w:r>
        <w:rPr>
          <w:rFonts w:ascii="Times New Roman" w:hAnsi="Times New Roman" w:eastAsia="黑体"/>
          <w:lang w:val="en-US" w:eastAsia="zh-CN"/>
        </w:rPr>
        <w:fldChar w:fldCharType="end"/>
      </w:r>
      <w:r>
        <w:rPr>
          <w:rFonts w:ascii="Times New Roman" w:hAnsi="Times New Roman" w:eastAsia="黑体"/>
          <w:lang w:val="en-US" w:eastAsia="zh-CN"/>
        </w:rPr>
        <w:fldChar w:fldCharType="end"/>
      </w:r>
    </w:p>
    <w:p>
      <w:pPr>
        <w:pStyle w:val="35"/>
        <w:tabs>
          <w:tab w:val="right" w:leader="dot" w:pos="8949"/>
        </w:tabs>
        <w:spacing w:line="480" w:lineRule="exact"/>
        <w:rPr>
          <w:rFonts w:ascii="Times New Roman" w:hAnsi="Times New Roman" w:cs="Times New Roman"/>
          <w:smallCaps/>
          <w:sz w:val="21"/>
          <w:szCs w:val="22"/>
        </w:rPr>
      </w:pPr>
      <w:r>
        <w:fldChar w:fldCharType="begin"/>
      </w:r>
      <w:r>
        <w:instrText xml:space="preserve"> HYPERLINK \l "_Toc26781111" </w:instrText>
      </w:r>
      <w:r>
        <w:fldChar w:fldCharType="separate"/>
      </w:r>
      <w:r>
        <w:rPr>
          <w:rStyle w:val="62"/>
          <w:rFonts w:hint="eastAsia" w:ascii="Times New Roman" w:hAnsi="Times New Roman"/>
          <w:color w:val="000000"/>
          <w:kern w:val="44"/>
          <w:lang w:val="en-US" w:eastAsia="zh-CN"/>
        </w:rPr>
        <w:t>第五章</w:t>
      </w:r>
      <w:r>
        <w:rPr>
          <w:rStyle w:val="62"/>
          <w:rFonts w:ascii="Times New Roman" w:hAnsi="Times New Roman"/>
          <w:color w:val="000000"/>
          <w:kern w:val="44"/>
          <w:lang w:val="en-US" w:eastAsia="zh-CN"/>
        </w:rPr>
        <w:t xml:space="preserve">  </w:t>
      </w:r>
      <w:r>
        <w:rPr>
          <w:rStyle w:val="62"/>
          <w:rFonts w:hint="eastAsia" w:ascii="Times New Roman" w:hAnsi="Times New Roman"/>
          <w:color w:val="000000"/>
          <w:kern w:val="44"/>
          <w:lang w:val="en-US" w:eastAsia="zh-CN"/>
        </w:rPr>
        <w:t>供货要求</w:t>
      </w:r>
      <w:r>
        <w:rPr>
          <w:rFonts w:ascii="Times New Roman" w:hAnsi="Times New Roman" w:eastAsia="黑体"/>
          <w:lang w:val="en-US" w:eastAsia="zh-CN"/>
        </w:rPr>
        <w:tab/>
      </w:r>
      <w:r>
        <w:rPr>
          <w:rFonts w:ascii="Times New Roman" w:hAnsi="Times New Roman" w:eastAsia="黑体"/>
          <w:lang w:val="en-US" w:eastAsia="zh-CN"/>
        </w:rPr>
        <w:fldChar w:fldCharType="begin"/>
      </w:r>
      <w:r>
        <w:rPr>
          <w:rFonts w:ascii="Times New Roman" w:hAnsi="Times New Roman" w:eastAsia="黑体"/>
          <w:lang w:val="en-US" w:eastAsia="zh-CN"/>
        </w:rPr>
        <w:instrText xml:space="preserve"> PAGEREF _Toc26781111 \h </w:instrText>
      </w:r>
      <w:r>
        <w:rPr>
          <w:rFonts w:ascii="Times New Roman" w:hAnsi="Times New Roman" w:eastAsia="黑体"/>
          <w:lang w:val="en-US" w:eastAsia="zh-CN"/>
        </w:rPr>
        <w:fldChar w:fldCharType="separate"/>
      </w:r>
      <w:r>
        <w:rPr>
          <w:rFonts w:ascii="Times New Roman" w:hAnsi="Times New Roman" w:eastAsia="黑体"/>
          <w:lang w:val="en-US" w:eastAsia="zh-CN"/>
        </w:rPr>
        <w:t>77</w:t>
      </w:r>
      <w:r>
        <w:rPr>
          <w:rFonts w:ascii="Times New Roman" w:hAnsi="Times New Roman" w:eastAsia="黑体"/>
          <w:lang w:val="en-US" w:eastAsia="zh-CN"/>
        </w:rPr>
        <w:fldChar w:fldCharType="end"/>
      </w:r>
      <w:r>
        <w:rPr>
          <w:rFonts w:ascii="Times New Roman" w:hAnsi="Times New Roman" w:eastAsia="黑体"/>
          <w:lang w:val="en-US" w:eastAsia="zh-CN"/>
        </w:rPr>
        <w:fldChar w:fldCharType="end"/>
      </w:r>
    </w:p>
    <w:p>
      <w:pPr>
        <w:pStyle w:val="35"/>
        <w:tabs>
          <w:tab w:val="right" w:leader="dot" w:pos="8949"/>
        </w:tabs>
        <w:spacing w:line="480" w:lineRule="exact"/>
        <w:rPr>
          <w:rFonts w:ascii="Times New Roman" w:hAnsi="Times New Roman" w:eastAsia="黑体" w:cs="Times New Roman"/>
          <w:b w:val="0"/>
          <w:bCs w:val="0"/>
          <w:caps w:val="0"/>
          <w:sz w:val="21"/>
          <w:szCs w:val="22"/>
          <w:lang w:val="en-US" w:eastAsia="zh-CN"/>
        </w:rPr>
      </w:pPr>
      <w:r>
        <w:fldChar w:fldCharType="begin"/>
      </w:r>
      <w:r>
        <w:instrText xml:space="preserve"> HYPERLINK \l "_Toc26781118" </w:instrText>
      </w:r>
      <w:r>
        <w:fldChar w:fldCharType="separate"/>
      </w:r>
      <w:r>
        <w:rPr>
          <w:rStyle w:val="62"/>
          <w:rFonts w:hint="eastAsia" w:ascii="Times New Roman" w:hAnsi="Times New Roman"/>
          <w:color w:val="000000"/>
          <w:kern w:val="44"/>
          <w:lang w:val="en-US" w:eastAsia="zh-CN"/>
        </w:rPr>
        <w:t>第六章</w:t>
      </w:r>
      <w:r>
        <w:rPr>
          <w:rStyle w:val="62"/>
          <w:rFonts w:ascii="Times New Roman" w:hAnsi="Times New Roman"/>
          <w:color w:val="000000"/>
          <w:kern w:val="44"/>
          <w:lang w:val="en-US" w:eastAsia="zh-CN"/>
        </w:rPr>
        <w:t xml:space="preserve">  </w:t>
      </w:r>
      <w:r>
        <w:rPr>
          <w:rStyle w:val="62"/>
          <w:rFonts w:hint="eastAsia" w:ascii="Times New Roman" w:hAnsi="Times New Roman"/>
          <w:color w:val="000000"/>
          <w:kern w:val="44"/>
          <w:lang w:val="en-US" w:eastAsia="zh-CN"/>
        </w:rPr>
        <w:t>投标文件格式</w:t>
      </w:r>
      <w:r>
        <w:rPr>
          <w:rFonts w:ascii="Times New Roman" w:hAnsi="Times New Roman" w:eastAsia="黑体"/>
          <w:lang w:val="en-US" w:eastAsia="zh-CN"/>
        </w:rPr>
        <w:tab/>
      </w:r>
      <w:r>
        <w:rPr>
          <w:rFonts w:ascii="Times New Roman" w:hAnsi="Times New Roman" w:eastAsia="黑体"/>
          <w:lang w:val="en-US" w:eastAsia="zh-CN"/>
        </w:rPr>
        <w:fldChar w:fldCharType="begin"/>
      </w:r>
      <w:r>
        <w:rPr>
          <w:rFonts w:ascii="Times New Roman" w:hAnsi="Times New Roman" w:eastAsia="黑体"/>
          <w:lang w:val="en-US" w:eastAsia="zh-CN"/>
        </w:rPr>
        <w:instrText xml:space="preserve"> PAGEREF _Toc26781118 \h </w:instrText>
      </w:r>
      <w:r>
        <w:rPr>
          <w:rFonts w:ascii="Times New Roman" w:hAnsi="Times New Roman" w:eastAsia="黑体"/>
          <w:lang w:val="en-US" w:eastAsia="zh-CN"/>
        </w:rPr>
        <w:fldChar w:fldCharType="separate"/>
      </w:r>
      <w:r>
        <w:rPr>
          <w:rFonts w:ascii="Times New Roman" w:hAnsi="Times New Roman" w:eastAsia="黑体"/>
          <w:lang w:val="en-US" w:eastAsia="zh-CN"/>
        </w:rPr>
        <w:t>78</w:t>
      </w:r>
      <w:r>
        <w:rPr>
          <w:rFonts w:ascii="Times New Roman" w:hAnsi="Times New Roman" w:eastAsia="黑体"/>
          <w:lang w:val="en-US" w:eastAsia="zh-CN"/>
        </w:rPr>
        <w:fldChar w:fldCharType="end"/>
      </w:r>
      <w:r>
        <w:rPr>
          <w:rFonts w:ascii="Times New Roman" w:hAnsi="Times New Roman" w:eastAsia="黑体"/>
          <w:lang w:val="en-US" w:eastAsia="zh-CN"/>
        </w:rPr>
        <w:fldChar w:fldCharType="end"/>
      </w:r>
    </w:p>
    <w:p>
      <w:pPr>
        <w:pStyle w:val="45"/>
        <w:spacing w:line="480" w:lineRule="exact"/>
        <w:rPr>
          <w:rFonts w:ascii="Times New Roman" w:hAnsi="Times New Roman" w:cs="Times New Roman"/>
          <w:smallCaps w:val="0"/>
          <w:sz w:val="21"/>
          <w:szCs w:val="22"/>
        </w:rPr>
      </w:pPr>
      <w:r>
        <w:fldChar w:fldCharType="begin"/>
      </w:r>
      <w:r>
        <w:instrText xml:space="preserve"> HYPERLINK \l "_Toc26781119" </w:instrText>
      </w:r>
      <w:r>
        <w:fldChar w:fldCharType="separate"/>
      </w:r>
      <w:r>
        <w:rPr>
          <w:rStyle w:val="62"/>
          <w:rFonts w:hint="eastAsia" w:ascii="Times New Roman" w:hAnsi="Times New Roman" w:eastAsia="宋体"/>
          <w:color w:val="000000"/>
        </w:rPr>
        <w:t>投标文件</w:t>
      </w:r>
      <w:r>
        <w:rPr>
          <w:rStyle w:val="62"/>
          <w:rFonts w:ascii="Times New Roman" w:hAnsi="Times New Roman" w:eastAsia="宋体"/>
          <w:color w:val="000000"/>
        </w:rPr>
        <w:t xml:space="preserve"> </w:t>
      </w:r>
      <w:r>
        <w:rPr>
          <w:rStyle w:val="62"/>
          <w:rFonts w:hint="eastAsia" w:ascii="Times New Roman" w:hAnsi="Times New Roman" w:eastAsia="宋体"/>
          <w:color w:val="000000"/>
        </w:rPr>
        <w:t>（商务及技术文件）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_Toc26781119 \h </w:instrText>
      </w:r>
      <w:r>
        <w:rPr>
          <w:rFonts w:ascii="Times New Roman" w:hAnsi="Times New Roman"/>
        </w:rPr>
        <w:fldChar w:fldCharType="separate"/>
      </w:r>
      <w:r>
        <w:rPr>
          <w:rFonts w:ascii="Times New Roman" w:hAnsi="Times New Roman"/>
        </w:rPr>
        <w:t>78</w:t>
      </w:r>
      <w:r>
        <w:rPr>
          <w:rFonts w:ascii="Times New Roman" w:hAnsi="Times New Roman"/>
        </w:rPr>
        <w:fldChar w:fldCharType="end"/>
      </w:r>
      <w:r>
        <w:rPr>
          <w:rFonts w:ascii="Times New Roman" w:hAnsi="Times New Roman"/>
        </w:rPr>
        <w:fldChar w:fldCharType="end"/>
      </w:r>
    </w:p>
    <w:p>
      <w:pPr>
        <w:pStyle w:val="45"/>
        <w:spacing w:line="480" w:lineRule="exact"/>
        <w:rPr>
          <w:rFonts w:ascii="Times New Roman" w:hAnsi="Times New Roman" w:eastAsia="宋体" w:cs="Times New Roman"/>
          <w:smallCaps w:val="0"/>
          <w:sz w:val="21"/>
          <w:szCs w:val="22"/>
        </w:rPr>
      </w:pPr>
      <w:r>
        <w:fldChar w:fldCharType="begin"/>
      </w:r>
      <w:r>
        <w:instrText xml:space="preserve"> HYPERLINK \l "_Toc26781120" </w:instrText>
      </w:r>
      <w:r>
        <w:fldChar w:fldCharType="separate"/>
      </w:r>
      <w:r>
        <w:rPr>
          <w:rStyle w:val="62"/>
          <w:rFonts w:hint="eastAsia" w:ascii="Times New Roman" w:hAnsi="Times New Roman" w:eastAsia="宋体"/>
          <w:color w:val="000000"/>
        </w:rPr>
        <w:t>投标文件</w:t>
      </w:r>
      <w:r>
        <w:rPr>
          <w:rStyle w:val="62"/>
          <w:rFonts w:ascii="Times New Roman" w:hAnsi="Times New Roman" w:eastAsia="宋体"/>
          <w:color w:val="000000"/>
        </w:rPr>
        <w:t xml:space="preserve"> </w:t>
      </w:r>
      <w:r>
        <w:rPr>
          <w:rStyle w:val="62"/>
          <w:rFonts w:hint="eastAsia" w:ascii="Times New Roman" w:hAnsi="Times New Roman" w:eastAsia="宋体"/>
          <w:color w:val="000000"/>
        </w:rPr>
        <w:t>（报价文件）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_Toc26781120 \h </w:instrText>
      </w:r>
      <w:r>
        <w:rPr>
          <w:rFonts w:ascii="Times New Roman" w:hAnsi="Times New Roman"/>
        </w:rPr>
        <w:fldChar w:fldCharType="separate"/>
      </w:r>
      <w:r>
        <w:rPr>
          <w:rFonts w:ascii="Times New Roman" w:hAnsi="Times New Roman"/>
        </w:rPr>
        <w:t>97</w:t>
      </w:r>
      <w:r>
        <w:rPr>
          <w:rFonts w:ascii="Times New Roman" w:hAnsi="Times New Roman"/>
        </w:rPr>
        <w:fldChar w:fldCharType="end"/>
      </w:r>
      <w:r>
        <w:rPr>
          <w:rFonts w:ascii="Times New Roman" w:hAnsi="Times New Roman"/>
        </w:rPr>
        <w:fldChar w:fldCharType="end"/>
      </w:r>
    </w:p>
    <w:p>
      <w:pPr>
        <w:ind w:firstLine="435"/>
        <w:jc w:val="center"/>
        <w:rPr>
          <w:rFonts w:hint="eastAsia"/>
        </w:rPr>
      </w:pPr>
      <w:r>
        <w:fldChar w:fldCharType="end"/>
      </w:r>
    </w:p>
    <w:p>
      <w:pPr>
        <w:pStyle w:val="2"/>
        <w:jc w:val="center"/>
        <w:rPr>
          <w:rFonts w:hint="eastAsia" w:eastAsia="黑体"/>
          <w:b w:val="0"/>
        </w:rPr>
      </w:pPr>
      <w:r>
        <w:br w:type="page"/>
      </w:r>
      <w:bookmarkStart w:id="0" w:name="_Toc26781045"/>
      <w:r>
        <w:rPr>
          <w:rFonts w:hint="eastAsia" w:eastAsia="黑体"/>
          <w:b w:val="0"/>
        </w:rPr>
        <w:t>第一章  招标公告</w:t>
      </w:r>
      <w:bookmarkEnd w:id="0"/>
    </w:p>
    <w:p>
      <w:pPr>
        <w:widowControl/>
        <w:spacing w:line="480" w:lineRule="exact"/>
        <w:jc w:val="center"/>
        <w:rPr>
          <w:rFonts w:hint="eastAsia" w:ascii="宋体" w:hAnsi="宋体" w:cs="宋体"/>
          <w:b/>
          <w:bCs/>
          <w:color w:val="000000"/>
          <w:kern w:val="0"/>
          <w:sz w:val="22"/>
          <w:szCs w:val="22"/>
        </w:rPr>
      </w:pPr>
      <w:bookmarkStart w:id="1" w:name="_Toc26781046"/>
      <w:r>
        <w:rPr>
          <w:rFonts w:hint="eastAsia" w:ascii="宋体" w:hAnsi="宋体" w:cs="宋体"/>
          <w:b/>
          <w:bCs/>
          <w:color w:val="000000"/>
          <w:kern w:val="0"/>
          <w:sz w:val="22"/>
          <w:szCs w:val="22"/>
        </w:rPr>
        <w:t>安徽省第二人民医院专科医疗及科教功能区建设项目楼层配电箱采购项目招标公告</w:t>
      </w:r>
    </w:p>
    <w:p>
      <w:pPr>
        <w:widowControl/>
        <w:spacing w:line="480" w:lineRule="exact"/>
        <w:jc w:val="center"/>
        <w:rPr>
          <w:rFonts w:hint="eastAsia" w:ascii="宋体" w:hAnsi="宋体" w:cs="宋体"/>
          <w:sz w:val="22"/>
          <w:szCs w:val="22"/>
        </w:rPr>
      </w:pPr>
      <w:r>
        <w:rPr>
          <w:rFonts w:hint="eastAsia" w:ascii="宋体" w:hAnsi="宋体" w:cs="宋体"/>
          <w:color w:val="000000"/>
          <w:kern w:val="0"/>
          <w:sz w:val="22"/>
          <w:szCs w:val="22"/>
        </w:rPr>
        <w:t>（电子招标投标）</w:t>
      </w:r>
    </w:p>
    <w:p>
      <w:pPr>
        <w:widowControl/>
        <w:spacing w:line="480" w:lineRule="exact"/>
        <w:jc w:val="left"/>
        <w:rPr>
          <w:rFonts w:hint="eastAsia" w:ascii="宋体" w:hAnsi="宋体" w:cs="宋体"/>
          <w:sz w:val="22"/>
          <w:szCs w:val="22"/>
        </w:rPr>
      </w:pPr>
      <w:r>
        <w:rPr>
          <w:rFonts w:hint="eastAsia" w:ascii="宋体" w:hAnsi="宋体" w:cs="宋体"/>
          <w:b/>
          <w:bCs/>
          <w:color w:val="000000"/>
          <w:kern w:val="0"/>
          <w:sz w:val="22"/>
          <w:szCs w:val="22"/>
        </w:rPr>
        <w:t>1. 招标条件</w:t>
      </w:r>
      <w:r>
        <w:rPr>
          <w:rFonts w:hint="eastAsia" w:ascii="宋体" w:hAnsi="宋体" w:cs="宋体"/>
          <w:color w:val="000000"/>
          <w:kern w:val="0"/>
          <w:sz w:val="22"/>
          <w:szCs w:val="22"/>
        </w:rPr>
        <w:t xml:space="preserve">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1.1 项目名称：安徽省第二人民医院专科医疗及科教功能区建设项目楼层配电箱采购项目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1.2 项目审批、核准或备案机关名称：</w:t>
      </w:r>
      <w:r>
        <w:rPr>
          <w:rFonts w:hint="eastAsia" w:ascii="宋体" w:hAnsi="宋体" w:cs="宋体"/>
          <w:color w:val="000000"/>
          <w:kern w:val="0"/>
          <w:sz w:val="22"/>
          <w:szCs w:val="22"/>
          <w:u w:val="single"/>
        </w:rPr>
        <w:t xml:space="preserve"> /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1.3 批文名称及编号：</w:t>
      </w:r>
      <w:r>
        <w:rPr>
          <w:rFonts w:hint="eastAsia" w:ascii="宋体" w:hAnsi="宋体" w:cs="宋体"/>
          <w:color w:val="000000"/>
          <w:kern w:val="0"/>
          <w:sz w:val="22"/>
          <w:szCs w:val="22"/>
          <w:u w:val="single"/>
        </w:rPr>
        <w:t xml:space="preserve"> /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1.4 招标人</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 xml:space="preserve">业主）：安徽省第二人民医院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1.5 资金来源：自筹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1.6 项目出资比例：100% </w:t>
      </w:r>
    </w:p>
    <w:p>
      <w:pPr>
        <w:widowControl/>
        <w:spacing w:line="480" w:lineRule="exact"/>
        <w:jc w:val="left"/>
        <w:rPr>
          <w:rFonts w:hint="eastAsia" w:ascii="宋体" w:hAnsi="宋体" w:cs="宋体"/>
          <w:sz w:val="22"/>
          <w:szCs w:val="22"/>
        </w:rPr>
      </w:pPr>
      <w:r>
        <w:rPr>
          <w:rFonts w:hint="eastAsia" w:ascii="宋体" w:hAnsi="宋体" w:cs="宋体"/>
          <w:color w:val="000000"/>
          <w:kern w:val="0"/>
          <w:sz w:val="22"/>
          <w:szCs w:val="22"/>
        </w:rPr>
        <w:t xml:space="preserve">2. </w:t>
      </w:r>
      <w:r>
        <w:rPr>
          <w:rFonts w:hint="eastAsia" w:ascii="宋体" w:hAnsi="宋体" w:cs="宋体"/>
          <w:b/>
          <w:bCs/>
          <w:color w:val="000000"/>
          <w:kern w:val="0"/>
          <w:sz w:val="22"/>
          <w:szCs w:val="22"/>
        </w:rPr>
        <w:t>项目概况与招标范围</w:t>
      </w:r>
      <w:r>
        <w:rPr>
          <w:rFonts w:hint="eastAsia" w:ascii="宋体" w:hAnsi="宋体" w:cs="宋体"/>
          <w:color w:val="000000"/>
          <w:kern w:val="0"/>
          <w:sz w:val="22"/>
          <w:szCs w:val="22"/>
        </w:rPr>
        <w:t xml:space="preserve">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2.1 招标项目名称：安徽省第二人民医院专科医疗及科教功能区建设项目楼层配电箱采购项目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2.2 招标项目编号：</w:t>
      </w:r>
      <w:r>
        <w:rPr>
          <w:rFonts w:hint="eastAsia" w:ascii="宋体" w:hAnsi="宋体" w:cs="宋体"/>
          <w:color w:val="000000"/>
          <w:kern w:val="0"/>
          <w:sz w:val="22"/>
          <w:szCs w:val="22"/>
          <w:highlight w:val="yellow"/>
        </w:rPr>
        <w:t xml:space="preserve">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2.3 标段划分：本招标项目共一个标段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2.4 招标项目标段编号：</w:t>
      </w:r>
      <w:r>
        <w:rPr>
          <w:rFonts w:hint="eastAsia" w:ascii="宋体" w:hAnsi="宋体" w:cs="宋体"/>
          <w:color w:val="000000"/>
          <w:kern w:val="0"/>
          <w:sz w:val="22"/>
          <w:szCs w:val="22"/>
          <w:highlight w:val="yellow"/>
        </w:rPr>
        <w:t xml:space="preserve">             </w:t>
      </w:r>
      <w:r>
        <w:rPr>
          <w:rFonts w:hint="eastAsia" w:ascii="宋体" w:hAnsi="宋体" w:cs="宋体"/>
          <w:color w:val="000000"/>
          <w:kern w:val="0"/>
          <w:sz w:val="22"/>
          <w:szCs w:val="22"/>
        </w:rPr>
        <w:t xml:space="preserve">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2.5 建设地点：合肥市新站区扶疏路与萧城路路口东南侧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2.6 建设规模：本项目位于合肥市新站区扶疏路与萧城路路口东南侧，总建筑面积约12.3万㎡。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2.7 招标范围：</w:t>
      </w:r>
      <w:r>
        <w:rPr>
          <w:rFonts w:hint="eastAsia" w:ascii="宋体" w:hAnsi="宋体" w:cs="宋体"/>
          <w:kern w:val="0"/>
          <w:sz w:val="22"/>
          <w:szCs w:val="22"/>
        </w:rPr>
        <w:t>本次招标主要包含科教楼、儿科医学及康复大楼、会议中心及公寓楼所需的配电箱/柜及所有电器元件、仪表、零配件等货物采购，具体内容详见招标文件、图纸、清单、补疑等所包含的全部内容。</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2.8项目预算：约</w:t>
      </w:r>
      <w:r>
        <w:rPr>
          <w:rFonts w:hint="eastAsia" w:ascii="宋体" w:hAnsi="宋体" w:cs="宋体"/>
          <w:kern w:val="0"/>
          <w:sz w:val="22"/>
          <w:szCs w:val="22"/>
        </w:rPr>
        <w:t>950万元。</w:t>
      </w:r>
      <w:r>
        <w:rPr>
          <w:rFonts w:hint="eastAsia" w:ascii="宋体" w:hAnsi="宋体" w:cs="宋体"/>
          <w:color w:val="000000"/>
          <w:kern w:val="0"/>
          <w:sz w:val="22"/>
          <w:szCs w:val="22"/>
        </w:rPr>
        <w:t xml:space="preserve">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2.9 交货地点：安徽省合肥市（招标人指定地点）。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2.10 交货期：收到甲方批次货物需求通知后的30天内，将该批次货物送到甲方指定地点。</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2.11 项目类别：货物。 </w:t>
      </w:r>
    </w:p>
    <w:p>
      <w:pPr>
        <w:widowControl/>
        <w:spacing w:line="480" w:lineRule="exact"/>
        <w:ind w:firstLine="440" w:firstLineChars="200"/>
        <w:jc w:val="left"/>
        <w:rPr>
          <w:rFonts w:hint="eastAsia" w:ascii="宋体" w:hAnsi="宋体" w:cs="宋体"/>
          <w:sz w:val="22"/>
          <w:szCs w:val="22"/>
          <w:u w:val="single"/>
        </w:rPr>
      </w:pPr>
      <w:r>
        <w:rPr>
          <w:rFonts w:hint="eastAsia" w:ascii="宋体" w:hAnsi="宋体" w:cs="宋体"/>
          <w:color w:val="000000"/>
          <w:kern w:val="0"/>
          <w:sz w:val="22"/>
          <w:szCs w:val="22"/>
        </w:rPr>
        <w:t>2.12 其他</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u w:val="single"/>
        </w:rPr>
        <w:t xml:space="preserve"> </w:t>
      </w:r>
    </w:p>
    <w:p>
      <w:pPr>
        <w:widowControl/>
        <w:spacing w:line="480" w:lineRule="exact"/>
        <w:jc w:val="left"/>
        <w:rPr>
          <w:rFonts w:hint="eastAsia" w:ascii="宋体" w:hAnsi="宋体" w:cs="宋体"/>
          <w:b/>
          <w:bCs/>
          <w:sz w:val="22"/>
          <w:szCs w:val="22"/>
        </w:rPr>
      </w:pPr>
      <w:r>
        <w:rPr>
          <w:rFonts w:hint="eastAsia" w:ascii="宋体" w:hAnsi="宋体" w:cs="宋体"/>
          <w:b/>
          <w:bCs/>
          <w:color w:val="000000"/>
          <w:kern w:val="0"/>
          <w:sz w:val="22"/>
          <w:szCs w:val="22"/>
        </w:rPr>
        <w:t xml:space="preserve">3. 投标人资格要求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3.1 投标人资质要求：投标人须为所投配电箱（或配电柜）生产厂家。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3.2 业绩要求：自</w:t>
      </w:r>
      <w:r>
        <w:rPr>
          <w:rFonts w:hint="eastAsia" w:ascii="宋体" w:hAnsi="宋体" w:cs="宋体"/>
          <w:kern w:val="0"/>
          <w:sz w:val="22"/>
          <w:szCs w:val="22"/>
        </w:rPr>
        <w:t>2017 年 1月 1 日以来（以合同签订时间为准），投标人具有单项合同</w:t>
      </w:r>
      <w:r>
        <w:rPr>
          <w:rFonts w:hint="eastAsia" w:ascii="宋体" w:hAnsi="宋体" w:cs="宋体"/>
          <w:kern w:val="0"/>
          <w:sz w:val="22"/>
          <w:szCs w:val="22"/>
          <w:highlight w:val="yellow"/>
        </w:rPr>
        <w:t>金额不少于600万元</w:t>
      </w:r>
      <w:r>
        <w:rPr>
          <w:rFonts w:hint="eastAsia" w:ascii="宋体" w:hAnsi="宋体" w:cs="宋体"/>
          <w:kern w:val="0"/>
          <w:sz w:val="22"/>
          <w:szCs w:val="22"/>
        </w:rPr>
        <w:t>的配电箱或配电柜或（配电箱和配电柜）供货业绩。</w:t>
      </w:r>
      <w:r>
        <w:rPr>
          <w:rFonts w:hint="eastAsia" w:ascii="宋体" w:hAnsi="宋体" w:cs="宋体"/>
          <w:color w:val="000000"/>
          <w:kern w:val="0"/>
          <w:sz w:val="22"/>
          <w:szCs w:val="22"/>
        </w:rPr>
        <w:t xml:space="preserve">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3.3 财务要求：</w:t>
      </w:r>
      <w:r>
        <w:rPr>
          <w:rFonts w:hint="eastAsia" w:ascii="宋体" w:hAnsi="宋体" w:cs="宋体"/>
          <w:color w:val="000000"/>
          <w:kern w:val="0"/>
          <w:sz w:val="22"/>
          <w:szCs w:val="22"/>
          <w:u w:val="single"/>
        </w:rPr>
        <w:t xml:space="preserve"> /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3.4 投标人须符合下列情形之一：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（1）开标日前两年内未被合肥市及其所辖县（市）及区（开发区）公共资源交易监督管理部门记不良行为记录或记不良行为记录累计未满 10 分；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（2）最近一次被合肥市及其所辖县（市）及区（开发区）公共资源交易监督管理部门记不良行为记录累计记分达 10 分（含 10 分）到 15 分且公布日距开标日超过 6 个月；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（3）最近一次被合肥市及其所辖县（市）及区（开发区）公共资源交易监督管理部门记不良行为记录累计记分达 15 分（含 15 分）到 20 分且公布日距开标日超过 12 个月；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（4）最近一次被合肥市及其所辖县（市）及区（开发区）公共资源交易监督管理部门记不良行为记录累计记分达 20 分（含 20 分）及以上且公布日距开标日超过 24 个月。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3.5 本次招标不接受联合体投标。 </w:t>
      </w:r>
    </w:p>
    <w:p>
      <w:pPr>
        <w:widowControl/>
        <w:spacing w:line="480" w:lineRule="exact"/>
        <w:ind w:firstLine="440" w:firstLineChars="200"/>
        <w:jc w:val="left"/>
        <w:rPr>
          <w:rFonts w:hint="eastAsia" w:ascii="宋体" w:hAnsi="宋体" w:cs="宋体"/>
          <w:sz w:val="22"/>
          <w:szCs w:val="22"/>
          <w:highlight w:val="yellow"/>
        </w:rPr>
      </w:pPr>
      <w:r>
        <w:rPr>
          <w:rFonts w:hint="eastAsia" w:ascii="宋体" w:hAnsi="宋体" w:cs="宋体"/>
          <w:color w:val="000000"/>
          <w:kern w:val="0"/>
          <w:sz w:val="22"/>
          <w:szCs w:val="22"/>
        </w:rPr>
        <w:t>3.6 同一个制造商对同一品牌同一型号的设备，仅能委托一个代理商参加投标。</w:t>
      </w:r>
      <w:r>
        <w:rPr>
          <w:rFonts w:hint="eastAsia" w:ascii="宋体" w:hAnsi="宋体" w:cs="宋体"/>
          <w:color w:val="000000"/>
          <w:kern w:val="0"/>
          <w:sz w:val="22"/>
          <w:szCs w:val="22"/>
          <w:highlight w:val="yellow"/>
        </w:rPr>
        <w:t xml:space="preserve">（本招标项目不适用）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3.7其他要求：</w:t>
      </w:r>
      <w:r>
        <w:rPr>
          <w:rFonts w:hint="eastAsia" w:ascii="宋体" w:hAnsi="宋体" w:cs="宋体"/>
          <w:color w:val="000000"/>
          <w:kern w:val="0"/>
          <w:sz w:val="22"/>
          <w:szCs w:val="22"/>
          <w:u w:val="single"/>
        </w:rPr>
        <w:t xml:space="preserve"> / </w:t>
      </w:r>
      <w:r>
        <w:rPr>
          <w:rFonts w:hint="eastAsia" w:ascii="宋体" w:hAnsi="宋体" w:cs="宋体"/>
          <w:color w:val="000000"/>
          <w:kern w:val="0"/>
          <w:sz w:val="22"/>
          <w:szCs w:val="22"/>
        </w:rPr>
        <w:t xml:space="preserve">。 </w:t>
      </w:r>
    </w:p>
    <w:p>
      <w:pPr>
        <w:widowControl/>
        <w:spacing w:line="480" w:lineRule="exact"/>
        <w:jc w:val="left"/>
        <w:rPr>
          <w:rFonts w:hint="eastAsia" w:ascii="宋体" w:hAnsi="宋体" w:cs="宋体"/>
          <w:b/>
          <w:bCs/>
          <w:sz w:val="22"/>
          <w:szCs w:val="22"/>
        </w:rPr>
      </w:pPr>
      <w:r>
        <w:rPr>
          <w:rFonts w:hint="eastAsia" w:ascii="宋体" w:hAnsi="宋体" w:cs="宋体"/>
          <w:b/>
          <w:bCs/>
          <w:color w:val="000000"/>
          <w:kern w:val="0"/>
          <w:sz w:val="22"/>
          <w:szCs w:val="22"/>
        </w:rPr>
        <w:t xml:space="preserve">4. 招标文件的获取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4.1 获取时间：</w:t>
      </w:r>
      <w:r>
        <w:rPr>
          <w:rFonts w:hint="eastAsia" w:ascii="宋体" w:hAnsi="宋体" w:cs="宋体"/>
          <w:kern w:val="0"/>
          <w:sz w:val="22"/>
          <w:szCs w:val="22"/>
          <w:highlight w:val="yellow"/>
        </w:rPr>
        <w:t xml:space="preserve">2022 年   月   日 00:00 至 2022 年  月  日 24:00。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4.2 获取方式：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（1）潜在投标人须登录安徽合肥·公共资源交易电子服务系统（以下简称“电子服务系统”） 查阅招标文件。首次登录须持有与电子服务系统兼容的数字证书，详情参见电子服务系统办事指南。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（2）潜在投标人查阅招标文件后，如参与投标，则须按本条第 4.1 款规定的招标文件获取时间内通过安徽公共资源交易集团电子交易系统完成投标信息的填写。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（3）招标文件费用支付方式：无需支付。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（4）招标文件获取过程中有任何疑问，请在工作时间（9：00-17：30，节假日休息）拨打技术支持热线（非项目咨询）：4009980000。项目咨询请拨打电话：0551-66223277，66223831。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4.3 招标文件价格：每套人民币 0 元整，招标文件售后不退。 </w:t>
      </w:r>
    </w:p>
    <w:p>
      <w:pPr>
        <w:widowControl/>
        <w:spacing w:line="480" w:lineRule="exact"/>
        <w:jc w:val="left"/>
        <w:rPr>
          <w:rFonts w:hint="eastAsia" w:ascii="宋体" w:hAnsi="宋体" w:cs="宋体"/>
          <w:b/>
          <w:bCs/>
          <w:sz w:val="22"/>
          <w:szCs w:val="22"/>
        </w:rPr>
      </w:pPr>
      <w:r>
        <w:rPr>
          <w:rFonts w:hint="eastAsia" w:ascii="宋体" w:hAnsi="宋体" w:cs="宋体"/>
          <w:b/>
          <w:bCs/>
          <w:color w:val="000000"/>
          <w:kern w:val="0"/>
          <w:sz w:val="22"/>
          <w:szCs w:val="22"/>
        </w:rPr>
        <w:t xml:space="preserve">5. 投标文件的递交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投标文件递交的截止时间（投标截止时间，下同）为 2022 年   月   日 10 时 00 分，投标人应在截止时间前通过安徽公共资源交易集团电子交易系统递交电子投标文件。 </w:t>
      </w:r>
    </w:p>
    <w:p>
      <w:pPr>
        <w:widowControl/>
        <w:spacing w:line="480" w:lineRule="exact"/>
        <w:jc w:val="left"/>
        <w:rPr>
          <w:rFonts w:hint="eastAsia" w:ascii="宋体" w:hAnsi="宋体" w:cs="宋体"/>
          <w:sz w:val="22"/>
          <w:szCs w:val="22"/>
        </w:rPr>
      </w:pPr>
      <w:r>
        <w:rPr>
          <w:rFonts w:hint="eastAsia" w:ascii="宋体" w:hAnsi="宋体" w:cs="宋体"/>
          <w:b/>
          <w:bCs/>
          <w:color w:val="000000"/>
          <w:kern w:val="0"/>
          <w:sz w:val="22"/>
          <w:szCs w:val="22"/>
        </w:rPr>
        <w:t>6. 开标时间及地点</w:t>
      </w:r>
      <w:r>
        <w:rPr>
          <w:rFonts w:hint="eastAsia" w:ascii="宋体" w:hAnsi="宋体" w:cs="宋体"/>
          <w:color w:val="000000"/>
          <w:kern w:val="0"/>
          <w:sz w:val="22"/>
          <w:szCs w:val="22"/>
        </w:rPr>
        <w:t xml:space="preserve">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6.1 开标时间：2022 年  月  日  时 00 分。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6.2 开标地点：合肥市滨湖新区南京路 2588 号要素交易市场 A 区（徽州大道与南京路交口）   楼   号开标室。 </w:t>
      </w:r>
    </w:p>
    <w:p>
      <w:pPr>
        <w:widowControl/>
        <w:spacing w:line="480" w:lineRule="exact"/>
        <w:jc w:val="left"/>
        <w:rPr>
          <w:rFonts w:hint="eastAsia" w:ascii="宋体" w:hAnsi="宋体" w:cs="宋体"/>
          <w:b/>
          <w:bCs/>
          <w:sz w:val="22"/>
          <w:szCs w:val="22"/>
        </w:rPr>
      </w:pPr>
      <w:r>
        <w:rPr>
          <w:rFonts w:hint="eastAsia" w:ascii="宋体" w:hAnsi="宋体" w:cs="宋体"/>
          <w:b/>
          <w:bCs/>
          <w:color w:val="000000"/>
          <w:kern w:val="0"/>
          <w:sz w:val="22"/>
          <w:szCs w:val="22"/>
        </w:rPr>
        <w:t xml:space="preserve">7. 发布公告的媒介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本次招标公告同时在全国公共资源交易平台（安徽省•合肥市）、全国公共资源交易平台（安徽省）上发布。 </w:t>
      </w:r>
    </w:p>
    <w:p>
      <w:pPr>
        <w:widowControl/>
        <w:spacing w:line="480" w:lineRule="exact"/>
        <w:jc w:val="left"/>
        <w:rPr>
          <w:rFonts w:hint="eastAsia" w:ascii="宋体" w:hAnsi="宋体" w:cs="宋体"/>
          <w:b/>
          <w:bCs/>
          <w:sz w:val="22"/>
          <w:szCs w:val="22"/>
        </w:rPr>
      </w:pPr>
      <w:r>
        <w:rPr>
          <w:rFonts w:hint="eastAsia" w:ascii="宋体" w:hAnsi="宋体" w:cs="宋体"/>
          <w:b/>
          <w:bCs/>
          <w:color w:val="000000"/>
          <w:kern w:val="0"/>
          <w:sz w:val="22"/>
          <w:szCs w:val="22"/>
        </w:rPr>
        <w:t xml:space="preserve">8. 联系方式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8.1 招标人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招 标 人：安徽省第二人民医院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地 址：安徽省合肥市北二环砀山路1868号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联 系 人：</w:t>
      </w:r>
      <w:r>
        <w:rPr>
          <w:rFonts w:hint="eastAsia" w:ascii="宋体" w:hAnsi="宋体" w:cs="宋体"/>
          <w:color w:val="000000"/>
          <w:kern w:val="0"/>
          <w:sz w:val="22"/>
          <w:szCs w:val="22"/>
          <w:highlight w:val="yellow"/>
        </w:rPr>
        <w:t xml:space="preserve">武  工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电 话：</w:t>
      </w:r>
      <w:r>
        <w:rPr>
          <w:rFonts w:hint="eastAsia" w:ascii="宋体" w:hAnsi="宋体" w:cs="宋体"/>
          <w:color w:val="000000"/>
          <w:kern w:val="0"/>
          <w:sz w:val="22"/>
          <w:szCs w:val="22"/>
          <w:highlight w:val="yellow"/>
        </w:rPr>
        <w:t xml:space="preserve">      </w:t>
      </w:r>
      <w:r>
        <w:rPr>
          <w:rFonts w:hint="eastAsia" w:ascii="宋体" w:hAnsi="宋体" w:cs="宋体"/>
          <w:color w:val="000000"/>
          <w:kern w:val="0"/>
          <w:sz w:val="22"/>
          <w:szCs w:val="22"/>
        </w:rPr>
        <w:t xml:space="preserve">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8.2 招标代理机构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招标代理机构：大成工程咨询有限公司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地 址：合肥市滨湖新区徽州大道与扬子江路交口合肥金融港A5栋11楼 </w:t>
      </w:r>
    </w:p>
    <w:p>
      <w:pPr>
        <w:widowControl/>
        <w:spacing w:line="480" w:lineRule="exact"/>
        <w:ind w:firstLine="440" w:firstLineChars="200"/>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联系人：宋  爽      18956009907    </w:t>
      </w:r>
    </w:p>
    <w:p>
      <w:pPr>
        <w:widowControl/>
        <w:spacing w:line="480" w:lineRule="exact"/>
        <w:ind w:firstLine="1320" w:firstLineChars="600"/>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刘德良      18955170287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8.3 电子交易系统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电子交易系统名称：安徽公共资源交易集团电子交易系统电子交易系统电话：400 998 0000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8.4 电子服务系统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电子服务系统名称：安徽合肥·公共资源交易电子服务系统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电子服务系统电话：0551-12345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8.5 招标监督管理机构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招标监督管理机构：合肥市公共资源交易监督管理局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地 址：安徽省合肥市滨湖新区南京路 2588 号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电 话： 0551-66223530、66223546 </w:t>
      </w:r>
    </w:p>
    <w:p>
      <w:pPr>
        <w:widowControl/>
        <w:spacing w:line="480" w:lineRule="exact"/>
        <w:jc w:val="left"/>
        <w:rPr>
          <w:rFonts w:hint="eastAsia" w:ascii="宋体" w:hAnsi="宋体" w:cs="宋体"/>
          <w:b/>
          <w:bCs/>
          <w:sz w:val="22"/>
          <w:szCs w:val="22"/>
        </w:rPr>
      </w:pPr>
      <w:r>
        <w:rPr>
          <w:rFonts w:hint="eastAsia" w:ascii="宋体" w:hAnsi="宋体" w:cs="宋体"/>
          <w:b/>
          <w:bCs/>
          <w:color w:val="000000"/>
          <w:kern w:val="0"/>
          <w:sz w:val="22"/>
          <w:szCs w:val="22"/>
        </w:rPr>
        <w:t xml:space="preserve">9. 其他事项说明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9.1 投标人应合理安排招标文件获取时间，特别是网络速度慢的地区防止在系统关闭前网络拥堵无法操作。如果因计算机及网络故障造成无法完成招标文件获取，责任自负。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9.2 投标人如需开具标书工本费发票，在项目开标次日后自行登录安徽公共资源交易集团电子交易系统平台打印。 </w:t>
      </w:r>
    </w:p>
    <w:p>
      <w:pPr>
        <w:widowControl/>
        <w:spacing w:line="480" w:lineRule="exact"/>
        <w:ind w:firstLine="440" w:firstLineChars="200"/>
        <w:rPr>
          <w:rFonts w:hint="eastAsia" w:ascii="宋体" w:hAnsi="宋体" w:cs="宋体"/>
          <w:sz w:val="22"/>
          <w:szCs w:val="22"/>
        </w:rPr>
      </w:pPr>
      <w:r>
        <w:rPr>
          <w:rFonts w:hint="eastAsia" w:ascii="宋体" w:hAnsi="宋体" w:cs="宋体"/>
          <w:color w:val="000000"/>
          <w:kern w:val="0"/>
          <w:sz w:val="22"/>
          <w:szCs w:val="22"/>
        </w:rPr>
        <w:t>9.3 疫情期间，各市场主体均应当按照《安徽合肥公共资源交易中心疫情防控期间交易服务指南 》（ 官 网 链 接 :</w:t>
      </w:r>
    </w:p>
    <w:p>
      <w:pPr>
        <w:widowControl/>
        <w:spacing w:line="480" w:lineRule="exact"/>
        <w:jc w:val="left"/>
        <w:rPr>
          <w:rFonts w:hint="eastAsia" w:ascii="宋体" w:hAnsi="宋体" w:cs="宋体"/>
          <w:sz w:val="22"/>
          <w:szCs w:val="22"/>
        </w:rPr>
      </w:pPr>
      <w:r>
        <w:rPr>
          <w:rFonts w:hint="eastAsia" w:ascii="宋体" w:hAnsi="宋体" w:cs="宋体"/>
          <w:color w:val="000000"/>
          <w:kern w:val="0"/>
          <w:sz w:val="22"/>
          <w:szCs w:val="22"/>
        </w:rPr>
        <w:t xml:space="preserve">http://ggzy.hefei.gov.cn/ptdt/001003/20200224/788cc287-e9f2-44de-b9e6-85baf0fb4c36.html）开展公共资源交易活动，谢谢理解、支持。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color w:val="000000"/>
          <w:kern w:val="0"/>
          <w:sz w:val="22"/>
          <w:szCs w:val="22"/>
        </w:rPr>
        <w:t xml:space="preserve">9.4 本项目为流标后重新招标。 </w:t>
      </w:r>
    </w:p>
    <w:p>
      <w:pPr>
        <w:widowControl/>
        <w:spacing w:line="480" w:lineRule="exact"/>
        <w:jc w:val="left"/>
        <w:rPr>
          <w:rFonts w:hint="eastAsia" w:ascii="宋体" w:hAnsi="宋体" w:cs="宋体"/>
          <w:sz w:val="22"/>
          <w:szCs w:val="22"/>
        </w:rPr>
      </w:pPr>
      <w:r>
        <w:rPr>
          <w:rFonts w:hint="eastAsia" w:ascii="宋体" w:hAnsi="宋体" w:cs="宋体"/>
          <w:b/>
          <w:bCs/>
          <w:color w:val="000000"/>
          <w:kern w:val="0"/>
          <w:sz w:val="22"/>
          <w:szCs w:val="22"/>
        </w:rPr>
        <w:t>10. 投标保证金账户</w:t>
      </w:r>
      <w:r>
        <w:rPr>
          <w:rFonts w:hint="eastAsia" w:ascii="宋体" w:hAnsi="宋体" w:cs="宋体"/>
          <w:color w:val="000000"/>
          <w:kern w:val="0"/>
          <w:sz w:val="22"/>
          <w:szCs w:val="22"/>
        </w:rPr>
        <w:t>（如采用银行转账或银行电汇形式递交的，请选择以下任何一家银行递交即 可）：</w:t>
      </w:r>
    </w:p>
    <w:p>
      <w:pPr>
        <w:widowControl/>
        <w:spacing w:line="480" w:lineRule="exact"/>
        <w:ind w:firstLine="442" w:firstLineChars="200"/>
        <w:jc w:val="left"/>
        <w:rPr>
          <w:rFonts w:hint="eastAsia" w:ascii="宋体" w:hAnsi="宋体" w:cs="宋体"/>
          <w:b/>
          <w:bCs/>
          <w:color w:val="000000"/>
          <w:kern w:val="0"/>
          <w:sz w:val="22"/>
          <w:szCs w:val="22"/>
        </w:rPr>
      </w:pPr>
      <w:r>
        <w:rPr>
          <w:rFonts w:hint="eastAsia" w:ascii="宋体" w:hAnsi="宋体" w:cs="宋体"/>
          <w:b/>
          <w:bCs/>
          <w:color w:val="000000"/>
          <w:kern w:val="0"/>
          <w:sz w:val="22"/>
          <w:szCs w:val="22"/>
        </w:rPr>
        <w:t>账户一：</w:t>
      </w:r>
    </w:p>
    <w:p>
      <w:pPr>
        <w:widowControl/>
        <w:spacing w:line="480" w:lineRule="exact"/>
        <w:ind w:firstLine="440" w:firstLineChars="200"/>
        <w:jc w:val="left"/>
        <w:rPr>
          <w:rFonts w:hint="eastAsia" w:ascii="宋体" w:hAnsi="宋体" w:cs="宋体"/>
          <w:color w:val="000000"/>
          <w:kern w:val="0"/>
          <w:sz w:val="22"/>
          <w:szCs w:val="22"/>
        </w:rPr>
      </w:pPr>
      <w:r>
        <w:rPr>
          <w:rFonts w:hint="eastAsia" w:ascii="宋体" w:hAnsi="宋体" w:cs="宋体"/>
          <w:color w:val="000000"/>
          <w:kern w:val="0"/>
          <w:sz w:val="22"/>
          <w:szCs w:val="22"/>
        </w:rPr>
        <w:t>户名：安徽合肥公共资源交易中心</w:t>
      </w:r>
    </w:p>
    <w:p>
      <w:pPr>
        <w:widowControl/>
        <w:spacing w:line="480" w:lineRule="exact"/>
        <w:ind w:firstLine="440" w:firstLineChars="200"/>
        <w:jc w:val="left"/>
        <w:rPr>
          <w:rFonts w:hint="eastAsia" w:ascii="宋体" w:hAnsi="宋体" w:cs="宋体"/>
          <w:color w:val="000000"/>
          <w:kern w:val="0"/>
          <w:sz w:val="22"/>
          <w:szCs w:val="22"/>
          <w:highlight w:val="yellow"/>
        </w:rPr>
      </w:pPr>
      <w:r>
        <w:rPr>
          <w:rFonts w:hint="eastAsia" w:ascii="宋体" w:hAnsi="宋体" w:cs="宋体"/>
          <w:color w:val="000000"/>
          <w:kern w:val="0"/>
          <w:sz w:val="22"/>
          <w:szCs w:val="22"/>
        </w:rPr>
        <w:t>银行账号</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 xml:space="preserve"> </w:t>
      </w:r>
      <w:r>
        <w:rPr>
          <w:rFonts w:hint="eastAsia" w:ascii="宋体" w:hAnsi="宋体" w:cs="宋体"/>
          <w:color w:val="000000"/>
          <w:kern w:val="0"/>
          <w:sz w:val="22"/>
          <w:szCs w:val="22"/>
          <w:highlight w:val="yellow"/>
        </w:rPr>
        <w:t xml:space="preserve">                </w:t>
      </w:r>
    </w:p>
    <w:p>
      <w:pPr>
        <w:widowControl/>
        <w:spacing w:line="480" w:lineRule="exact"/>
        <w:ind w:firstLine="440" w:firstLineChars="200"/>
        <w:jc w:val="left"/>
        <w:rPr>
          <w:rFonts w:hint="eastAsia" w:ascii="宋体" w:hAnsi="宋体" w:cs="宋体"/>
          <w:color w:val="000000"/>
          <w:kern w:val="0"/>
          <w:sz w:val="22"/>
          <w:szCs w:val="22"/>
        </w:rPr>
      </w:pPr>
      <w:r>
        <w:rPr>
          <w:rFonts w:hint="eastAsia" w:ascii="宋体" w:hAnsi="宋体" w:cs="宋体"/>
          <w:color w:val="000000"/>
          <w:kern w:val="0"/>
          <w:sz w:val="22"/>
          <w:szCs w:val="22"/>
        </w:rPr>
        <w:t>开户银行：徽商银行股份有限公司合肥蜀山支行</w:t>
      </w:r>
    </w:p>
    <w:p>
      <w:pPr>
        <w:widowControl/>
        <w:spacing w:line="480" w:lineRule="exact"/>
        <w:ind w:firstLine="442" w:firstLineChars="200"/>
        <w:jc w:val="left"/>
        <w:rPr>
          <w:rFonts w:hint="eastAsia" w:ascii="宋体" w:hAnsi="宋体" w:cs="宋体"/>
          <w:b/>
          <w:bCs/>
          <w:color w:val="000000"/>
          <w:kern w:val="0"/>
          <w:sz w:val="22"/>
          <w:szCs w:val="22"/>
        </w:rPr>
      </w:pPr>
      <w:r>
        <w:rPr>
          <w:rFonts w:hint="eastAsia" w:ascii="宋体" w:hAnsi="宋体" w:cs="宋体"/>
          <w:b/>
          <w:bCs/>
          <w:color w:val="000000"/>
          <w:kern w:val="0"/>
          <w:sz w:val="22"/>
          <w:szCs w:val="22"/>
        </w:rPr>
        <w:t>账户二：</w:t>
      </w:r>
    </w:p>
    <w:p>
      <w:pPr>
        <w:widowControl/>
        <w:spacing w:line="480" w:lineRule="exact"/>
        <w:ind w:firstLine="440" w:firstLineChars="200"/>
        <w:jc w:val="left"/>
        <w:rPr>
          <w:rFonts w:hint="eastAsia" w:ascii="宋体" w:hAnsi="宋体" w:cs="宋体"/>
          <w:color w:val="000000"/>
          <w:kern w:val="0"/>
          <w:sz w:val="22"/>
          <w:szCs w:val="22"/>
        </w:rPr>
      </w:pPr>
      <w:r>
        <w:rPr>
          <w:rFonts w:hint="eastAsia" w:ascii="宋体" w:hAnsi="宋体" w:cs="宋体"/>
          <w:color w:val="000000"/>
          <w:kern w:val="0"/>
          <w:sz w:val="22"/>
          <w:szCs w:val="22"/>
        </w:rPr>
        <w:t>户名：安徽合肥公共资源交易中心</w:t>
      </w:r>
    </w:p>
    <w:p>
      <w:pPr>
        <w:widowControl/>
        <w:spacing w:line="480" w:lineRule="exact"/>
        <w:ind w:firstLine="440" w:firstLineChars="200"/>
        <w:jc w:val="left"/>
        <w:rPr>
          <w:rFonts w:hint="eastAsia" w:ascii="宋体" w:hAnsi="宋体" w:cs="宋体"/>
          <w:color w:val="000000"/>
          <w:kern w:val="0"/>
          <w:sz w:val="22"/>
          <w:szCs w:val="22"/>
        </w:rPr>
      </w:pPr>
      <w:r>
        <w:rPr>
          <w:rFonts w:hint="eastAsia" w:ascii="宋体" w:hAnsi="宋体" w:cs="宋体"/>
          <w:color w:val="000000"/>
          <w:kern w:val="0"/>
          <w:sz w:val="22"/>
          <w:szCs w:val="22"/>
        </w:rPr>
        <w:t>银行账号</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 xml:space="preserve"> </w:t>
      </w:r>
      <w:r>
        <w:rPr>
          <w:rFonts w:hint="eastAsia" w:ascii="宋体" w:hAnsi="宋体" w:cs="宋体"/>
          <w:color w:val="000000"/>
          <w:kern w:val="0"/>
          <w:sz w:val="22"/>
          <w:szCs w:val="22"/>
          <w:highlight w:val="yellow"/>
        </w:rPr>
        <w:t xml:space="preserve">                 </w:t>
      </w:r>
    </w:p>
    <w:p>
      <w:pPr>
        <w:widowControl/>
        <w:spacing w:line="480" w:lineRule="exact"/>
        <w:ind w:firstLine="440" w:firstLineChars="200"/>
        <w:jc w:val="left"/>
        <w:rPr>
          <w:rFonts w:hint="eastAsia" w:ascii="宋体" w:hAnsi="宋体" w:cs="宋体"/>
          <w:sz w:val="24"/>
        </w:rPr>
      </w:pPr>
      <w:r>
        <w:rPr>
          <w:rFonts w:hint="eastAsia" w:ascii="宋体" w:hAnsi="宋体" w:cs="宋体"/>
          <w:color w:val="000000"/>
          <w:kern w:val="0"/>
          <w:sz w:val="22"/>
          <w:szCs w:val="22"/>
        </w:rPr>
        <w:t>开户银行：中国银行合肥北城支行</w:t>
      </w:r>
    </w:p>
    <w:p>
      <w:pPr>
        <w:pStyle w:val="2"/>
        <w:rPr>
          <w:rFonts w:hint="eastAsia" w:eastAsia="黑体"/>
          <w:b w:val="0"/>
        </w:rPr>
        <w:sectPr>
          <w:headerReference r:id="rId4" w:type="default"/>
          <w:footerReference r:id="rId6" w:type="default"/>
          <w:headerReference r:id="rId5" w:type="even"/>
          <w:footerReference r:id="rId7" w:type="even"/>
          <w:footnotePr>
            <w:numFmt w:val="decimalEnclosedCircleChinese"/>
            <w:numRestart w:val="eachPage"/>
          </w:footnotePr>
          <w:pgSz w:w="11907" w:h="16840"/>
          <w:pgMar w:top="1474" w:right="1474" w:bottom="1474" w:left="1474" w:header="799" w:footer="907" w:gutter="0"/>
          <w:cols w:space="720" w:num="1"/>
          <w:titlePg/>
          <w:docGrid w:linePitch="286" w:charSpace="0"/>
        </w:sectPr>
      </w:pPr>
    </w:p>
    <w:p>
      <w:pPr>
        <w:pStyle w:val="2"/>
        <w:numPr>
          <w:ilvl w:val="0"/>
          <w:numId w:val="2"/>
        </w:numPr>
        <w:jc w:val="center"/>
        <w:rPr>
          <w:rFonts w:hint="eastAsia" w:eastAsia="黑体"/>
          <w:b w:val="0"/>
        </w:rPr>
      </w:pPr>
      <w:r>
        <w:rPr>
          <w:rFonts w:hint="eastAsia" w:eastAsia="黑体"/>
          <w:b w:val="0"/>
        </w:rPr>
        <w:t xml:space="preserve"> 投标人须知</w:t>
      </w:r>
      <w:bookmarkEnd w:id="1"/>
    </w:p>
    <w:p>
      <w:pPr>
        <w:pStyle w:val="3"/>
        <w:spacing w:before="0" w:after="0" w:line="240" w:lineRule="auto"/>
        <w:jc w:val="left"/>
        <w:rPr>
          <w:rFonts w:ascii="Times New Roman" w:hAnsi="Times New Roman" w:eastAsia="黑体"/>
          <w:b w:val="0"/>
          <w:sz w:val="24"/>
          <w:szCs w:val="24"/>
        </w:rPr>
      </w:pPr>
      <w:r>
        <w:rPr>
          <w:rFonts w:hint="eastAsia" w:ascii="Times New Roman" w:hAnsi="Times New Roman" w:eastAsia="黑体"/>
          <w:b w:val="0"/>
          <w:sz w:val="24"/>
          <w:szCs w:val="24"/>
        </w:rPr>
        <w:t>投标人须知前附表</w:t>
      </w: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980"/>
        <w:gridCol w:w="6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934" w:type="dxa"/>
            <w:vAlign w:val="center"/>
          </w:tcPr>
          <w:p>
            <w:pPr>
              <w:snapToGrid w:val="0"/>
              <w:spacing w:line="480" w:lineRule="exact"/>
              <w:jc w:val="center"/>
              <w:rPr>
                <w:rFonts w:hint="eastAsia" w:ascii="宋体" w:hAnsi="宋体" w:cs="宋体"/>
                <w:b/>
                <w:color w:val="000000"/>
                <w:sz w:val="22"/>
                <w:szCs w:val="22"/>
              </w:rPr>
            </w:pPr>
            <w:bookmarkStart w:id="2" w:name="_Toc26781047"/>
            <w:r>
              <w:rPr>
                <w:rFonts w:hint="eastAsia" w:ascii="宋体" w:hAnsi="宋体" w:cs="宋体"/>
                <w:b/>
                <w:color w:val="000000"/>
                <w:sz w:val="22"/>
                <w:szCs w:val="22"/>
              </w:rPr>
              <w:t>条款号</w:t>
            </w:r>
          </w:p>
        </w:tc>
        <w:tc>
          <w:tcPr>
            <w:tcW w:w="1980" w:type="dxa"/>
            <w:vAlign w:val="center"/>
          </w:tcPr>
          <w:p>
            <w:pPr>
              <w:snapToGrid w:val="0"/>
              <w:spacing w:line="480" w:lineRule="exact"/>
              <w:jc w:val="center"/>
              <w:rPr>
                <w:rFonts w:hint="eastAsia" w:ascii="宋体" w:hAnsi="宋体" w:cs="宋体"/>
                <w:b/>
                <w:color w:val="000000"/>
                <w:sz w:val="22"/>
                <w:szCs w:val="22"/>
              </w:rPr>
            </w:pPr>
            <w:r>
              <w:rPr>
                <w:rFonts w:hint="eastAsia" w:ascii="宋体" w:hAnsi="宋体" w:cs="宋体"/>
                <w:b/>
                <w:color w:val="000000"/>
                <w:sz w:val="22"/>
                <w:szCs w:val="22"/>
              </w:rPr>
              <w:t>条 款 名 称</w:t>
            </w:r>
          </w:p>
        </w:tc>
        <w:tc>
          <w:tcPr>
            <w:tcW w:w="6757" w:type="dxa"/>
            <w:vAlign w:val="center"/>
          </w:tcPr>
          <w:p>
            <w:pPr>
              <w:snapToGrid w:val="0"/>
              <w:spacing w:line="480" w:lineRule="exact"/>
              <w:jc w:val="center"/>
              <w:rPr>
                <w:rFonts w:hint="eastAsia" w:ascii="宋体" w:hAnsi="宋体" w:cs="宋体"/>
                <w:b/>
                <w:color w:val="000000"/>
                <w:sz w:val="22"/>
                <w:szCs w:val="22"/>
              </w:rPr>
            </w:pPr>
            <w:r>
              <w:rPr>
                <w:rFonts w:hint="eastAsia" w:ascii="宋体" w:hAnsi="宋体" w:cs="宋体"/>
                <w:b/>
                <w:color w:val="000000"/>
                <w:sz w:val="22"/>
                <w:szCs w:val="22"/>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1.1.2</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招标人</w:t>
            </w:r>
          </w:p>
        </w:tc>
        <w:tc>
          <w:tcPr>
            <w:tcW w:w="6757" w:type="dxa"/>
            <w:vAlign w:val="center"/>
          </w:tcPr>
          <w:p>
            <w:pPr>
              <w:snapToGrid w:val="0"/>
              <w:spacing w:line="480" w:lineRule="exact"/>
              <w:jc w:val="left"/>
              <w:rPr>
                <w:rFonts w:hint="eastAsia" w:ascii="宋体" w:hAnsi="宋体" w:cs="宋体"/>
                <w:color w:val="000000"/>
                <w:sz w:val="22"/>
                <w:szCs w:val="22"/>
              </w:rPr>
            </w:pPr>
            <w:r>
              <w:rPr>
                <w:rFonts w:hint="eastAsia" w:ascii="宋体" w:hAnsi="宋体" w:cs="宋体"/>
                <w:color w:val="000000"/>
                <w:sz w:val="22"/>
                <w:szCs w:val="22"/>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sz w:val="22"/>
                <w:szCs w:val="22"/>
              </w:rPr>
            </w:pPr>
            <w:r>
              <w:rPr>
                <w:rFonts w:hint="eastAsia" w:ascii="宋体" w:hAnsi="宋体" w:cs="宋体"/>
                <w:sz w:val="22"/>
                <w:szCs w:val="22"/>
              </w:rPr>
              <w:t>1.1.3</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招标代理机构</w:t>
            </w:r>
          </w:p>
        </w:tc>
        <w:tc>
          <w:tcPr>
            <w:tcW w:w="6757" w:type="dxa"/>
            <w:vAlign w:val="center"/>
          </w:tcPr>
          <w:p>
            <w:pPr>
              <w:snapToGrid w:val="0"/>
              <w:spacing w:line="480" w:lineRule="exact"/>
              <w:jc w:val="left"/>
              <w:rPr>
                <w:rFonts w:hint="eastAsia" w:ascii="宋体" w:hAnsi="宋体" w:cs="宋体"/>
                <w:color w:val="000000"/>
                <w:sz w:val="22"/>
                <w:szCs w:val="22"/>
              </w:rPr>
            </w:pPr>
            <w:r>
              <w:rPr>
                <w:rFonts w:hint="eastAsia" w:ascii="宋体" w:hAnsi="宋体" w:cs="宋体"/>
                <w:color w:val="000000"/>
                <w:sz w:val="22"/>
                <w:szCs w:val="22"/>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sz w:val="22"/>
                <w:szCs w:val="22"/>
              </w:rPr>
            </w:pPr>
            <w:r>
              <w:rPr>
                <w:rFonts w:hint="eastAsia" w:ascii="宋体" w:hAnsi="宋体" w:cs="宋体"/>
                <w:sz w:val="22"/>
                <w:szCs w:val="22"/>
              </w:rPr>
              <w:t>1.1.4</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招标项目名称</w:t>
            </w:r>
          </w:p>
        </w:tc>
        <w:tc>
          <w:tcPr>
            <w:tcW w:w="6757" w:type="dxa"/>
            <w:vAlign w:val="center"/>
          </w:tcPr>
          <w:p>
            <w:pPr>
              <w:snapToGrid w:val="0"/>
              <w:spacing w:line="480" w:lineRule="exact"/>
              <w:jc w:val="left"/>
              <w:rPr>
                <w:rFonts w:hint="eastAsia" w:ascii="宋体" w:hAnsi="宋体" w:cs="宋体"/>
                <w:color w:val="000000"/>
                <w:sz w:val="22"/>
                <w:szCs w:val="22"/>
              </w:rPr>
            </w:pPr>
            <w:r>
              <w:rPr>
                <w:rFonts w:hint="eastAsia" w:ascii="宋体" w:hAnsi="宋体" w:cs="宋体"/>
                <w:color w:val="000000"/>
                <w:sz w:val="22"/>
                <w:szCs w:val="22"/>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sz w:val="22"/>
                <w:szCs w:val="22"/>
              </w:rPr>
            </w:pPr>
            <w:r>
              <w:rPr>
                <w:rFonts w:hint="eastAsia" w:ascii="宋体" w:hAnsi="宋体" w:cs="宋体"/>
                <w:sz w:val="22"/>
                <w:szCs w:val="22"/>
              </w:rPr>
              <w:t>1.1.5</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建设地点</w:t>
            </w:r>
          </w:p>
        </w:tc>
        <w:tc>
          <w:tcPr>
            <w:tcW w:w="6757" w:type="dxa"/>
            <w:vAlign w:val="center"/>
          </w:tcPr>
          <w:p>
            <w:pPr>
              <w:snapToGrid w:val="0"/>
              <w:spacing w:line="480" w:lineRule="exact"/>
              <w:jc w:val="left"/>
              <w:rPr>
                <w:rFonts w:hint="eastAsia" w:ascii="宋体" w:hAnsi="宋体" w:cs="宋体"/>
                <w:color w:val="000000"/>
                <w:sz w:val="22"/>
                <w:szCs w:val="22"/>
              </w:rPr>
            </w:pPr>
            <w:r>
              <w:rPr>
                <w:rFonts w:hint="eastAsia" w:ascii="宋体" w:hAnsi="宋体" w:cs="宋体"/>
                <w:color w:val="000000"/>
                <w:sz w:val="22"/>
                <w:szCs w:val="22"/>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sz w:val="22"/>
                <w:szCs w:val="22"/>
              </w:rPr>
            </w:pPr>
            <w:r>
              <w:rPr>
                <w:rFonts w:hint="eastAsia" w:ascii="宋体" w:hAnsi="宋体" w:cs="宋体"/>
                <w:sz w:val="22"/>
                <w:szCs w:val="22"/>
              </w:rPr>
              <w:t>1.1.6</w:t>
            </w:r>
          </w:p>
        </w:tc>
        <w:tc>
          <w:tcPr>
            <w:tcW w:w="1980" w:type="dxa"/>
            <w:vAlign w:val="center"/>
          </w:tcPr>
          <w:p>
            <w:pPr>
              <w:snapToGrid w:val="0"/>
              <w:spacing w:line="480" w:lineRule="exact"/>
              <w:jc w:val="center"/>
              <w:rPr>
                <w:rFonts w:hint="eastAsia" w:ascii="宋体" w:hAnsi="宋体" w:cs="宋体"/>
                <w:sz w:val="22"/>
                <w:szCs w:val="22"/>
              </w:rPr>
            </w:pPr>
            <w:r>
              <w:rPr>
                <w:rFonts w:hint="eastAsia" w:ascii="宋体" w:hAnsi="宋体" w:cs="宋体"/>
                <w:sz w:val="22"/>
                <w:szCs w:val="22"/>
              </w:rPr>
              <w:t>项目名称</w:t>
            </w:r>
          </w:p>
        </w:tc>
        <w:tc>
          <w:tcPr>
            <w:tcW w:w="6757" w:type="dxa"/>
            <w:vAlign w:val="center"/>
          </w:tcPr>
          <w:p>
            <w:pPr>
              <w:snapToGrid w:val="0"/>
              <w:spacing w:line="480" w:lineRule="exact"/>
              <w:jc w:val="left"/>
              <w:rPr>
                <w:rFonts w:hint="eastAsia" w:ascii="宋体" w:hAnsi="宋体" w:cs="宋体"/>
                <w:color w:val="000000"/>
                <w:sz w:val="22"/>
                <w:szCs w:val="22"/>
              </w:rPr>
            </w:pPr>
            <w:r>
              <w:rPr>
                <w:rFonts w:hint="eastAsia" w:ascii="宋体" w:hAnsi="宋体" w:cs="宋体"/>
                <w:color w:val="000000"/>
                <w:sz w:val="22"/>
                <w:szCs w:val="22"/>
              </w:rPr>
              <w:t>见招标公告中的“项目名称”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sz w:val="22"/>
                <w:szCs w:val="22"/>
              </w:rPr>
            </w:pPr>
            <w:r>
              <w:rPr>
                <w:rFonts w:hint="eastAsia" w:ascii="宋体" w:hAnsi="宋体" w:cs="宋体"/>
                <w:sz w:val="22"/>
                <w:szCs w:val="22"/>
              </w:rPr>
              <w:t>1.2.1</w:t>
            </w:r>
          </w:p>
        </w:tc>
        <w:tc>
          <w:tcPr>
            <w:tcW w:w="1980" w:type="dxa"/>
            <w:vAlign w:val="center"/>
          </w:tcPr>
          <w:p>
            <w:pPr>
              <w:snapToGrid w:val="0"/>
              <w:spacing w:line="480" w:lineRule="exact"/>
              <w:jc w:val="center"/>
              <w:rPr>
                <w:rFonts w:hint="eastAsia" w:ascii="宋体" w:hAnsi="宋体" w:cs="宋体"/>
                <w:sz w:val="22"/>
                <w:szCs w:val="22"/>
              </w:rPr>
            </w:pPr>
            <w:r>
              <w:rPr>
                <w:rFonts w:hint="eastAsia" w:ascii="宋体" w:hAnsi="宋体" w:cs="宋体"/>
                <w:sz w:val="22"/>
                <w:szCs w:val="22"/>
              </w:rPr>
              <w:t>资金来源</w:t>
            </w:r>
          </w:p>
        </w:tc>
        <w:tc>
          <w:tcPr>
            <w:tcW w:w="6757" w:type="dxa"/>
            <w:vAlign w:val="center"/>
          </w:tcPr>
          <w:p>
            <w:pPr>
              <w:snapToGrid w:val="0"/>
              <w:spacing w:line="480" w:lineRule="exact"/>
              <w:jc w:val="left"/>
              <w:rPr>
                <w:rFonts w:hint="eastAsia" w:ascii="宋体" w:hAnsi="宋体" w:cs="宋体"/>
                <w:color w:val="000000"/>
                <w:sz w:val="22"/>
                <w:szCs w:val="22"/>
              </w:rPr>
            </w:pPr>
            <w:r>
              <w:rPr>
                <w:rFonts w:hint="eastAsia" w:ascii="宋体" w:hAnsi="宋体" w:cs="宋体"/>
                <w:color w:val="000000"/>
                <w:sz w:val="22"/>
                <w:szCs w:val="22"/>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sz w:val="22"/>
                <w:szCs w:val="22"/>
              </w:rPr>
            </w:pPr>
            <w:r>
              <w:rPr>
                <w:rFonts w:hint="eastAsia" w:ascii="宋体" w:hAnsi="宋体" w:cs="宋体"/>
                <w:sz w:val="22"/>
                <w:szCs w:val="22"/>
              </w:rPr>
              <w:t>1.2.2</w:t>
            </w:r>
          </w:p>
        </w:tc>
        <w:tc>
          <w:tcPr>
            <w:tcW w:w="1980" w:type="dxa"/>
            <w:vAlign w:val="center"/>
          </w:tcPr>
          <w:p>
            <w:pPr>
              <w:snapToGrid w:val="0"/>
              <w:spacing w:line="480" w:lineRule="exact"/>
              <w:jc w:val="center"/>
              <w:rPr>
                <w:rFonts w:hint="eastAsia" w:ascii="宋体" w:hAnsi="宋体" w:cs="宋体"/>
                <w:sz w:val="22"/>
                <w:szCs w:val="22"/>
              </w:rPr>
            </w:pPr>
            <w:r>
              <w:rPr>
                <w:rFonts w:hint="eastAsia" w:ascii="宋体" w:hAnsi="宋体" w:cs="宋体"/>
                <w:sz w:val="22"/>
                <w:szCs w:val="22"/>
              </w:rPr>
              <w:t>出资比例</w:t>
            </w:r>
          </w:p>
        </w:tc>
        <w:tc>
          <w:tcPr>
            <w:tcW w:w="6757" w:type="dxa"/>
            <w:vAlign w:val="center"/>
          </w:tcPr>
          <w:p>
            <w:pPr>
              <w:snapToGrid w:val="0"/>
              <w:spacing w:line="480" w:lineRule="exact"/>
              <w:jc w:val="left"/>
              <w:rPr>
                <w:rFonts w:hint="eastAsia" w:ascii="宋体" w:hAnsi="宋体" w:cs="宋体"/>
                <w:color w:val="000000"/>
                <w:sz w:val="22"/>
                <w:szCs w:val="22"/>
              </w:rPr>
            </w:pPr>
            <w:r>
              <w:rPr>
                <w:rFonts w:hint="eastAsia" w:ascii="宋体" w:hAnsi="宋体" w:cs="宋体"/>
                <w:color w:val="000000"/>
                <w:sz w:val="22"/>
                <w:szCs w:val="22"/>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sz w:val="22"/>
                <w:szCs w:val="22"/>
              </w:rPr>
            </w:pPr>
            <w:r>
              <w:rPr>
                <w:rFonts w:hint="eastAsia" w:ascii="宋体" w:hAnsi="宋体" w:cs="宋体"/>
                <w:sz w:val="22"/>
                <w:szCs w:val="22"/>
              </w:rPr>
              <w:t>1.2.3</w:t>
            </w:r>
          </w:p>
        </w:tc>
        <w:tc>
          <w:tcPr>
            <w:tcW w:w="1980" w:type="dxa"/>
            <w:vAlign w:val="center"/>
          </w:tcPr>
          <w:p>
            <w:pPr>
              <w:snapToGrid w:val="0"/>
              <w:spacing w:line="480" w:lineRule="exact"/>
              <w:jc w:val="center"/>
              <w:rPr>
                <w:rFonts w:hint="eastAsia" w:ascii="宋体" w:hAnsi="宋体" w:cs="宋体"/>
                <w:sz w:val="22"/>
                <w:szCs w:val="22"/>
              </w:rPr>
            </w:pPr>
            <w:r>
              <w:rPr>
                <w:rFonts w:hint="eastAsia" w:ascii="宋体" w:hAnsi="宋体" w:cs="宋体"/>
                <w:sz w:val="22"/>
                <w:szCs w:val="22"/>
              </w:rPr>
              <w:t>资金落实情况</w:t>
            </w:r>
          </w:p>
        </w:tc>
        <w:tc>
          <w:tcPr>
            <w:tcW w:w="6757" w:type="dxa"/>
            <w:vAlign w:val="center"/>
          </w:tcPr>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sz w:val="22"/>
                <w:szCs w:val="22"/>
              </w:rPr>
            </w:pPr>
            <w:r>
              <w:rPr>
                <w:rFonts w:hint="eastAsia" w:ascii="宋体" w:hAnsi="宋体" w:cs="宋体"/>
                <w:sz w:val="22"/>
                <w:szCs w:val="22"/>
              </w:rPr>
              <w:t>1.3.1</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招标范围</w:t>
            </w:r>
          </w:p>
        </w:tc>
        <w:tc>
          <w:tcPr>
            <w:tcW w:w="6757" w:type="dxa"/>
            <w:vAlign w:val="center"/>
          </w:tcPr>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sz w:val="22"/>
                <w:szCs w:val="22"/>
              </w:rPr>
            </w:pPr>
            <w:r>
              <w:rPr>
                <w:rFonts w:hint="eastAsia" w:ascii="宋体" w:hAnsi="宋体" w:cs="宋体"/>
                <w:sz w:val="22"/>
                <w:szCs w:val="22"/>
              </w:rPr>
              <w:t>1.3.2</w:t>
            </w:r>
          </w:p>
        </w:tc>
        <w:tc>
          <w:tcPr>
            <w:tcW w:w="1980" w:type="dxa"/>
            <w:vAlign w:val="center"/>
          </w:tcPr>
          <w:p>
            <w:pPr>
              <w:snapToGrid w:val="0"/>
              <w:spacing w:line="480" w:lineRule="exact"/>
              <w:jc w:val="center"/>
              <w:rPr>
                <w:rFonts w:hint="eastAsia" w:ascii="宋体" w:hAnsi="宋体" w:cs="宋体"/>
                <w:sz w:val="22"/>
                <w:szCs w:val="22"/>
              </w:rPr>
            </w:pPr>
            <w:r>
              <w:rPr>
                <w:rFonts w:hint="eastAsia" w:ascii="宋体" w:hAnsi="宋体" w:cs="宋体"/>
                <w:sz w:val="22"/>
                <w:szCs w:val="22"/>
              </w:rPr>
              <w:t>交货期</w:t>
            </w:r>
          </w:p>
        </w:tc>
        <w:tc>
          <w:tcPr>
            <w:tcW w:w="6757" w:type="dxa"/>
            <w:vAlign w:val="center"/>
          </w:tcPr>
          <w:p>
            <w:pPr>
              <w:snapToGrid w:val="0"/>
              <w:spacing w:line="480" w:lineRule="exact"/>
              <w:rPr>
                <w:rFonts w:hint="eastAsia" w:ascii="宋体" w:hAnsi="宋体" w:cs="宋体"/>
                <w:color w:val="E36C0A"/>
                <w:sz w:val="22"/>
                <w:szCs w:val="22"/>
              </w:rPr>
            </w:pPr>
            <w:r>
              <w:rPr>
                <w:rFonts w:hint="eastAsia" w:ascii="宋体" w:hAnsi="宋体" w:cs="宋体"/>
                <w:color w:val="000000"/>
                <w:sz w:val="22"/>
                <w:szCs w:val="22"/>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sz w:val="22"/>
                <w:szCs w:val="22"/>
              </w:rPr>
            </w:pPr>
            <w:r>
              <w:rPr>
                <w:rFonts w:hint="eastAsia" w:ascii="宋体" w:hAnsi="宋体" w:cs="宋体"/>
                <w:sz w:val="22"/>
                <w:szCs w:val="22"/>
              </w:rPr>
              <w:t>1.3.3</w:t>
            </w:r>
          </w:p>
        </w:tc>
        <w:tc>
          <w:tcPr>
            <w:tcW w:w="1980" w:type="dxa"/>
            <w:vAlign w:val="center"/>
          </w:tcPr>
          <w:p>
            <w:pPr>
              <w:snapToGrid w:val="0"/>
              <w:spacing w:line="480" w:lineRule="exact"/>
              <w:jc w:val="center"/>
              <w:rPr>
                <w:rFonts w:hint="eastAsia" w:ascii="宋体" w:hAnsi="宋体" w:cs="宋体"/>
                <w:sz w:val="22"/>
                <w:szCs w:val="22"/>
              </w:rPr>
            </w:pPr>
            <w:r>
              <w:rPr>
                <w:rFonts w:hint="eastAsia" w:ascii="宋体" w:hAnsi="宋体" w:cs="宋体"/>
                <w:sz w:val="22"/>
                <w:szCs w:val="22"/>
              </w:rPr>
              <w:t>交货地点</w:t>
            </w:r>
          </w:p>
        </w:tc>
        <w:tc>
          <w:tcPr>
            <w:tcW w:w="6757" w:type="dxa"/>
            <w:vAlign w:val="center"/>
          </w:tcPr>
          <w:p>
            <w:pPr>
              <w:snapToGrid w:val="0"/>
              <w:spacing w:line="480" w:lineRule="exact"/>
              <w:rPr>
                <w:rFonts w:hint="eastAsia" w:ascii="宋体" w:hAnsi="宋体" w:cs="宋体"/>
                <w:color w:val="000000"/>
                <w:sz w:val="22"/>
                <w:szCs w:val="22"/>
              </w:rPr>
            </w:pPr>
            <w:r>
              <w:rPr>
                <w:rFonts w:hint="eastAsia" w:ascii="宋体" w:hAnsi="宋体" w:cs="宋体"/>
                <w:sz w:val="22"/>
                <w:szCs w:val="22"/>
              </w:rPr>
              <w:t>安徽省合肥市（招标人指定地点）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sz w:val="22"/>
                <w:szCs w:val="22"/>
              </w:rPr>
            </w:pPr>
            <w:r>
              <w:rPr>
                <w:rFonts w:hint="eastAsia" w:ascii="宋体" w:hAnsi="宋体" w:cs="宋体"/>
                <w:sz w:val="22"/>
                <w:szCs w:val="22"/>
              </w:rPr>
              <w:t>1.3.4</w:t>
            </w:r>
          </w:p>
        </w:tc>
        <w:tc>
          <w:tcPr>
            <w:tcW w:w="1980" w:type="dxa"/>
            <w:vAlign w:val="center"/>
          </w:tcPr>
          <w:p>
            <w:pPr>
              <w:snapToGrid w:val="0"/>
              <w:spacing w:line="480" w:lineRule="exact"/>
              <w:jc w:val="center"/>
              <w:rPr>
                <w:rFonts w:hint="eastAsia" w:ascii="宋体" w:hAnsi="宋体" w:cs="宋体"/>
                <w:sz w:val="22"/>
                <w:szCs w:val="22"/>
              </w:rPr>
            </w:pPr>
            <w:r>
              <w:rPr>
                <w:rFonts w:hint="eastAsia" w:ascii="宋体" w:hAnsi="宋体" w:cs="宋体"/>
                <w:sz w:val="22"/>
                <w:szCs w:val="22"/>
              </w:rPr>
              <w:t>技术性能指标</w:t>
            </w:r>
          </w:p>
        </w:tc>
        <w:tc>
          <w:tcPr>
            <w:tcW w:w="6757" w:type="dxa"/>
            <w:vAlign w:val="center"/>
          </w:tcPr>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详见招标文件第五章“供货要求”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sz w:val="22"/>
                <w:szCs w:val="22"/>
              </w:rPr>
            </w:pPr>
            <w:r>
              <w:rPr>
                <w:rFonts w:hint="eastAsia" w:ascii="宋体" w:hAnsi="宋体" w:cs="宋体"/>
                <w:sz w:val="22"/>
                <w:szCs w:val="22"/>
              </w:rPr>
              <w:t>1.4.1</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投标人资质条件、能力和信誉</w:t>
            </w:r>
          </w:p>
        </w:tc>
        <w:tc>
          <w:tcPr>
            <w:tcW w:w="6757" w:type="dxa"/>
            <w:vAlign w:val="center"/>
          </w:tcPr>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（1）资质要求：见附录1</w:t>
            </w:r>
          </w:p>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（2）财务要求：见附录2</w:t>
            </w:r>
          </w:p>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（3）业绩要求：见附录3</w:t>
            </w:r>
          </w:p>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（4）信誉要求：见附录4</w:t>
            </w:r>
          </w:p>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（5）其他要求：见附录5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sz w:val="22"/>
                <w:szCs w:val="22"/>
              </w:rPr>
            </w:pPr>
            <w:r>
              <w:rPr>
                <w:rFonts w:hint="eastAsia" w:ascii="宋体" w:hAnsi="宋体" w:cs="宋体"/>
                <w:sz w:val="22"/>
                <w:szCs w:val="22"/>
              </w:rPr>
              <w:t>1.4.2</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是否接受联合体投标</w:t>
            </w:r>
          </w:p>
        </w:tc>
        <w:tc>
          <w:tcPr>
            <w:tcW w:w="6757" w:type="dxa"/>
            <w:vAlign w:val="center"/>
          </w:tcPr>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☑不接受</w:t>
            </w:r>
          </w:p>
          <w:p>
            <w:pPr>
              <w:snapToGrid w:val="0"/>
              <w:spacing w:line="480" w:lineRule="exact"/>
              <w:rPr>
                <w:rFonts w:hint="eastAsia" w:ascii="宋体" w:hAnsi="宋体" w:cs="宋体"/>
                <w:bCs/>
                <w:snapToGrid w:val="0"/>
                <w:color w:val="000000"/>
                <w:kern w:val="0"/>
                <w:sz w:val="22"/>
                <w:szCs w:val="22"/>
                <w:u w:val="single"/>
              </w:rPr>
            </w:pPr>
            <w:r>
              <w:rPr>
                <w:rFonts w:hint="eastAsia" w:ascii="宋体" w:hAnsi="宋体" w:cs="宋体"/>
                <w:color w:val="000000"/>
                <w:sz w:val="22"/>
                <w:szCs w:val="22"/>
              </w:rPr>
              <w:t>□接受，应满足下列要求：</w:t>
            </w:r>
            <w:r>
              <w:rPr>
                <w:rFonts w:hint="eastAsia" w:ascii="宋体" w:hAnsi="宋体" w:cs="宋体"/>
                <w:bCs/>
                <w:snapToGrid w:val="0"/>
                <w:color w:val="000000"/>
                <w:kern w:val="0"/>
                <w:sz w:val="22"/>
                <w:szCs w:val="22"/>
                <w:u w:val="single"/>
              </w:rPr>
              <w:t xml:space="preserve">            </w:t>
            </w:r>
          </w:p>
          <w:p>
            <w:pPr>
              <w:snapToGrid w:val="0"/>
              <w:spacing w:line="480" w:lineRule="exact"/>
              <w:rPr>
                <w:rFonts w:hint="eastAsia" w:ascii="宋体" w:hAnsi="宋体" w:cs="宋体"/>
                <w:bCs/>
                <w:snapToGrid w:val="0"/>
                <w:color w:val="000000"/>
                <w:kern w:val="0"/>
                <w:sz w:val="22"/>
                <w:szCs w:val="22"/>
                <w:u w:val="single"/>
              </w:rPr>
            </w:pPr>
            <w:r>
              <w:rPr>
                <w:rFonts w:hint="eastAsia" w:ascii="宋体" w:hAnsi="宋体" w:cs="宋体"/>
                <w:bCs/>
                <w:snapToGrid w:val="0"/>
                <w:color w:val="000000"/>
                <w:kern w:val="0"/>
                <w:sz w:val="22"/>
                <w:szCs w:val="22"/>
              </w:rPr>
              <w:t>以联合体形式参加投标的，对本项目中标候选人公示有异议的，应由联合体成员方共同或联合体牵头人按相关规定提出。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FF"/>
                <w:sz w:val="22"/>
                <w:szCs w:val="22"/>
              </w:rPr>
            </w:pPr>
            <w:r>
              <w:rPr>
                <w:rFonts w:hint="eastAsia" w:ascii="宋体" w:hAnsi="宋体" w:cs="宋体"/>
                <w:color w:val="000000"/>
                <w:sz w:val="22"/>
                <w:szCs w:val="22"/>
              </w:rPr>
              <w:t>1.4.3</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投标人不得存在的其他关联关系</w:t>
            </w:r>
          </w:p>
        </w:tc>
        <w:tc>
          <w:tcPr>
            <w:tcW w:w="6757" w:type="dxa"/>
            <w:vAlign w:val="center"/>
          </w:tcPr>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1.4.4</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投标人不得存在的其他不良状况或不良信用记录</w:t>
            </w:r>
            <w:r>
              <w:rPr>
                <w:rStyle w:val="64"/>
                <w:rFonts w:hint="eastAsia" w:ascii="宋体" w:hAnsi="宋体" w:cs="宋体"/>
                <w:bCs/>
                <w:snapToGrid w:val="0"/>
                <w:color w:val="000000"/>
                <w:kern w:val="0"/>
                <w:sz w:val="22"/>
                <w:szCs w:val="22"/>
              </w:rPr>
              <w:footnoteReference w:id="0"/>
            </w:r>
          </w:p>
        </w:tc>
        <w:tc>
          <w:tcPr>
            <w:tcW w:w="6757" w:type="dxa"/>
            <w:vAlign w:val="center"/>
          </w:tcPr>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投标人被设区的市级及以上建设行政主管部门/房屋建筑和市政基础设施工程招标投标活动的监督部门因安全生产责任事故限制本次招标项目工程所在地或公共资源交易平台所在地承接新的工程项目且在限制期内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1.9.1</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踏勘现场</w:t>
            </w:r>
          </w:p>
        </w:tc>
        <w:tc>
          <w:tcPr>
            <w:tcW w:w="6757" w:type="dxa"/>
            <w:vAlign w:val="center"/>
          </w:tcPr>
          <w:p>
            <w:pPr>
              <w:snapToGrid w:val="0"/>
              <w:spacing w:line="480" w:lineRule="exact"/>
              <w:rPr>
                <w:rFonts w:hint="eastAsia" w:ascii="宋体" w:hAnsi="宋体" w:cs="宋体"/>
                <w:color w:val="FF0000"/>
                <w:sz w:val="22"/>
                <w:szCs w:val="22"/>
              </w:rPr>
            </w:pPr>
            <w:r>
              <w:rPr>
                <w:rFonts w:hint="eastAsia" w:ascii="宋体" w:hAnsi="宋体" w:cs="宋体"/>
                <w:color w:val="000000"/>
                <w:sz w:val="22"/>
                <w:szCs w:val="22"/>
              </w:rPr>
              <w:t>☑不组织，投标人自行踏勘</w:t>
            </w:r>
          </w:p>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□组织，踏勘时间：</w:t>
            </w:r>
            <w:r>
              <w:rPr>
                <w:rFonts w:hint="eastAsia" w:ascii="宋体" w:hAnsi="宋体" w:cs="宋体"/>
                <w:bCs/>
                <w:snapToGrid w:val="0"/>
                <w:color w:val="000000"/>
                <w:kern w:val="0"/>
                <w:sz w:val="22"/>
                <w:szCs w:val="22"/>
                <w:u w:val="single"/>
              </w:rPr>
              <w:t xml:space="preserve">            </w:t>
            </w:r>
          </w:p>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 xml:space="preserve">        踏勘集中地点：</w:t>
            </w:r>
            <w:r>
              <w:rPr>
                <w:rFonts w:hint="eastAsia" w:ascii="宋体" w:hAnsi="宋体" w:cs="宋体"/>
                <w:bCs/>
                <w:snapToGrid w:val="0"/>
                <w:color w:val="000000"/>
                <w:kern w:val="0"/>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1.10.1</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投标预备会</w:t>
            </w:r>
          </w:p>
        </w:tc>
        <w:tc>
          <w:tcPr>
            <w:tcW w:w="6757" w:type="dxa"/>
            <w:vAlign w:val="center"/>
          </w:tcPr>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☑不召开</w:t>
            </w:r>
          </w:p>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□召开，召开时间：</w:t>
            </w:r>
            <w:r>
              <w:rPr>
                <w:rFonts w:hint="eastAsia" w:ascii="宋体" w:hAnsi="宋体" w:cs="宋体"/>
                <w:bCs/>
                <w:snapToGrid w:val="0"/>
                <w:color w:val="000000"/>
                <w:kern w:val="0"/>
                <w:sz w:val="22"/>
                <w:szCs w:val="22"/>
                <w:u w:val="single"/>
              </w:rPr>
              <w:t xml:space="preserve">            </w:t>
            </w:r>
          </w:p>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 xml:space="preserve">        召开地点：</w:t>
            </w:r>
            <w:r>
              <w:rPr>
                <w:rFonts w:hint="eastAsia" w:ascii="宋体" w:hAnsi="宋体" w:cs="宋体"/>
                <w:bCs/>
                <w:snapToGrid w:val="0"/>
                <w:color w:val="000000"/>
                <w:kern w:val="0"/>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1.11.1</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分包</w:t>
            </w:r>
          </w:p>
        </w:tc>
        <w:tc>
          <w:tcPr>
            <w:tcW w:w="6757" w:type="dxa"/>
            <w:vAlign w:val="center"/>
          </w:tcPr>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☑不允许</w:t>
            </w:r>
          </w:p>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□允许，分包内容要求：</w:t>
            </w:r>
            <w:r>
              <w:rPr>
                <w:rFonts w:hint="eastAsia" w:ascii="宋体" w:hAnsi="宋体" w:cs="宋体"/>
                <w:bCs/>
                <w:snapToGrid w:val="0"/>
                <w:color w:val="000000"/>
                <w:kern w:val="0"/>
                <w:sz w:val="22"/>
                <w:szCs w:val="22"/>
                <w:u w:val="single"/>
              </w:rPr>
              <w:t xml:space="preserve">            </w:t>
            </w:r>
            <w:r>
              <w:rPr>
                <w:rFonts w:hint="eastAsia" w:ascii="宋体" w:hAnsi="宋体" w:cs="宋体"/>
                <w:color w:val="000000"/>
                <w:sz w:val="22"/>
                <w:szCs w:val="22"/>
              </w:rPr>
              <w:t xml:space="preserve"> </w:t>
            </w:r>
          </w:p>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 xml:space="preserve">        分包金额要求：</w:t>
            </w:r>
            <w:r>
              <w:rPr>
                <w:rFonts w:hint="eastAsia" w:ascii="宋体" w:hAnsi="宋体" w:cs="宋体"/>
                <w:bCs/>
                <w:snapToGrid w:val="0"/>
                <w:color w:val="000000"/>
                <w:kern w:val="0"/>
                <w:sz w:val="22"/>
                <w:szCs w:val="22"/>
                <w:u w:val="single"/>
              </w:rPr>
              <w:t xml:space="preserve">            </w:t>
            </w:r>
            <w:r>
              <w:rPr>
                <w:rFonts w:hint="eastAsia" w:ascii="宋体" w:hAnsi="宋体" w:cs="宋体"/>
                <w:color w:val="000000"/>
                <w:sz w:val="22"/>
                <w:szCs w:val="22"/>
              </w:rPr>
              <w:t xml:space="preserve"> </w:t>
            </w:r>
          </w:p>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 xml:space="preserve">        接受分包的第三人资质要求：</w:t>
            </w:r>
            <w:r>
              <w:rPr>
                <w:rFonts w:hint="eastAsia" w:ascii="宋体" w:hAnsi="宋体" w:cs="宋体"/>
                <w:bCs/>
                <w:snapToGrid w:val="0"/>
                <w:color w:val="000000"/>
                <w:kern w:val="0"/>
                <w:sz w:val="22"/>
                <w:szCs w:val="22"/>
                <w:u w:val="single"/>
              </w:rPr>
              <w:t xml:space="preserve">            </w:t>
            </w:r>
            <w:r>
              <w:rPr>
                <w:rFonts w:hint="eastAsia" w:ascii="宋体" w:hAnsi="宋体" w:cs="宋体"/>
                <w:color w:val="000000"/>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1.12.1</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实质性要求和条件</w:t>
            </w:r>
          </w:p>
        </w:tc>
        <w:tc>
          <w:tcPr>
            <w:tcW w:w="6757" w:type="dxa"/>
            <w:vAlign w:val="center"/>
          </w:tcPr>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pacing w:line="480" w:lineRule="exact"/>
              <w:jc w:val="center"/>
              <w:rPr>
                <w:rFonts w:hint="eastAsia" w:ascii="宋体" w:hAnsi="宋体" w:cs="宋体"/>
                <w:color w:val="000000"/>
                <w:sz w:val="22"/>
                <w:szCs w:val="22"/>
              </w:rPr>
            </w:pPr>
            <w:r>
              <w:rPr>
                <w:rFonts w:hint="eastAsia" w:ascii="宋体" w:hAnsi="宋体" w:cs="宋体"/>
                <w:color w:val="000000"/>
                <w:sz w:val="22"/>
                <w:szCs w:val="22"/>
              </w:rPr>
              <w:t>1.12.3</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其他可以被接受的技术支持资料</w:t>
            </w:r>
          </w:p>
        </w:tc>
        <w:tc>
          <w:tcPr>
            <w:tcW w:w="6757" w:type="dxa"/>
            <w:vAlign w:val="center"/>
          </w:tcPr>
          <w:p>
            <w:pPr>
              <w:pStyle w:val="18"/>
              <w:topLinePunct/>
              <w:spacing w:line="480" w:lineRule="exact"/>
              <w:rPr>
                <w:rFonts w:hint="eastAsia" w:ascii="宋体" w:eastAsia="宋体" w:cs="宋体"/>
                <w:bCs w:val="0"/>
                <w:sz w:val="22"/>
                <w:szCs w:val="22"/>
              </w:rPr>
            </w:pPr>
            <w:r>
              <w:rPr>
                <w:rFonts w:hint="eastAsia" w:ascii="宋体" w:eastAsia="宋体" w:cs="宋体"/>
                <w:bCs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pacing w:line="480" w:lineRule="exact"/>
              <w:jc w:val="center"/>
              <w:rPr>
                <w:rFonts w:hint="eastAsia" w:ascii="宋体" w:hAnsi="宋体" w:cs="宋体"/>
                <w:color w:val="000000"/>
                <w:sz w:val="22"/>
                <w:szCs w:val="22"/>
              </w:rPr>
            </w:pPr>
            <w:r>
              <w:rPr>
                <w:rFonts w:hint="eastAsia" w:ascii="宋体" w:hAnsi="宋体" w:cs="宋体"/>
                <w:color w:val="000000"/>
                <w:sz w:val="22"/>
                <w:szCs w:val="22"/>
              </w:rPr>
              <w:t>1.12.4</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偏差</w:t>
            </w:r>
          </w:p>
        </w:tc>
        <w:tc>
          <w:tcPr>
            <w:tcW w:w="6757" w:type="dxa"/>
          </w:tcPr>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☑不允许</w:t>
            </w:r>
          </w:p>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□允许，偏差范围：详见招标文件第五章“供货要求”</w:t>
            </w:r>
          </w:p>
          <w:p>
            <w:pPr>
              <w:snapToGrid w:val="0"/>
              <w:spacing w:line="480" w:lineRule="exact"/>
              <w:ind w:firstLine="880" w:firstLineChars="400"/>
              <w:rPr>
                <w:rFonts w:hint="eastAsia" w:ascii="宋体" w:hAnsi="宋体" w:cs="宋体"/>
                <w:color w:val="E36C0A"/>
                <w:sz w:val="22"/>
                <w:szCs w:val="22"/>
              </w:rPr>
            </w:pPr>
            <w:r>
              <w:rPr>
                <w:rFonts w:hint="eastAsia" w:ascii="宋体" w:hAnsi="宋体" w:cs="宋体"/>
                <w:color w:val="000000"/>
                <w:sz w:val="22"/>
                <w:szCs w:val="22"/>
              </w:rPr>
              <w:t>最高项数：详见招标文件第五章“供货要求”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2.1</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构成招标文件的其他资料</w:t>
            </w:r>
          </w:p>
        </w:tc>
        <w:tc>
          <w:tcPr>
            <w:tcW w:w="6757" w:type="dxa"/>
            <w:vAlign w:val="center"/>
          </w:tcPr>
          <w:p>
            <w:pPr>
              <w:widowControl/>
              <w:spacing w:line="480" w:lineRule="exact"/>
              <w:jc w:val="left"/>
              <w:rPr>
                <w:rFonts w:hint="eastAsia" w:ascii="宋体" w:hAnsi="宋体" w:cs="宋体"/>
                <w:color w:val="000000"/>
                <w:sz w:val="22"/>
                <w:szCs w:val="22"/>
              </w:rPr>
            </w:pPr>
            <w:r>
              <w:rPr>
                <w:rFonts w:hint="eastAsia" w:ascii="宋体" w:hAnsi="宋体" w:cs="宋体"/>
                <w:color w:val="000000"/>
                <w:kern w:val="0"/>
                <w:sz w:val="22"/>
                <w:szCs w:val="22"/>
              </w:rPr>
              <w:t>工程量清单及最高投标限价、图纸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Merge w:val="restart"/>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2.2.1</w:t>
            </w:r>
          </w:p>
        </w:tc>
        <w:tc>
          <w:tcPr>
            <w:tcW w:w="1980" w:type="dxa"/>
            <w:vMerge w:val="restart"/>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投标人要求澄清招标文件</w:t>
            </w:r>
          </w:p>
        </w:tc>
        <w:tc>
          <w:tcPr>
            <w:tcW w:w="6757" w:type="dxa"/>
            <w:vAlign w:val="center"/>
          </w:tcPr>
          <w:p>
            <w:pPr>
              <w:snapToGrid w:val="0"/>
              <w:spacing w:line="480" w:lineRule="exact"/>
              <w:rPr>
                <w:rFonts w:hint="eastAsia" w:ascii="宋体" w:hAnsi="宋体" w:cs="宋体"/>
                <w:sz w:val="22"/>
                <w:szCs w:val="22"/>
                <w:highlight w:val="white"/>
              </w:rPr>
            </w:pPr>
            <w:r>
              <w:rPr>
                <w:rFonts w:hint="eastAsia" w:ascii="宋体" w:hAnsi="宋体" w:cs="宋体"/>
                <w:sz w:val="22"/>
                <w:szCs w:val="22"/>
                <w:highlight w:val="yellow"/>
              </w:rPr>
              <w:t>时间：</w:t>
            </w:r>
            <w:r>
              <w:rPr>
                <w:rFonts w:hint="eastAsia" w:ascii="宋体" w:hAnsi="宋体" w:cs="宋体"/>
                <w:bCs/>
                <w:snapToGrid w:val="0"/>
                <w:color w:val="000000"/>
                <w:kern w:val="0"/>
                <w:sz w:val="22"/>
                <w:szCs w:val="22"/>
                <w:highlight w:val="yellow"/>
                <w:u w:val="single"/>
              </w:rPr>
              <w:t xml:space="preserve">    </w:t>
            </w:r>
            <w:r>
              <w:rPr>
                <w:rFonts w:hint="eastAsia" w:ascii="宋体" w:hAnsi="宋体" w:cs="宋体"/>
                <w:bCs/>
                <w:snapToGrid w:val="0"/>
                <w:color w:val="000000"/>
                <w:kern w:val="0"/>
                <w:sz w:val="22"/>
                <w:szCs w:val="22"/>
                <w:highlight w:val="yellow"/>
              </w:rPr>
              <w:t>年</w:t>
            </w:r>
            <w:r>
              <w:rPr>
                <w:rFonts w:hint="eastAsia" w:ascii="宋体" w:hAnsi="宋体" w:cs="宋体"/>
                <w:bCs/>
                <w:snapToGrid w:val="0"/>
                <w:color w:val="000000"/>
                <w:kern w:val="0"/>
                <w:sz w:val="22"/>
                <w:szCs w:val="22"/>
                <w:highlight w:val="yellow"/>
                <w:u w:val="single"/>
              </w:rPr>
              <w:t xml:space="preserve">   </w:t>
            </w:r>
            <w:r>
              <w:rPr>
                <w:rFonts w:hint="eastAsia" w:ascii="宋体" w:hAnsi="宋体" w:cs="宋体"/>
                <w:bCs/>
                <w:snapToGrid w:val="0"/>
                <w:color w:val="000000"/>
                <w:kern w:val="0"/>
                <w:sz w:val="22"/>
                <w:szCs w:val="22"/>
                <w:highlight w:val="yellow"/>
              </w:rPr>
              <w:t>月</w:t>
            </w:r>
            <w:r>
              <w:rPr>
                <w:rFonts w:hint="eastAsia" w:ascii="宋体" w:hAnsi="宋体" w:cs="宋体"/>
                <w:bCs/>
                <w:snapToGrid w:val="0"/>
                <w:color w:val="000000"/>
                <w:kern w:val="0"/>
                <w:sz w:val="22"/>
                <w:szCs w:val="22"/>
                <w:highlight w:val="yellow"/>
                <w:u w:val="single"/>
              </w:rPr>
              <w:t xml:space="preserve">   </w:t>
            </w:r>
            <w:r>
              <w:rPr>
                <w:rFonts w:hint="eastAsia" w:ascii="宋体" w:hAnsi="宋体" w:cs="宋体"/>
                <w:bCs/>
                <w:snapToGrid w:val="0"/>
                <w:color w:val="000000"/>
                <w:kern w:val="0"/>
                <w:sz w:val="22"/>
                <w:szCs w:val="22"/>
                <w:highlight w:val="yellow"/>
              </w:rPr>
              <w:t>日</w:t>
            </w:r>
            <w:r>
              <w:rPr>
                <w:rFonts w:hint="eastAsia" w:ascii="宋体" w:hAnsi="宋体" w:cs="宋体"/>
                <w:bCs/>
                <w:snapToGrid w:val="0"/>
                <w:color w:val="000000"/>
                <w:kern w:val="0"/>
                <w:sz w:val="22"/>
                <w:szCs w:val="22"/>
                <w:highlight w:val="yellow"/>
                <w:u w:val="single"/>
              </w:rPr>
              <w:t xml:space="preserve">   </w:t>
            </w:r>
            <w:r>
              <w:rPr>
                <w:rFonts w:hint="eastAsia" w:ascii="宋体" w:hAnsi="宋体" w:cs="宋体"/>
                <w:bCs/>
                <w:snapToGrid w:val="0"/>
                <w:color w:val="000000"/>
                <w:kern w:val="0"/>
                <w:sz w:val="22"/>
                <w:szCs w:val="22"/>
                <w:highlight w:val="yellow"/>
              </w:rPr>
              <w:t>时</w:t>
            </w:r>
            <w:r>
              <w:rPr>
                <w:rFonts w:hint="eastAsia" w:ascii="宋体" w:hAnsi="宋体" w:cs="宋体"/>
                <w:bCs/>
                <w:snapToGrid w:val="0"/>
                <w:color w:val="000000"/>
                <w:kern w:val="0"/>
                <w:sz w:val="22"/>
                <w:szCs w:val="22"/>
                <w:highlight w:val="yellow"/>
                <w:u w:val="single"/>
              </w:rPr>
              <w:t xml:space="preserve">   </w:t>
            </w:r>
            <w:r>
              <w:rPr>
                <w:rFonts w:hint="eastAsia" w:ascii="宋体" w:hAnsi="宋体" w:cs="宋体"/>
                <w:bCs/>
                <w:snapToGrid w:val="0"/>
                <w:color w:val="000000"/>
                <w:kern w:val="0"/>
                <w:sz w:val="22"/>
                <w:szCs w:val="22"/>
                <w:highlight w:val="yellow"/>
              </w:rPr>
              <w:t>分前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Merge w:val="continue"/>
            <w:vAlign w:val="center"/>
          </w:tcPr>
          <w:p>
            <w:pPr>
              <w:snapToGrid w:val="0"/>
              <w:spacing w:line="480" w:lineRule="exact"/>
              <w:jc w:val="center"/>
              <w:rPr>
                <w:rFonts w:hint="eastAsia" w:ascii="宋体" w:hAnsi="宋体" w:cs="宋体"/>
                <w:color w:val="000000"/>
                <w:sz w:val="22"/>
                <w:szCs w:val="22"/>
              </w:rPr>
            </w:pPr>
          </w:p>
        </w:tc>
        <w:tc>
          <w:tcPr>
            <w:tcW w:w="1980" w:type="dxa"/>
            <w:vMerge w:val="continue"/>
            <w:vAlign w:val="center"/>
          </w:tcPr>
          <w:p>
            <w:pPr>
              <w:snapToGrid w:val="0"/>
              <w:spacing w:line="480" w:lineRule="exact"/>
              <w:jc w:val="center"/>
              <w:rPr>
                <w:rFonts w:hint="eastAsia" w:ascii="宋体" w:hAnsi="宋体" w:cs="宋体"/>
                <w:color w:val="000000"/>
                <w:sz w:val="22"/>
                <w:szCs w:val="22"/>
              </w:rPr>
            </w:pPr>
          </w:p>
        </w:tc>
        <w:tc>
          <w:tcPr>
            <w:tcW w:w="6757" w:type="dxa"/>
            <w:vAlign w:val="center"/>
          </w:tcPr>
          <w:p>
            <w:pPr>
              <w:snapToGrid w:val="0"/>
              <w:spacing w:line="480" w:lineRule="exact"/>
              <w:rPr>
                <w:rFonts w:hint="eastAsia" w:ascii="宋体" w:hAnsi="宋体" w:cs="宋体"/>
                <w:color w:val="000000"/>
                <w:sz w:val="22"/>
                <w:szCs w:val="22"/>
                <w:highlight w:val="white"/>
              </w:rPr>
            </w:pPr>
            <w:r>
              <w:rPr>
                <w:rFonts w:hint="eastAsia" w:ascii="宋体" w:hAnsi="宋体" w:cs="宋体"/>
                <w:bCs/>
                <w:snapToGrid w:val="0"/>
                <w:color w:val="000000"/>
                <w:kern w:val="0"/>
                <w:sz w:val="22"/>
                <w:szCs w:val="22"/>
              </w:rPr>
              <w:t>形式：</w:t>
            </w:r>
            <w:r>
              <w:rPr>
                <w:rFonts w:hint="eastAsia" w:ascii="宋体" w:hAnsi="宋体" w:cs="宋体"/>
                <w:bCs/>
                <w:snapToGrid w:val="0"/>
                <w:kern w:val="0"/>
                <w:sz w:val="22"/>
                <w:szCs w:val="22"/>
              </w:rPr>
              <w:t>投标人应通过安徽合肥公共资源交易平台网站（网址：http://ggzy.hefei.gov.cn/）平台提交。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2.2.2</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snapToGrid w:val="0"/>
                <w:kern w:val="0"/>
                <w:sz w:val="22"/>
                <w:szCs w:val="22"/>
              </w:rPr>
              <w:t>招标文件澄清发出的形式</w:t>
            </w:r>
          </w:p>
        </w:tc>
        <w:tc>
          <w:tcPr>
            <w:tcW w:w="6757" w:type="dxa"/>
            <w:vAlign w:val="center"/>
          </w:tcPr>
          <w:p>
            <w:pPr>
              <w:snapToGrid w:val="0"/>
              <w:spacing w:line="480" w:lineRule="exact"/>
              <w:rPr>
                <w:rFonts w:hint="eastAsia" w:ascii="宋体" w:hAnsi="宋体" w:cs="宋体"/>
                <w:color w:val="000000"/>
                <w:sz w:val="22"/>
                <w:szCs w:val="22"/>
              </w:rPr>
            </w:pPr>
            <w:r>
              <w:rPr>
                <w:rFonts w:hint="eastAsia" w:ascii="宋体" w:hAnsi="宋体" w:cs="宋体"/>
                <w:snapToGrid w:val="0"/>
                <w:kern w:val="0"/>
                <w:sz w:val="22"/>
                <w:szCs w:val="22"/>
              </w:rPr>
              <w:t>招标文件澄清将在安徽合肥公共资源交易平台网站（网址：http://ggzy.hefei.gov.cn/）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2.2.3</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投标人确认收到招标文件澄清</w:t>
            </w:r>
          </w:p>
        </w:tc>
        <w:tc>
          <w:tcPr>
            <w:tcW w:w="6757" w:type="dxa"/>
            <w:vAlign w:val="center"/>
          </w:tcPr>
          <w:p>
            <w:pPr>
              <w:snapToGrid w:val="0"/>
              <w:spacing w:line="480" w:lineRule="exact"/>
              <w:rPr>
                <w:rFonts w:hint="eastAsia" w:ascii="宋体" w:hAnsi="宋体" w:cs="宋体"/>
                <w:color w:val="000000"/>
                <w:sz w:val="22"/>
                <w:szCs w:val="22"/>
                <w:u w:val="single"/>
              </w:rPr>
            </w:pPr>
            <w:r>
              <w:rPr>
                <w:rFonts w:hint="eastAsia" w:ascii="宋体" w:hAnsi="宋体" w:cs="宋体"/>
                <w:bCs/>
                <w:snapToGrid w:val="0"/>
                <w:color w:val="000000"/>
                <w:kern w:val="0"/>
                <w:sz w:val="22"/>
                <w:szCs w:val="22"/>
              </w:rPr>
              <w:t>所有潜在投标人在投标截止时间前有义务在电子服务系统自行查询，无需回复确认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ind w:left="105" w:leftChars="50" w:right="105" w:rightChars="50"/>
              <w:jc w:val="center"/>
              <w:rPr>
                <w:rFonts w:hint="eastAsia" w:ascii="宋体" w:hAnsi="宋体" w:cs="宋体"/>
                <w:snapToGrid w:val="0"/>
                <w:kern w:val="0"/>
                <w:sz w:val="22"/>
                <w:szCs w:val="22"/>
              </w:rPr>
            </w:pPr>
            <w:r>
              <w:rPr>
                <w:rFonts w:hint="eastAsia" w:ascii="宋体" w:hAnsi="宋体" w:cs="宋体"/>
                <w:snapToGrid w:val="0"/>
                <w:kern w:val="0"/>
                <w:sz w:val="22"/>
                <w:szCs w:val="22"/>
              </w:rPr>
              <w:t>2.3.1</w:t>
            </w:r>
          </w:p>
        </w:tc>
        <w:tc>
          <w:tcPr>
            <w:tcW w:w="1980" w:type="dxa"/>
            <w:vAlign w:val="center"/>
          </w:tcPr>
          <w:p>
            <w:pPr>
              <w:kinsoku w:val="0"/>
              <w:overflowPunct w:val="0"/>
              <w:autoSpaceDE w:val="0"/>
              <w:autoSpaceDN w:val="0"/>
              <w:adjustRightInd w:val="0"/>
              <w:snapToGrid w:val="0"/>
              <w:spacing w:line="480" w:lineRule="exact"/>
              <w:ind w:right="105" w:rightChars="50"/>
              <w:jc w:val="center"/>
              <w:rPr>
                <w:rFonts w:hint="eastAsia" w:ascii="宋体" w:hAnsi="宋体" w:cs="宋体"/>
                <w:snapToGrid w:val="0"/>
                <w:kern w:val="0"/>
                <w:sz w:val="22"/>
                <w:szCs w:val="22"/>
              </w:rPr>
            </w:pPr>
            <w:r>
              <w:rPr>
                <w:rFonts w:hint="eastAsia" w:ascii="宋体" w:hAnsi="宋体" w:cs="宋体"/>
                <w:snapToGrid w:val="0"/>
                <w:kern w:val="0"/>
                <w:sz w:val="22"/>
                <w:szCs w:val="22"/>
              </w:rPr>
              <w:t>招标文件修改发出的形式</w:t>
            </w:r>
          </w:p>
        </w:tc>
        <w:tc>
          <w:tcPr>
            <w:tcW w:w="6757" w:type="dxa"/>
            <w:vAlign w:val="center"/>
          </w:tcPr>
          <w:p>
            <w:pPr>
              <w:autoSpaceDE w:val="0"/>
              <w:autoSpaceDN w:val="0"/>
              <w:adjustRightInd w:val="0"/>
              <w:snapToGrid w:val="0"/>
              <w:spacing w:line="480" w:lineRule="exact"/>
              <w:ind w:right="105" w:rightChars="50"/>
              <w:jc w:val="left"/>
              <w:rPr>
                <w:rFonts w:hint="eastAsia" w:ascii="宋体" w:hAnsi="宋体" w:cs="宋体"/>
                <w:snapToGrid w:val="0"/>
                <w:color w:val="000000"/>
                <w:kern w:val="0"/>
                <w:sz w:val="22"/>
                <w:szCs w:val="22"/>
              </w:rPr>
            </w:pPr>
            <w:r>
              <w:rPr>
                <w:rFonts w:hint="eastAsia" w:ascii="宋体" w:hAnsi="宋体" w:cs="宋体"/>
                <w:snapToGrid w:val="0"/>
                <w:color w:val="000000"/>
                <w:kern w:val="0"/>
                <w:sz w:val="22"/>
                <w:szCs w:val="22"/>
              </w:rPr>
              <w:t>通过</w:t>
            </w:r>
            <w:r>
              <w:rPr>
                <w:rFonts w:hint="eastAsia" w:ascii="宋体" w:hAnsi="宋体" w:cs="宋体"/>
                <w:bCs/>
                <w:snapToGrid w:val="0"/>
                <w:color w:val="000000"/>
                <w:kern w:val="0"/>
                <w:sz w:val="22"/>
                <w:szCs w:val="22"/>
              </w:rPr>
              <w:t>电子服务系统</w:t>
            </w:r>
            <w:r>
              <w:rPr>
                <w:rFonts w:hint="eastAsia" w:ascii="宋体" w:hAnsi="宋体" w:cs="宋体"/>
                <w:snapToGrid w:val="0"/>
                <w:color w:val="000000"/>
                <w:kern w:val="0"/>
                <w:sz w:val="22"/>
                <w:szCs w:val="22"/>
              </w:rPr>
              <w:t>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2.3.2</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投标人确认收到招标文件修改</w:t>
            </w:r>
          </w:p>
        </w:tc>
        <w:tc>
          <w:tcPr>
            <w:tcW w:w="6757" w:type="dxa"/>
            <w:vAlign w:val="center"/>
          </w:tcPr>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通过电子服务系统发布修改文件的，所有潜在投标人在投标截止时间前有义务在电子服务系统自行查询，无需回复确认。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2.4</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招标文件的异议</w:t>
            </w:r>
          </w:p>
        </w:tc>
        <w:tc>
          <w:tcPr>
            <w:tcW w:w="6757" w:type="dxa"/>
            <w:vAlign w:val="center"/>
          </w:tcPr>
          <w:p>
            <w:pPr>
              <w:spacing w:line="480" w:lineRule="exact"/>
              <w:rPr>
                <w:rFonts w:hint="eastAsia" w:ascii="宋体" w:hAnsi="宋体" w:cs="宋体"/>
                <w:color w:val="000000"/>
                <w:sz w:val="22"/>
                <w:szCs w:val="22"/>
              </w:rPr>
            </w:pPr>
            <w:r>
              <w:rPr>
                <w:rFonts w:hint="eastAsia" w:ascii="宋体" w:hAnsi="宋体" w:cs="宋体"/>
                <w:color w:val="000000"/>
                <w:sz w:val="22"/>
                <w:szCs w:val="22"/>
              </w:rPr>
              <w:t>时间：</w:t>
            </w:r>
            <w:r>
              <w:rPr>
                <w:rFonts w:hint="eastAsia" w:ascii="宋体" w:hAnsi="宋体" w:cs="宋体"/>
                <w:color w:val="000000"/>
                <w:sz w:val="22"/>
                <w:szCs w:val="22"/>
                <w:highlight w:val="yellow"/>
                <w:u w:val="single"/>
              </w:rPr>
              <w:t xml:space="preserve"> 2022 年   月   日 17 时 30 分。</w:t>
            </w:r>
          </w:p>
          <w:p>
            <w:pPr>
              <w:spacing w:line="480" w:lineRule="exact"/>
              <w:rPr>
                <w:rFonts w:hint="eastAsia" w:ascii="宋体" w:hAnsi="宋体" w:cs="宋体"/>
                <w:color w:val="000000"/>
                <w:sz w:val="22"/>
                <w:szCs w:val="22"/>
              </w:rPr>
            </w:pPr>
            <w:r>
              <w:rPr>
                <w:rFonts w:hint="eastAsia" w:ascii="宋体" w:hAnsi="宋体" w:cs="宋体"/>
                <w:color w:val="000000"/>
                <w:sz w:val="22"/>
                <w:szCs w:val="22"/>
              </w:rPr>
              <w:t>形式：通过电子交易系统提交。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3.1.1</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构成投标文件的其他资料</w:t>
            </w:r>
          </w:p>
        </w:tc>
        <w:tc>
          <w:tcPr>
            <w:tcW w:w="6757" w:type="dxa"/>
            <w:vAlign w:val="center"/>
          </w:tcPr>
          <w:p>
            <w:pPr>
              <w:spacing w:line="480" w:lineRule="exact"/>
              <w:rPr>
                <w:rFonts w:hint="eastAsia" w:ascii="宋体" w:hAnsi="宋体" w:cs="宋体"/>
                <w:color w:val="000000"/>
                <w:sz w:val="22"/>
                <w:szCs w:val="22"/>
              </w:rPr>
            </w:pPr>
            <w:r>
              <w:rPr>
                <w:rFonts w:hint="eastAsia" w:ascii="宋体" w:hAnsi="宋体" w:cs="宋体"/>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3.2.1</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增值税税金的计算方法</w:t>
            </w:r>
          </w:p>
        </w:tc>
        <w:tc>
          <w:tcPr>
            <w:tcW w:w="6757" w:type="dxa"/>
            <w:vAlign w:val="center"/>
          </w:tcPr>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计税方法：</w:t>
            </w:r>
          </w:p>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☑一般计税方法</w:t>
            </w:r>
          </w:p>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 xml:space="preserve">□简易计税方法 </w:t>
            </w:r>
          </w:p>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发票类型：</w:t>
            </w:r>
          </w:p>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☑增值税专用发票</w:t>
            </w:r>
          </w:p>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□增值税普通发票</w:t>
            </w:r>
          </w:p>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增值税税率按照国家有关规定执行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3.2.4</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最高投标限价</w:t>
            </w:r>
          </w:p>
        </w:tc>
        <w:tc>
          <w:tcPr>
            <w:tcW w:w="6757" w:type="dxa"/>
            <w:vAlign w:val="center"/>
          </w:tcPr>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□无</w:t>
            </w:r>
          </w:p>
          <w:p>
            <w:pPr>
              <w:snapToGrid w:val="0"/>
              <w:spacing w:line="480" w:lineRule="exact"/>
              <w:rPr>
                <w:rFonts w:hint="eastAsia" w:ascii="宋体" w:hAnsi="宋体" w:cs="宋体"/>
                <w:bCs/>
                <w:snapToGrid w:val="0"/>
                <w:color w:val="FF0000"/>
                <w:kern w:val="0"/>
                <w:sz w:val="22"/>
                <w:szCs w:val="22"/>
              </w:rPr>
            </w:pPr>
            <w:r>
              <w:rPr>
                <w:rFonts w:hint="eastAsia" w:ascii="宋体" w:hAnsi="宋体" w:cs="宋体"/>
                <w:bCs/>
                <w:snapToGrid w:val="0"/>
                <w:color w:val="000000"/>
                <w:kern w:val="0"/>
                <w:sz w:val="22"/>
                <w:szCs w:val="22"/>
              </w:rPr>
              <w:t>☑有，</w:t>
            </w:r>
            <w:r>
              <w:rPr>
                <w:rFonts w:hint="eastAsia" w:ascii="宋体" w:hAnsi="宋体" w:cs="宋体"/>
                <w:bCs/>
                <w:snapToGrid w:val="0"/>
                <w:kern w:val="0"/>
                <w:sz w:val="22"/>
                <w:szCs w:val="22"/>
                <w:highlight w:val="yellow"/>
              </w:rPr>
              <w:t>最高投标限价___元</w:t>
            </w:r>
          </w:p>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□有，投标截止时间</w:t>
            </w:r>
            <w:r>
              <w:rPr>
                <w:rFonts w:hint="eastAsia" w:ascii="宋体" w:hAnsi="宋体" w:cs="宋体"/>
                <w:bCs/>
                <w:snapToGrid w:val="0"/>
                <w:color w:val="000000"/>
                <w:kern w:val="0"/>
                <w:sz w:val="22"/>
                <w:szCs w:val="22"/>
                <w:u w:val="single"/>
              </w:rPr>
              <w:t>15</w:t>
            </w:r>
            <w:r>
              <w:rPr>
                <w:rFonts w:hint="eastAsia" w:ascii="宋体" w:hAnsi="宋体" w:cs="宋体"/>
                <w:bCs/>
                <w:snapToGrid w:val="0"/>
                <w:color w:val="000000"/>
                <w:kern w:val="0"/>
                <w:sz w:val="22"/>
                <w:szCs w:val="22"/>
              </w:rPr>
              <w:t>日前通过电子服务系统发布。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3.2.5</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投标报价的其他要求</w:t>
            </w:r>
          </w:p>
        </w:tc>
        <w:tc>
          <w:tcPr>
            <w:tcW w:w="6757" w:type="dxa"/>
            <w:vAlign w:val="center"/>
          </w:tcPr>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投标人的报价应包括材料（主要及辅助材料）及设备的生产（购买）、包装、运输、装卸、加工（含加工过程中的主要及辅助材料损耗）、施工（含施工过程中的主要及辅助材料损耗）、检测、验收、维保、培训、利润、税金、安全经费、文明施工费、临时设施费、环保费及其他相关施工措施费用和技术措施费用、规费等全部费用。</w:t>
            </w:r>
          </w:p>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□招标人不能接受</w:t>
            </w:r>
            <w:r>
              <w:rPr>
                <w:rFonts w:hint="eastAsia" w:ascii="宋体" w:hAnsi="宋体" w:cs="宋体"/>
                <w:bCs/>
                <w:snapToGrid w:val="0"/>
                <w:color w:val="000000"/>
                <w:kern w:val="0"/>
                <w:sz w:val="22"/>
                <w:szCs w:val="22"/>
                <w:lang w:eastAsia="zh-CN"/>
              </w:rPr>
              <w:t>的其他</w:t>
            </w:r>
            <w:r>
              <w:rPr>
                <w:rFonts w:hint="eastAsia" w:ascii="宋体" w:hAnsi="宋体" w:cs="宋体"/>
                <w:bCs/>
                <w:snapToGrid w:val="0"/>
                <w:color w:val="000000"/>
                <w:kern w:val="0"/>
                <w:sz w:val="22"/>
                <w:szCs w:val="22"/>
              </w:rPr>
              <w:t>实质性条件：</w:t>
            </w:r>
            <w:r>
              <w:rPr>
                <w:rFonts w:hint="eastAsia" w:ascii="宋体" w:hAnsi="宋体" w:cs="宋体"/>
                <w:bCs/>
                <w:snapToGrid w:val="0"/>
                <w:color w:val="000000"/>
                <w:kern w:val="0"/>
                <w:sz w:val="22"/>
                <w:szCs w:val="22"/>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3.3.1</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投标有效期</w:t>
            </w:r>
          </w:p>
        </w:tc>
        <w:tc>
          <w:tcPr>
            <w:tcW w:w="6757" w:type="dxa"/>
            <w:vAlign w:val="center"/>
          </w:tcPr>
          <w:p>
            <w:pPr>
              <w:snapToGrid w:val="0"/>
              <w:spacing w:line="480" w:lineRule="exact"/>
              <w:rPr>
                <w:rFonts w:hint="eastAsia" w:ascii="宋体" w:hAnsi="宋体" w:cs="宋体"/>
                <w:snapToGrid w:val="0"/>
                <w:color w:val="000000"/>
                <w:kern w:val="0"/>
                <w:sz w:val="22"/>
                <w:szCs w:val="22"/>
              </w:rPr>
            </w:pPr>
            <w:r>
              <w:rPr>
                <w:rFonts w:hint="eastAsia" w:ascii="宋体" w:hAnsi="宋体" w:cs="宋体"/>
                <w:snapToGrid w:val="0"/>
                <w:color w:val="000000"/>
                <w:kern w:val="0"/>
                <w:sz w:val="22"/>
                <w:szCs w:val="22"/>
              </w:rPr>
              <w:t>自投标人提交投标文件截止之日起计算</w:t>
            </w:r>
            <w:r>
              <w:rPr>
                <w:rFonts w:hint="eastAsia" w:ascii="宋体" w:hAnsi="宋体" w:cs="宋体"/>
                <w:snapToGrid w:val="0"/>
                <w:color w:val="000000"/>
                <w:kern w:val="0"/>
                <w:sz w:val="22"/>
                <w:szCs w:val="22"/>
                <w:u w:val="single"/>
              </w:rPr>
              <w:t>90</w:t>
            </w:r>
            <w:r>
              <w:rPr>
                <w:rFonts w:hint="eastAsia" w:ascii="宋体" w:hAnsi="宋体" w:cs="宋体"/>
                <w:snapToGrid w:val="0"/>
                <w:color w:val="000000"/>
                <w:kern w:val="0"/>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3.4.1</w:t>
            </w:r>
          </w:p>
        </w:tc>
        <w:tc>
          <w:tcPr>
            <w:tcW w:w="1980" w:type="dxa"/>
            <w:vAlign w:val="center"/>
          </w:tcPr>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投标保证金</w:t>
            </w:r>
          </w:p>
        </w:tc>
        <w:tc>
          <w:tcPr>
            <w:tcW w:w="6757" w:type="dxa"/>
            <w:vAlign w:val="center"/>
          </w:tcPr>
          <w:p>
            <w:pPr>
              <w:snapToGrid w:val="0"/>
              <w:spacing w:line="480" w:lineRule="exact"/>
              <w:rPr>
                <w:rFonts w:hint="eastAsia" w:ascii="宋体" w:hAnsi="宋体" w:cs="宋体"/>
                <w:kern w:val="0"/>
                <w:sz w:val="22"/>
                <w:szCs w:val="22"/>
              </w:rPr>
            </w:pPr>
            <w:r>
              <w:rPr>
                <w:rFonts w:hint="eastAsia" w:ascii="宋体" w:hAnsi="宋体" w:cs="宋体"/>
                <w:kern w:val="0"/>
                <w:sz w:val="22"/>
                <w:szCs w:val="22"/>
              </w:rPr>
              <w:t>是否要求投标人递交投标保证金：</w:t>
            </w:r>
          </w:p>
          <w:p>
            <w:pPr>
              <w:snapToGrid w:val="0"/>
              <w:spacing w:line="480" w:lineRule="exact"/>
              <w:rPr>
                <w:rFonts w:hint="eastAsia" w:ascii="宋体" w:hAnsi="宋体" w:cs="宋体"/>
                <w:kern w:val="0"/>
                <w:sz w:val="22"/>
                <w:szCs w:val="22"/>
              </w:rPr>
            </w:pPr>
            <w:r>
              <w:rPr>
                <w:rFonts w:hint="eastAsia" w:ascii="宋体" w:hAnsi="宋体" w:cs="宋体"/>
                <w:kern w:val="0"/>
                <w:sz w:val="22"/>
                <w:szCs w:val="22"/>
              </w:rPr>
              <w:t>□不要求</w:t>
            </w:r>
          </w:p>
          <w:p>
            <w:pPr>
              <w:snapToGrid w:val="0"/>
              <w:spacing w:line="480" w:lineRule="exact"/>
              <w:rPr>
                <w:rFonts w:hint="eastAsia" w:ascii="宋体" w:hAnsi="宋体" w:cs="宋体"/>
                <w:kern w:val="0"/>
                <w:sz w:val="22"/>
                <w:szCs w:val="22"/>
              </w:rPr>
            </w:pPr>
            <w:r>
              <w:rPr>
                <w:rFonts w:hint="eastAsia" w:ascii="宋体" w:hAnsi="宋体" w:cs="宋体"/>
                <w:kern w:val="0"/>
                <w:sz w:val="22"/>
                <w:szCs w:val="22"/>
              </w:rPr>
              <w:t>☑要求</w:t>
            </w:r>
          </w:p>
          <w:p>
            <w:pPr>
              <w:snapToGrid w:val="0"/>
              <w:spacing w:line="480" w:lineRule="exact"/>
              <w:rPr>
                <w:rFonts w:hint="eastAsia" w:ascii="宋体" w:hAnsi="宋体" w:cs="宋体"/>
                <w:kern w:val="0"/>
                <w:sz w:val="22"/>
                <w:szCs w:val="22"/>
              </w:rPr>
            </w:pPr>
            <w:r>
              <w:rPr>
                <w:rFonts w:hint="eastAsia" w:ascii="宋体" w:hAnsi="宋体" w:cs="宋体"/>
                <w:kern w:val="0"/>
                <w:sz w:val="22"/>
                <w:szCs w:val="22"/>
              </w:rPr>
              <w:t xml:space="preserve">投标保证金的形式：第一类：☑银行转账 ☑银行电汇； </w:t>
            </w:r>
          </w:p>
          <w:p>
            <w:pPr>
              <w:snapToGrid w:val="0"/>
              <w:spacing w:line="480" w:lineRule="exact"/>
              <w:rPr>
                <w:rFonts w:hint="eastAsia" w:ascii="宋体" w:hAnsi="宋体" w:cs="宋体"/>
                <w:kern w:val="0"/>
                <w:sz w:val="22"/>
                <w:szCs w:val="22"/>
              </w:rPr>
            </w:pPr>
            <w:r>
              <w:rPr>
                <w:rFonts w:hint="eastAsia" w:ascii="宋体" w:hAnsi="宋体" w:cs="宋体"/>
                <w:kern w:val="0"/>
                <w:sz w:val="22"/>
                <w:szCs w:val="22"/>
              </w:rPr>
              <w:t>第二类：☑银行保函 ☑担保机构担保 ☑保证保险；</w:t>
            </w:r>
          </w:p>
          <w:p>
            <w:pPr>
              <w:snapToGrid w:val="0"/>
              <w:spacing w:line="480" w:lineRule="exact"/>
              <w:rPr>
                <w:rFonts w:hint="eastAsia" w:ascii="宋体" w:hAnsi="宋体" w:cs="宋体"/>
                <w:kern w:val="0"/>
                <w:sz w:val="22"/>
                <w:szCs w:val="22"/>
              </w:rPr>
            </w:pPr>
            <w:r>
              <w:rPr>
                <w:rFonts w:hint="eastAsia" w:ascii="宋体" w:hAnsi="宋体" w:cs="宋体"/>
                <w:kern w:val="0"/>
                <w:sz w:val="22"/>
                <w:szCs w:val="22"/>
              </w:rPr>
              <w:t>第三类： ☑电子保函；</w:t>
            </w:r>
          </w:p>
          <w:p>
            <w:pPr>
              <w:snapToGrid w:val="0"/>
              <w:spacing w:line="480" w:lineRule="exact"/>
              <w:rPr>
                <w:rFonts w:hint="eastAsia" w:ascii="宋体" w:hAnsi="宋体" w:cs="宋体"/>
                <w:kern w:val="0"/>
                <w:sz w:val="22"/>
                <w:szCs w:val="22"/>
              </w:rPr>
            </w:pPr>
            <w:r>
              <w:rPr>
                <w:rFonts w:hint="eastAsia" w:ascii="宋体" w:hAnsi="宋体" w:cs="宋体"/>
                <w:kern w:val="0"/>
                <w:sz w:val="22"/>
                <w:szCs w:val="22"/>
              </w:rPr>
              <w:t>注：为减轻投标人负担，鼓励优先使用电子保函形式。</w:t>
            </w:r>
          </w:p>
          <w:p>
            <w:pPr>
              <w:snapToGrid w:val="0"/>
              <w:spacing w:line="480" w:lineRule="exact"/>
              <w:rPr>
                <w:rFonts w:hint="eastAsia" w:ascii="宋体" w:hAnsi="宋体" w:cs="宋体"/>
                <w:kern w:val="0"/>
                <w:sz w:val="22"/>
                <w:szCs w:val="22"/>
              </w:rPr>
            </w:pPr>
            <w:r>
              <w:rPr>
                <w:rFonts w:hint="eastAsia" w:ascii="宋体" w:hAnsi="宋体" w:cs="宋体"/>
                <w:kern w:val="0"/>
                <w:sz w:val="22"/>
                <w:szCs w:val="22"/>
              </w:rPr>
              <w:t>投标保证金的金额：</w:t>
            </w:r>
            <w:r>
              <w:rPr>
                <w:rFonts w:hint="eastAsia" w:ascii="宋体" w:hAnsi="宋体" w:cs="宋体"/>
                <w:b/>
                <w:bCs/>
                <w:kern w:val="0"/>
                <w:sz w:val="22"/>
                <w:szCs w:val="22"/>
                <w:highlight w:val="yellow"/>
              </w:rPr>
              <w:t>人民币壹拾万元</w:t>
            </w:r>
          </w:p>
          <w:p>
            <w:pPr>
              <w:snapToGrid w:val="0"/>
              <w:spacing w:line="480" w:lineRule="exact"/>
              <w:rPr>
                <w:rFonts w:hint="eastAsia" w:ascii="宋体" w:hAnsi="宋体" w:cs="宋体"/>
                <w:kern w:val="0"/>
                <w:sz w:val="22"/>
                <w:szCs w:val="22"/>
              </w:rPr>
            </w:pPr>
            <w:r>
              <w:rPr>
                <w:rFonts w:hint="eastAsia" w:ascii="宋体" w:hAnsi="宋体" w:cs="宋体"/>
                <w:kern w:val="0"/>
                <w:sz w:val="22"/>
                <w:szCs w:val="22"/>
              </w:rPr>
              <w:t>递交要求：</w:t>
            </w:r>
          </w:p>
          <w:p>
            <w:pPr>
              <w:snapToGrid w:val="0"/>
              <w:spacing w:line="480" w:lineRule="exact"/>
              <w:rPr>
                <w:rFonts w:hint="eastAsia" w:ascii="宋体" w:hAnsi="宋体" w:cs="宋体"/>
                <w:kern w:val="0"/>
                <w:sz w:val="22"/>
                <w:szCs w:val="22"/>
              </w:rPr>
            </w:pPr>
            <w:r>
              <w:rPr>
                <w:rFonts w:hint="eastAsia" w:ascii="宋体" w:hAnsi="宋体" w:cs="宋体"/>
                <w:kern w:val="0"/>
                <w:sz w:val="22"/>
                <w:szCs w:val="22"/>
              </w:rPr>
              <w:t>（1）如采用第一</w:t>
            </w:r>
            <w:r>
              <w:rPr>
                <w:rFonts w:hint="eastAsia" w:ascii="宋体" w:hAnsi="宋体" w:cs="宋体"/>
                <w:kern w:val="0"/>
                <w:sz w:val="22"/>
                <w:szCs w:val="22"/>
                <w:lang w:eastAsia="zh-CN"/>
              </w:rPr>
              <w:t>类型</w:t>
            </w:r>
            <w:r>
              <w:rPr>
                <w:rFonts w:hint="eastAsia" w:ascii="宋体" w:hAnsi="宋体" w:cs="宋体"/>
                <w:kern w:val="0"/>
                <w:sz w:val="22"/>
                <w:szCs w:val="22"/>
              </w:rPr>
              <w:t>式：</w:t>
            </w:r>
          </w:p>
          <w:p>
            <w:pPr>
              <w:snapToGrid w:val="0"/>
              <w:spacing w:line="480" w:lineRule="exact"/>
              <w:rPr>
                <w:rFonts w:hint="eastAsia" w:ascii="宋体" w:hAnsi="宋体" w:cs="宋体"/>
                <w:kern w:val="0"/>
                <w:sz w:val="22"/>
                <w:szCs w:val="22"/>
              </w:rPr>
            </w:pPr>
            <w:r>
              <w:rPr>
                <w:rFonts w:hint="eastAsia" w:ascii="宋体" w:hAnsi="宋体" w:cs="宋体"/>
                <w:kern w:val="0"/>
                <w:sz w:val="22"/>
                <w:szCs w:val="22"/>
              </w:rPr>
              <w:t>①投标保证金的到账截止时间：投标截止时间。</w:t>
            </w:r>
          </w:p>
          <w:p>
            <w:pPr>
              <w:snapToGrid w:val="0"/>
              <w:spacing w:line="480" w:lineRule="exact"/>
              <w:rPr>
                <w:rFonts w:hint="eastAsia" w:ascii="宋体" w:hAnsi="宋体" w:cs="宋体"/>
                <w:kern w:val="0"/>
                <w:sz w:val="22"/>
                <w:szCs w:val="22"/>
              </w:rPr>
            </w:pPr>
            <w:r>
              <w:rPr>
                <w:rFonts w:hint="eastAsia" w:ascii="宋体" w:hAnsi="宋体" w:cs="宋体"/>
                <w:kern w:val="0"/>
                <w:sz w:val="22"/>
                <w:szCs w:val="22"/>
              </w:rPr>
              <w:t>②投标保证金应当从投标人基本账户转出，转出保证金的账户与投标人投标文件提供的基本账户不一致的，视为未按招标文件规定要求递交投标保证金。</w:t>
            </w:r>
          </w:p>
          <w:p>
            <w:pPr>
              <w:snapToGrid w:val="0"/>
              <w:spacing w:line="480" w:lineRule="exact"/>
              <w:rPr>
                <w:rFonts w:hint="eastAsia" w:ascii="宋体" w:hAnsi="宋体" w:cs="宋体"/>
                <w:kern w:val="0"/>
                <w:sz w:val="22"/>
                <w:szCs w:val="22"/>
              </w:rPr>
            </w:pPr>
            <w:r>
              <w:rPr>
                <w:rFonts w:hint="eastAsia" w:ascii="宋体" w:hAnsi="宋体" w:cs="宋体"/>
                <w:kern w:val="0"/>
                <w:sz w:val="22"/>
                <w:szCs w:val="22"/>
              </w:rPr>
              <w:t>③转入的开户银行及账号见本项目招标公告所示。</w:t>
            </w:r>
          </w:p>
          <w:p>
            <w:pPr>
              <w:snapToGrid w:val="0"/>
              <w:spacing w:line="480" w:lineRule="exact"/>
              <w:rPr>
                <w:rFonts w:hint="eastAsia" w:ascii="宋体" w:hAnsi="宋体" w:cs="宋体"/>
                <w:kern w:val="0"/>
                <w:sz w:val="22"/>
                <w:szCs w:val="22"/>
              </w:rPr>
            </w:pPr>
            <w:r>
              <w:rPr>
                <w:rFonts w:hint="eastAsia" w:ascii="宋体" w:hAnsi="宋体" w:cs="宋体"/>
                <w:kern w:val="0"/>
                <w:sz w:val="22"/>
                <w:szCs w:val="22"/>
              </w:rPr>
              <w:t>（2）如采用第二</w:t>
            </w:r>
            <w:r>
              <w:rPr>
                <w:rFonts w:hint="eastAsia" w:ascii="宋体" w:hAnsi="宋体" w:cs="宋体"/>
                <w:kern w:val="0"/>
                <w:sz w:val="22"/>
                <w:szCs w:val="22"/>
                <w:lang w:eastAsia="zh-CN"/>
              </w:rPr>
              <w:t>类型</w:t>
            </w:r>
            <w:r>
              <w:rPr>
                <w:rFonts w:hint="eastAsia" w:ascii="宋体" w:hAnsi="宋体" w:cs="宋体"/>
                <w:kern w:val="0"/>
                <w:sz w:val="22"/>
                <w:szCs w:val="22"/>
              </w:rPr>
              <w:t>式：</w:t>
            </w:r>
          </w:p>
          <w:p>
            <w:pPr>
              <w:snapToGrid w:val="0"/>
              <w:spacing w:line="480" w:lineRule="exact"/>
              <w:rPr>
                <w:rFonts w:hint="eastAsia" w:ascii="宋体" w:hAnsi="宋体" w:cs="宋体"/>
                <w:kern w:val="0"/>
                <w:sz w:val="22"/>
                <w:szCs w:val="22"/>
              </w:rPr>
            </w:pPr>
            <w:r>
              <w:rPr>
                <w:rFonts w:hint="eastAsia" w:ascii="宋体" w:hAnsi="宋体" w:cs="宋体"/>
                <w:kern w:val="0"/>
                <w:sz w:val="22"/>
                <w:szCs w:val="22"/>
              </w:rPr>
              <w:t>①采用银行保函，应为投标人基本账户开户行出具的见索即付无条件银行保函；采用担保机构出具的保函（担保机构担保），应为经安徽省地方金融监督管理局审查批准，依法取得融资担保业务经营许可证的融资担保机构出具的无条件保函。</w:t>
            </w:r>
          </w:p>
          <w:p>
            <w:pPr>
              <w:snapToGrid w:val="0"/>
              <w:spacing w:line="480" w:lineRule="exact"/>
              <w:rPr>
                <w:rFonts w:hint="eastAsia" w:ascii="宋体" w:hAnsi="宋体" w:cs="宋体"/>
                <w:kern w:val="0"/>
                <w:sz w:val="22"/>
                <w:szCs w:val="22"/>
              </w:rPr>
            </w:pPr>
            <w:r>
              <w:rPr>
                <w:rFonts w:hint="eastAsia" w:ascii="宋体" w:hAnsi="宋体" w:cs="宋体"/>
                <w:kern w:val="0"/>
                <w:sz w:val="22"/>
                <w:szCs w:val="22"/>
              </w:rPr>
              <w:t>②投标人必须提供明确有效的查询途径（二维码；或网址链接及查询方式），否则该银行保函（或担保机构担保或保证保险）无效。评标时评标委员会保留现场核查权利。</w:t>
            </w:r>
          </w:p>
          <w:p>
            <w:pPr>
              <w:snapToGrid w:val="0"/>
              <w:spacing w:line="480" w:lineRule="exact"/>
              <w:rPr>
                <w:rFonts w:hint="eastAsia" w:ascii="宋体" w:hAnsi="宋体" w:cs="宋体"/>
                <w:kern w:val="0"/>
                <w:sz w:val="22"/>
                <w:szCs w:val="22"/>
              </w:rPr>
            </w:pPr>
            <w:r>
              <w:rPr>
                <w:rFonts w:hint="eastAsia" w:ascii="宋体" w:hAnsi="宋体" w:cs="宋体"/>
                <w:kern w:val="0"/>
                <w:sz w:val="22"/>
                <w:szCs w:val="22"/>
              </w:rPr>
              <w:t>③中标候选人须在中标结果公示发布前将其开具至本项目的银行保函（或担保机构担保或保证保险）原件提交招标人（或招标代理机构），且原件须与投标文件中提供的扫描件一致，如存在未按规定提交或提交内容不一致，或发现弄虚作假的，招标人应当报监管部门依法处理。</w:t>
            </w:r>
          </w:p>
          <w:p>
            <w:pPr>
              <w:snapToGrid w:val="0"/>
              <w:spacing w:line="480" w:lineRule="exact"/>
              <w:rPr>
                <w:rFonts w:hint="eastAsia" w:ascii="宋体" w:hAnsi="宋体" w:cs="宋体"/>
                <w:kern w:val="0"/>
                <w:sz w:val="22"/>
                <w:szCs w:val="22"/>
              </w:rPr>
            </w:pPr>
            <w:r>
              <w:rPr>
                <w:rFonts w:hint="eastAsia" w:ascii="宋体" w:hAnsi="宋体" w:cs="宋体"/>
                <w:kern w:val="0"/>
                <w:sz w:val="22"/>
                <w:szCs w:val="22"/>
              </w:rPr>
              <w:t>（3）如采用第三</w:t>
            </w:r>
            <w:r>
              <w:rPr>
                <w:rFonts w:hint="eastAsia" w:ascii="宋体" w:hAnsi="宋体" w:cs="宋体"/>
                <w:kern w:val="0"/>
                <w:sz w:val="22"/>
                <w:szCs w:val="22"/>
                <w:lang w:eastAsia="zh-CN"/>
              </w:rPr>
              <w:t>类型</w:t>
            </w:r>
            <w:r>
              <w:rPr>
                <w:rFonts w:hint="eastAsia" w:ascii="宋体" w:hAnsi="宋体" w:cs="宋体"/>
                <w:kern w:val="0"/>
                <w:sz w:val="22"/>
                <w:szCs w:val="22"/>
              </w:rPr>
              <w:t>式：</w:t>
            </w:r>
          </w:p>
          <w:p>
            <w:pPr>
              <w:snapToGrid w:val="0"/>
              <w:spacing w:line="480" w:lineRule="exact"/>
              <w:rPr>
                <w:rFonts w:hint="eastAsia" w:ascii="宋体" w:hAnsi="宋体" w:cs="宋体"/>
                <w:kern w:val="0"/>
                <w:sz w:val="22"/>
                <w:szCs w:val="22"/>
              </w:rPr>
            </w:pPr>
            <w:r>
              <w:rPr>
                <w:rFonts w:hint="eastAsia" w:ascii="宋体" w:hAnsi="宋体" w:cs="宋体"/>
                <w:kern w:val="0"/>
                <w:sz w:val="22"/>
                <w:szCs w:val="22"/>
              </w:rPr>
              <w:t>请登录全国公共资源交易平台（安徽省•合肥市）即安徽合肥公共资源交易中心网站“通知公告”栏目查看《合肥市公共资源交易投标保证金电子保函操作手册》并按照操作手册规定内</w:t>
            </w:r>
          </w:p>
          <w:p>
            <w:pPr>
              <w:snapToGrid w:val="0"/>
              <w:spacing w:line="480" w:lineRule="exact"/>
              <w:rPr>
                <w:rFonts w:hint="eastAsia" w:ascii="宋体" w:hAnsi="宋体" w:cs="宋体"/>
                <w:kern w:val="0"/>
                <w:sz w:val="22"/>
                <w:szCs w:val="22"/>
              </w:rPr>
            </w:pPr>
            <w:r>
              <w:rPr>
                <w:rFonts w:hint="eastAsia" w:ascii="宋体" w:hAnsi="宋体" w:cs="宋体"/>
                <w:kern w:val="0"/>
                <w:sz w:val="22"/>
                <w:szCs w:val="22"/>
              </w:rPr>
              <w:t>容办理。</w:t>
            </w:r>
          </w:p>
          <w:p>
            <w:pPr>
              <w:snapToGrid w:val="0"/>
              <w:spacing w:line="480" w:lineRule="exact"/>
              <w:rPr>
                <w:rFonts w:hint="eastAsia" w:ascii="宋体" w:hAnsi="宋体" w:cs="宋体"/>
                <w:kern w:val="0"/>
                <w:sz w:val="22"/>
                <w:szCs w:val="22"/>
              </w:rPr>
            </w:pPr>
            <w:r>
              <w:rPr>
                <w:rFonts w:hint="eastAsia" w:ascii="宋体" w:hAnsi="宋体" w:cs="宋体"/>
                <w:kern w:val="0"/>
                <w:sz w:val="22"/>
                <w:szCs w:val="22"/>
              </w:rPr>
              <w:t>注意事项：</w:t>
            </w:r>
          </w:p>
          <w:p>
            <w:pPr>
              <w:snapToGrid w:val="0"/>
              <w:spacing w:line="480" w:lineRule="exact"/>
              <w:rPr>
                <w:rFonts w:hint="eastAsia" w:ascii="宋体" w:hAnsi="宋体" w:cs="宋体"/>
                <w:kern w:val="0"/>
                <w:sz w:val="22"/>
                <w:szCs w:val="22"/>
              </w:rPr>
            </w:pPr>
            <w:r>
              <w:rPr>
                <w:rFonts w:hint="eastAsia" w:ascii="宋体" w:hAnsi="宋体" w:cs="宋体"/>
                <w:kern w:val="0"/>
                <w:sz w:val="22"/>
                <w:szCs w:val="22"/>
              </w:rPr>
              <w:t>（1）投标保证金交纳账号采用动态虚拟账号，项目招标失败后，投标保证金交纳账号将会发生变化，请投标人参与后续招标时，注意勿将投标保证金错交至其他项目虚拟账号或前次公告账号。</w:t>
            </w:r>
          </w:p>
          <w:p>
            <w:pPr>
              <w:snapToGrid w:val="0"/>
              <w:spacing w:line="480" w:lineRule="exact"/>
              <w:rPr>
                <w:rFonts w:hint="eastAsia" w:ascii="宋体" w:hAnsi="宋体" w:cs="宋体"/>
                <w:kern w:val="0"/>
                <w:sz w:val="22"/>
                <w:szCs w:val="22"/>
              </w:rPr>
            </w:pPr>
            <w:r>
              <w:rPr>
                <w:rFonts w:hint="eastAsia" w:ascii="宋体" w:hAnsi="宋体" w:cs="宋体"/>
                <w:kern w:val="0"/>
                <w:sz w:val="22"/>
                <w:szCs w:val="22"/>
              </w:rPr>
              <w:t>（2）如本项目前次招标失败，招标人退还投标人的投标保证金。投标人参与本次招标，须向本项目本次公告公布的投标保证金账号重新交纳投标保证金。</w:t>
            </w:r>
          </w:p>
          <w:p>
            <w:pPr>
              <w:snapToGrid w:val="0"/>
              <w:spacing w:line="480" w:lineRule="exact"/>
              <w:rPr>
                <w:rFonts w:hint="eastAsia" w:ascii="宋体" w:hAnsi="宋体" w:cs="宋体"/>
                <w:kern w:val="0"/>
                <w:sz w:val="22"/>
                <w:szCs w:val="22"/>
              </w:rPr>
            </w:pPr>
            <w:r>
              <w:rPr>
                <w:rFonts w:hint="eastAsia" w:ascii="宋体" w:hAnsi="宋体" w:cs="宋体"/>
                <w:kern w:val="0"/>
                <w:sz w:val="22"/>
                <w:szCs w:val="22"/>
              </w:rPr>
              <w:t>（3）凡转账到其他项目虚拟账户或本项目前次公告账户的，</w:t>
            </w:r>
          </w:p>
          <w:p>
            <w:pPr>
              <w:snapToGrid w:val="0"/>
              <w:spacing w:line="480" w:lineRule="exact"/>
              <w:rPr>
                <w:rFonts w:hint="eastAsia" w:ascii="宋体" w:hAnsi="宋体" w:cs="宋体"/>
                <w:kern w:val="0"/>
                <w:sz w:val="22"/>
                <w:szCs w:val="22"/>
              </w:rPr>
            </w:pPr>
            <w:r>
              <w:rPr>
                <w:rFonts w:hint="eastAsia" w:ascii="宋体" w:hAnsi="宋体" w:cs="宋体"/>
                <w:kern w:val="0"/>
                <w:sz w:val="22"/>
                <w:szCs w:val="22"/>
              </w:rPr>
              <w:t>投标保证金无效。</w:t>
            </w:r>
          </w:p>
          <w:p>
            <w:pPr>
              <w:snapToGrid w:val="0"/>
              <w:spacing w:line="480" w:lineRule="exact"/>
              <w:rPr>
                <w:rFonts w:hint="eastAsia" w:ascii="宋体" w:hAnsi="宋体" w:cs="宋体"/>
                <w:kern w:val="0"/>
                <w:sz w:val="22"/>
                <w:szCs w:val="22"/>
              </w:rPr>
            </w:pPr>
            <w:r>
              <w:rPr>
                <w:rFonts w:hint="eastAsia" w:ascii="宋体" w:hAnsi="宋体" w:cs="宋体"/>
                <w:kern w:val="0"/>
                <w:sz w:val="22"/>
                <w:szCs w:val="22"/>
              </w:rPr>
              <w:t>（4）投标人参与本项目多个标段（包别）投标的（如分多标段</w:t>
            </w:r>
          </w:p>
          <w:p>
            <w:pPr>
              <w:snapToGrid w:val="0"/>
              <w:spacing w:line="480" w:lineRule="exact"/>
              <w:rPr>
                <w:rFonts w:hint="eastAsia" w:ascii="宋体" w:hAnsi="宋体" w:cs="宋体"/>
                <w:kern w:val="0"/>
                <w:sz w:val="22"/>
                <w:szCs w:val="22"/>
              </w:rPr>
            </w:pPr>
            <w:r>
              <w:rPr>
                <w:rFonts w:hint="eastAsia" w:ascii="宋体" w:hAnsi="宋体" w:cs="宋体"/>
                <w:kern w:val="0"/>
                <w:sz w:val="22"/>
                <w:szCs w:val="22"/>
              </w:rPr>
              <w:t>/包别的），应该按标段（包别）分别递交投标保证金。未递交</w:t>
            </w:r>
          </w:p>
          <w:p>
            <w:pPr>
              <w:snapToGrid w:val="0"/>
              <w:spacing w:line="480" w:lineRule="exact"/>
              <w:rPr>
                <w:rFonts w:hint="eastAsia" w:ascii="宋体" w:hAnsi="宋体" w:cs="宋体"/>
                <w:kern w:val="0"/>
                <w:sz w:val="22"/>
                <w:szCs w:val="22"/>
              </w:rPr>
            </w:pPr>
            <w:r>
              <w:rPr>
                <w:rFonts w:hint="eastAsia" w:ascii="宋体" w:hAnsi="宋体" w:cs="宋体"/>
                <w:kern w:val="0"/>
                <w:sz w:val="22"/>
                <w:szCs w:val="22"/>
              </w:rPr>
              <w:t>投标保证金的标段（包别），其投标无效。</w:t>
            </w:r>
          </w:p>
          <w:p>
            <w:pPr>
              <w:snapToGrid w:val="0"/>
              <w:spacing w:line="480" w:lineRule="exact"/>
              <w:rPr>
                <w:rFonts w:hint="eastAsia" w:ascii="宋体" w:hAnsi="宋体" w:cs="宋体"/>
                <w:color w:val="000000"/>
                <w:sz w:val="22"/>
                <w:szCs w:val="22"/>
                <w:u w:val="single"/>
              </w:rPr>
            </w:pPr>
            <w:r>
              <w:rPr>
                <w:rFonts w:hint="eastAsia" w:ascii="宋体" w:hAnsi="宋体" w:cs="宋体"/>
                <w:kern w:val="0"/>
                <w:sz w:val="22"/>
                <w:szCs w:val="22"/>
              </w:rPr>
              <w:t>（5）以上各类机构出具的以担保函、保证保险承担责任的方式均须满足无条件见索即付条件。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3.4.4</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其他不予退还投标保证金的情形</w:t>
            </w:r>
          </w:p>
        </w:tc>
        <w:tc>
          <w:tcPr>
            <w:tcW w:w="6757" w:type="dxa"/>
            <w:vAlign w:val="center"/>
          </w:tcPr>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（1）中标候选人无正当理由放弃中标项目资格的；</w:t>
            </w:r>
          </w:p>
          <w:p>
            <w:pPr>
              <w:snapToGrid w:val="0"/>
              <w:spacing w:line="480" w:lineRule="exact"/>
              <w:rPr>
                <w:rFonts w:hint="eastAsia" w:ascii="宋体" w:hAnsi="宋体" w:cs="宋体"/>
                <w:color w:val="000000"/>
                <w:sz w:val="22"/>
                <w:szCs w:val="22"/>
                <w:u w:val="single"/>
              </w:rPr>
            </w:pPr>
            <w:r>
              <w:rPr>
                <w:rFonts w:hint="eastAsia" w:ascii="宋体" w:hAnsi="宋体" w:cs="宋体"/>
                <w:bCs/>
                <w:snapToGrid w:val="0"/>
                <w:color w:val="000000"/>
                <w:kern w:val="0"/>
                <w:sz w:val="22"/>
                <w:szCs w:val="22"/>
              </w:rPr>
              <w:t>（2）投标人存在弄虚作假行为的。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3.4.5</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特别提醒</w:t>
            </w:r>
          </w:p>
        </w:tc>
        <w:tc>
          <w:tcPr>
            <w:tcW w:w="6757" w:type="dxa"/>
            <w:vAlign w:val="center"/>
          </w:tcPr>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投标人采用银行保函、担保机构担保函方式提交投标保证金的，如出现本项目招标文件“投标人须知”3.4.4 项所列情形以及招标文件所列其他投标保证金不予退还情形的，提供担保的银行、担保机构将无条件支付招标人保函所列的全部投标保证金金额，该支付行为视同投标保证金不予退还。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3.4.6</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投标保证金弄虚作</w:t>
            </w:r>
          </w:p>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假情形</w:t>
            </w:r>
          </w:p>
        </w:tc>
        <w:tc>
          <w:tcPr>
            <w:tcW w:w="6757" w:type="dxa"/>
            <w:vAlign w:val="center"/>
          </w:tcPr>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投标人采用虚假银行保函、担保机构担保函方式提交投标保证金的，除依法承担弄虚作假、骗取中标的法律责任外，仍应根据招标文件规定承担投标保证金不予退还的民事责任，其承担方式为限时足额缴纳招标文件所列全部投标保证金，投标人在招标人/招标代理机构发出追缴通 知后的规定缴纳时间内不能足额支付投标保证金的，招标人/招标代理机构将依法提起诉讼追缴，招标人/招标代理机构因此发生的诉讼费、律师代理费等费用均由投标人承担。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3.6.1</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是否允许递交备选投标方案</w:t>
            </w:r>
          </w:p>
        </w:tc>
        <w:tc>
          <w:tcPr>
            <w:tcW w:w="6757" w:type="dxa"/>
            <w:vAlign w:val="center"/>
          </w:tcPr>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☑不允许</w:t>
            </w:r>
          </w:p>
          <w:p>
            <w:pPr>
              <w:snapToGrid w:val="0"/>
              <w:spacing w:line="480" w:lineRule="exact"/>
              <w:rPr>
                <w:rFonts w:hint="eastAsia" w:ascii="宋体" w:hAnsi="宋体" w:cs="宋体"/>
                <w:color w:val="000000"/>
                <w:sz w:val="22"/>
                <w:szCs w:val="22"/>
                <w:u w:val="single"/>
              </w:rPr>
            </w:pPr>
            <w:r>
              <w:rPr>
                <w:rFonts w:hint="eastAsia" w:ascii="宋体" w:hAnsi="宋体" w:cs="宋体"/>
                <w:color w:val="000000"/>
                <w:sz w:val="22"/>
                <w:szCs w:val="22"/>
              </w:rPr>
              <w:t>□允许：</w:t>
            </w:r>
            <w:r>
              <w:rPr>
                <w:rFonts w:hint="eastAsia" w:ascii="宋体" w:hAnsi="宋体" w:cs="宋体"/>
                <w:bCs/>
                <w:snapToGrid w:val="0"/>
                <w:color w:val="000000"/>
                <w:kern w:val="0"/>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3.7.4</w:t>
            </w:r>
          </w:p>
        </w:tc>
        <w:tc>
          <w:tcPr>
            <w:tcW w:w="1980" w:type="dxa"/>
            <w:vAlign w:val="center"/>
          </w:tcPr>
          <w:p>
            <w:pPr>
              <w:snapToGrid w:val="0"/>
              <w:spacing w:line="480" w:lineRule="exact"/>
              <w:jc w:val="center"/>
              <w:rPr>
                <w:rFonts w:hint="eastAsia" w:ascii="宋体" w:hAnsi="宋体" w:cs="宋体"/>
                <w:snapToGrid w:val="0"/>
                <w:color w:val="FF0000"/>
                <w:kern w:val="0"/>
                <w:sz w:val="22"/>
                <w:szCs w:val="22"/>
                <w:shd w:val="clear" w:color="auto" w:fill="FFFFFF"/>
              </w:rPr>
            </w:pPr>
            <w:r>
              <w:rPr>
                <w:rFonts w:hint="eastAsia" w:ascii="宋体" w:hAnsi="宋体" w:cs="宋体"/>
                <w:snapToGrid w:val="0"/>
                <w:color w:val="000000"/>
                <w:kern w:val="0"/>
                <w:sz w:val="22"/>
                <w:szCs w:val="22"/>
                <w:shd w:val="clear" w:color="auto" w:fill="FFFFFF"/>
              </w:rPr>
              <w:t>非加密投标文件递交</w:t>
            </w:r>
          </w:p>
        </w:tc>
        <w:tc>
          <w:tcPr>
            <w:tcW w:w="6757" w:type="dxa"/>
            <w:vAlign w:val="center"/>
          </w:tcPr>
          <w:p>
            <w:pPr>
              <w:snapToGrid w:val="0"/>
              <w:spacing w:line="480" w:lineRule="exact"/>
              <w:rPr>
                <w:rFonts w:hint="eastAsia" w:ascii="宋体" w:hAnsi="宋体" w:cs="宋体"/>
                <w:snapToGrid w:val="0"/>
                <w:color w:val="000000"/>
                <w:kern w:val="0"/>
                <w:sz w:val="22"/>
                <w:szCs w:val="22"/>
                <w:shd w:val="clear" w:color="auto" w:fill="FFFFFF"/>
              </w:rPr>
            </w:pPr>
            <w:r>
              <w:rPr>
                <w:rFonts w:hint="eastAsia" w:ascii="宋体" w:hAnsi="宋体" w:cs="宋体"/>
                <w:snapToGrid w:val="0"/>
                <w:color w:val="000000"/>
                <w:kern w:val="0"/>
                <w:sz w:val="22"/>
                <w:szCs w:val="22"/>
                <w:shd w:val="clear" w:color="auto" w:fill="FFFFFF"/>
              </w:rPr>
              <w:t>是否允许使用非加密投标文件作为备份：</w:t>
            </w:r>
          </w:p>
          <w:p>
            <w:pPr>
              <w:snapToGrid w:val="0"/>
              <w:spacing w:line="480" w:lineRule="exact"/>
              <w:rPr>
                <w:rFonts w:hint="eastAsia" w:ascii="宋体" w:hAnsi="宋体" w:cs="宋体"/>
                <w:snapToGrid w:val="0"/>
                <w:color w:val="000000"/>
                <w:kern w:val="0"/>
                <w:sz w:val="22"/>
                <w:szCs w:val="22"/>
                <w:shd w:val="clear" w:color="auto" w:fill="FFFFFF"/>
              </w:rPr>
            </w:pPr>
            <w:r>
              <w:rPr>
                <w:rFonts w:hint="eastAsia" w:ascii="宋体" w:hAnsi="宋体" w:cs="宋体"/>
                <w:snapToGrid w:val="0"/>
                <w:color w:val="000000"/>
                <w:kern w:val="0"/>
                <w:sz w:val="22"/>
                <w:szCs w:val="22"/>
                <w:shd w:val="clear" w:color="auto" w:fill="FFFFFF"/>
              </w:rPr>
              <w:t xml:space="preserve"> ☑不允许     □允许</w:t>
            </w:r>
          </w:p>
          <w:p>
            <w:pPr>
              <w:snapToGrid w:val="0"/>
              <w:spacing w:line="480" w:lineRule="exact"/>
              <w:rPr>
                <w:rFonts w:hint="eastAsia" w:ascii="宋体" w:hAnsi="宋体" w:cs="宋体"/>
                <w:snapToGrid w:val="0"/>
                <w:color w:val="000000"/>
                <w:kern w:val="0"/>
                <w:sz w:val="22"/>
                <w:szCs w:val="22"/>
                <w:shd w:val="clear" w:color="auto" w:fill="FFFFFF"/>
              </w:rPr>
            </w:pPr>
            <w:r>
              <w:rPr>
                <w:rFonts w:hint="eastAsia" w:ascii="宋体" w:hAnsi="宋体" w:cs="宋体"/>
                <w:snapToGrid w:val="0"/>
                <w:color w:val="000000"/>
                <w:kern w:val="0"/>
                <w:sz w:val="22"/>
                <w:szCs w:val="22"/>
                <w:shd w:val="clear" w:color="auto" w:fill="FFFFFF"/>
              </w:rPr>
              <w:t>非加密投标文件由投标人自行确定是否递交。</w:t>
            </w:r>
          </w:p>
          <w:p>
            <w:pPr>
              <w:snapToGrid w:val="0"/>
              <w:spacing w:line="480" w:lineRule="exact"/>
              <w:rPr>
                <w:rFonts w:hint="eastAsia" w:ascii="宋体" w:hAnsi="宋体" w:cs="宋体"/>
                <w:snapToGrid w:val="0"/>
                <w:color w:val="000000"/>
                <w:kern w:val="0"/>
                <w:sz w:val="22"/>
                <w:szCs w:val="22"/>
                <w:shd w:val="clear" w:color="auto" w:fill="FFFFFF"/>
              </w:rPr>
            </w:pPr>
            <w:r>
              <w:rPr>
                <w:rFonts w:hint="eastAsia" w:ascii="宋体" w:hAnsi="宋体" w:cs="宋体"/>
                <w:snapToGrid w:val="0"/>
                <w:color w:val="000000"/>
                <w:kern w:val="0"/>
                <w:sz w:val="22"/>
                <w:szCs w:val="22"/>
                <w:shd w:val="clear" w:color="auto" w:fill="FFFFFF"/>
              </w:rPr>
              <w:t>如递交，应在投标截止时间前在开标地点递交，并提供以下证</w:t>
            </w:r>
          </w:p>
          <w:p>
            <w:pPr>
              <w:snapToGrid w:val="0"/>
              <w:spacing w:line="480" w:lineRule="exact"/>
              <w:rPr>
                <w:rFonts w:hint="eastAsia" w:ascii="宋体" w:hAnsi="宋体" w:cs="宋体"/>
                <w:snapToGrid w:val="0"/>
                <w:color w:val="000000"/>
                <w:kern w:val="0"/>
                <w:sz w:val="22"/>
                <w:szCs w:val="22"/>
                <w:shd w:val="clear" w:color="auto" w:fill="FFFFFF"/>
              </w:rPr>
            </w:pPr>
            <w:r>
              <w:rPr>
                <w:rFonts w:hint="eastAsia" w:ascii="宋体" w:hAnsi="宋体" w:cs="宋体"/>
                <w:snapToGrid w:val="0"/>
                <w:color w:val="000000"/>
                <w:kern w:val="0"/>
                <w:sz w:val="22"/>
                <w:szCs w:val="22"/>
                <w:shd w:val="clear" w:color="auto" w:fill="FFFFFF"/>
              </w:rPr>
              <w:t>明材料，否则招标人不予接收。</w:t>
            </w:r>
          </w:p>
          <w:p>
            <w:pPr>
              <w:snapToGrid w:val="0"/>
              <w:spacing w:line="480" w:lineRule="exact"/>
              <w:rPr>
                <w:rFonts w:hint="eastAsia" w:ascii="宋体" w:hAnsi="宋体" w:cs="宋体"/>
                <w:snapToGrid w:val="0"/>
                <w:color w:val="000000"/>
                <w:kern w:val="0"/>
                <w:sz w:val="22"/>
                <w:szCs w:val="22"/>
                <w:shd w:val="clear" w:color="auto" w:fill="FFFFFF"/>
              </w:rPr>
            </w:pPr>
            <w:r>
              <w:rPr>
                <w:rFonts w:hint="eastAsia" w:ascii="宋体" w:hAnsi="宋体" w:cs="宋体"/>
                <w:snapToGrid w:val="0"/>
                <w:color w:val="000000"/>
                <w:kern w:val="0"/>
                <w:sz w:val="22"/>
                <w:szCs w:val="22"/>
                <w:shd w:val="clear" w:color="auto" w:fill="FFFFFF"/>
              </w:rPr>
              <w:t>（1）法定代表人亲自递交的，应提供法定代表人身份证明文件和法定代表人的有效身份证件；</w:t>
            </w:r>
          </w:p>
          <w:p>
            <w:pPr>
              <w:snapToGrid w:val="0"/>
              <w:spacing w:line="480" w:lineRule="exact"/>
              <w:rPr>
                <w:rFonts w:hint="eastAsia" w:ascii="宋体" w:hAnsi="宋体" w:cs="宋体"/>
                <w:snapToGrid w:val="0"/>
                <w:color w:val="000000"/>
                <w:kern w:val="0"/>
                <w:sz w:val="22"/>
                <w:szCs w:val="22"/>
                <w:shd w:val="clear" w:color="auto" w:fill="FFFFFF"/>
              </w:rPr>
            </w:pPr>
            <w:r>
              <w:rPr>
                <w:rFonts w:hint="eastAsia" w:ascii="宋体" w:hAnsi="宋体" w:cs="宋体"/>
                <w:snapToGrid w:val="0"/>
                <w:color w:val="000000"/>
                <w:kern w:val="0"/>
                <w:sz w:val="22"/>
                <w:szCs w:val="22"/>
                <w:shd w:val="clear" w:color="auto" w:fill="FFFFFF"/>
              </w:rPr>
              <w:t>（2）委托代理人递交的，应提供授权委托书和委托代理人的有效身份证件；</w:t>
            </w:r>
          </w:p>
          <w:p>
            <w:pPr>
              <w:snapToGrid w:val="0"/>
              <w:spacing w:line="480" w:lineRule="exact"/>
              <w:rPr>
                <w:rFonts w:hint="eastAsia" w:ascii="宋体" w:hAnsi="宋体" w:cs="宋体"/>
                <w:snapToGrid w:val="0"/>
                <w:color w:val="000000"/>
                <w:kern w:val="0"/>
                <w:sz w:val="22"/>
                <w:szCs w:val="22"/>
                <w:shd w:val="clear" w:color="auto" w:fill="FFFFFF"/>
              </w:rPr>
            </w:pPr>
            <w:r>
              <w:rPr>
                <w:rFonts w:hint="eastAsia" w:ascii="宋体" w:hAnsi="宋体" w:cs="宋体"/>
                <w:snapToGrid w:val="0"/>
                <w:color w:val="000000"/>
                <w:kern w:val="0"/>
                <w:sz w:val="22"/>
                <w:szCs w:val="22"/>
                <w:shd w:val="clear" w:color="auto" w:fill="FFFFFF"/>
              </w:rPr>
              <w:t>非加密投标文件介质：光盘或 U 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4.1.2</w:t>
            </w:r>
          </w:p>
        </w:tc>
        <w:tc>
          <w:tcPr>
            <w:tcW w:w="1980" w:type="dxa"/>
            <w:vAlign w:val="center"/>
          </w:tcPr>
          <w:p>
            <w:pPr>
              <w:snapToGrid w:val="0"/>
              <w:spacing w:line="480" w:lineRule="exact"/>
              <w:jc w:val="center"/>
              <w:rPr>
                <w:rFonts w:hint="eastAsia" w:ascii="宋体" w:hAnsi="宋体" w:cs="宋体"/>
                <w:snapToGrid w:val="0"/>
                <w:color w:val="0000FF"/>
                <w:kern w:val="0"/>
                <w:sz w:val="22"/>
                <w:szCs w:val="22"/>
                <w:highlight w:val="yellow"/>
                <w:shd w:val="clear" w:color="auto" w:fill="FFFFFF"/>
              </w:rPr>
            </w:pPr>
            <w:r>
              <w:rPr>
                <w:rFonts w:hint="eastAsia" w:ascii="宋体" w:hAnsi="宋体" w:cs="宋体"/>
                <w:snapToGrid w:val="0"/>
                <w:color w:val="000000"/>
                <w:kern w:val="0"/>
                <w:sz w:val="22"/>
                <w:szCs w:val="22"/>
                <w:shd w:val="clear" w:color="auto" w:fill="FFFFFF"/>
              </w:rPr>
              <w:t>非加密投标文件及银行保函密封和标记要求</w:t>
            </w:r>
          </w:p>
        </w:tc>
        <w:tc>
          <w:tcPr>
            <w:tcW w:w="6757" w:type="dxa"/>
            <w:vAlign w:val="center"/>
          </w:tcPr>
          <w:p>
            <w:pPr>
              <w:snapToGrid w:val="0"/>
              <w:spacing w:line="480" w:lineRule="exact"/>
              <w:rPr>
                <w:rFonts w:hint="eastAsia" w:ascii="宋体" w:hAnsi="宋体" w:cs="宋体"/>
                <w:b/>
                <w:bCs/>
                <w:snapToGrid w:val="0"/>
                <w:color w:val="000000"/>
                <w:kern w:val="0"/>
                <w:sz w:val="22"/>
                <w:szCs w:val="22"/>
              </w:rPr>
            </w:pPr>
            <w:r>
              <w:rPr>
                <w:rFonts w:hint="eastAsia" w:ascii="宋体" w:hAnsi="宋体" w:cs="宋体"/>
                <w:b/>
                <w:bCs/>
                <w:snapToGrid w:val="0"/>
                <w:color w:val="000000"/>
                <w:kern w:val="0"/>
                <w:sz w:val="22"/>
                <w:szCs w:val="22"/>
              </w:rPr>
              <w:t>非加密投标文件封套：</w:t>
            </w:r>
          </w:p>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投标人地址：</w:t>
            </w:r>
            <w:r>
              <w:rPr>
                <w:rFonts w:hint="eastAsia" w:ascii="宋体" w:hAnsi="宋体" w:cs="宋体"/>
                <w:bCs/>
                <w:snapToGrid w:val="0"/>
                <w:color w:val="000000"/>
                <w:kern w:val="0"/>
                <w:sz w:val="22"/>
                <w:szCs w:val="22"/>
                <w:u w:val="single"/>
              </w:rPr>
              <w:t xml:space="preserve">          </w:t>
            </w:r>
          </w:p>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投标人名称：</w:t>
            </w:r>
            <w:r>
              <w:rPr>
                <w:rFonts w:hint="eastAsia" w:ascii="宋体" w:hAnsi="宋体" w:cs="宋体"/>
                <w:bCs/>
                <w:snapToGrid w:val="0"/>
                <w:color w:val="000000"/>
                <w:kern w:val="0"/>
                <w:sz w:val="22"/>
                <w:szCs w:val="22"/>
                <w:u w:val="single"/>
              </w:rPr>
              <w:t xml:space="preserve">            </w:t>
            </w:r>
          </w:p>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u w:val="single"/>
              </w:rPr>
              <w:t xml:space="preserve">                         </w:t>
            </w:r>
            <w:r>
              <w:rPr>
                <w:rFonts w:hint="eastAsia" w:ascii="宋体" w:hAnsi="宋体" w:cs="宋体"/>
                <w:bCs/>
                <w:snapToGrid w:val="0"/>
                <w:color w:val="000000"/>
                <w:kern w:val="0"/>
                <w:sz w:val="22"/>
                <w:szCs w:val="22"/>
                <w:u w:val="single"/>
                <w:lang w:eastAsia="zh-CN"/>
              </w:rPr>
              <w:t>（</w:t>
            </w:r>
            <w:r>
              <w:rPr>
                <w:rFonts w:hint="eastAsia" w:ascii="宋体" w:hAnsi="宋体" w:cs="宋体"/>
                <w:bCs/>
                <w:snapToGrid w:val="0"/>
                <w:color w:val="000000"/>
                <w:kern w:val="0"/>
                <w:sz w:val="22"/>
                <w:szCs w:val="22"/>
              </w:rPr>
              <w:t>项目名称</w:t>
            </w:r>
            <w:r>
              <w:rPr>
                <w:rFonts w:hint="eastAsia" w:ascii="宋体" w:hAnsi="宋体" w:cs="宋体"/>
                <w:bCs/>
                <w:snapToGrid w:val="0"/>
                <w:color w:val="000000"/>
                <w:kern w:val="0"/>
                <w:sz w:val="22"/>
                <w:szCs w:val="22"/>
                <w:lang w:eastAsia="zh-CN"/>
              </w:rPr>
              <w:t>）</w:t>
            </w:r>
            <w:r>
              <w:rPr>
                <w:rFonts w:hint="eastAsia" w:ascii="宋体" w:hAnsi="宋体" w:cs="宋体"/>
                <w:bCs/>
                <w:snapToGrid w:val="0"/>
                <w:color w:val="000000"/>
                <w:kern w:val="0"/>
                <w:sz w:val="22"/>
                <w:szCs w:val="22"/>
                <w:u w:val="single"/>
              </w:rPr>
              <w:t xml:space="preserve">      </w:t>
            </w:r>
            <w:r>
              <w:rPr>
                <w:rFonts w:hint="eastAsia" w:ascii="宋体" w:hAnsi="宋体" w:cs="宋体"/>
                <w:bCs/>
                <w:snapToGrid w:val="0"/>
                <w:color w:val="000000"/>
                <w:kern w:val="0"/>
                <w:sz w:val="22"/>
                <w:szCs w:val="22"/>
              </w:rPr>
              <w:t>标段投标文件</w:t>
            </w:r>
          </w:p>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（非加密投标文件）</w:t>
            </w:r>
          </w:p>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在</w:t>
            </w:r>
            <w:r>
              <w:rPr>
                <w:rFonts w:hint="eastAsia" w:ascii="宋体" w:hAnsi="宋体" w:cs="宋体"/>
                <w:bCs/>
                <w:snapToGrid w:val="0"/>
                <w:color w:val="000000"/>
                <w:kern w:val="0"/>
                <w:sz w:val="22"/>
                <w:szCs w:val="22"/>
                <w:u w:val="single"/>
              </w:rPr>
              <w:t xml:space="preserve">    </w:t>
            </w:r>
            <w:r>
              <w:rPr>
                <w:rFonts w:hint="eastAsia" w:ascii="宋体" w:hAnsi="宋体" w:cs="宋体"/>
                <w:bCs/>
                <w:snapToGrid w:val="0"/>
                <w:color w:val="000000"/>
                <w:kern w:val="0"/>
                <w:sz w:val="22"/>
                <w:szCs w:val="22"/>
              </w:rPr>
              <w:t>年</w:t>
            </w:r>
            <w:r>
              <w:rPr>
                <w:rFonts w:hint="eastAsia" w:ascii="宋体" w:hAnsi="宋体" w:cs="宋体"/>
                <w:bCs/>
                <w:snapToGrid w:val="0"/>
                <w:color w:val="000000"/>
                <w:kern w:val="0"/>
                <w:sz w:val="22"/>
                <w:szCs w:val="22"/>
                <w:u w:val="single"/>
              </w:rPr>
              <w:t xml:space="preserve">   </w:t>
            </w:r>
            <w:r>
              <w:rPr>
                <w:rFonts w:hint="eastAsia" w:ascii="宋体" w:hAnsi="宋体" w:cs="宋体"/>
                <w:bCs/>
                <w:snapToGrid w:val="0"/>
                <w:color w:val="000000"/>
                <w:kern w:val="0"/>
                <w:sz w:val="22"/>
                <w:szCs w:val="22"/>
              </w:rPr>
              <w:t>月</w:t>
            </w:r>
            <w:r>
              <w:rPr>
                <w:rFonts w:hint="eastAsia" w:ascii="宋体" w:hAnsi="宋体" w:cs="宋体"/>
                <w:bCs/>
                <w:snapToGrid w:val="0"/>
                <w:color w:val="000000"/>
                <w:kern w:val="0"/>
                <w:sz w:val="22"/>
                <w:szCs w:val="22"/>
                <w:u w:val="single"/>
              </w:rPr>
              <w:t xml:space="preserve">   </w:t>
            </w:r>
            <w:r>
              <w:rPr>
                <w:rFonts w:hint="eastAsia" w:ascii="宋体" w:hAnsi="宋体" w:cs="宋体"/>
                <w:bCs/>
                <w:snapToGrid w:val="0"/>
                <w:color w:val="000000"/>
                <w:kern w:val="0"/>
                <w:sz w:val="22"/>
                <w:szCs w:val="22"/>
              </w:rPr>
              <w:t>日</w:t>
            </w:r>
            <w:r>
              <w:rPr>
                <w:rFonts w:hint="eastAsia" w:ascii="宋体" w:hAnsi="宋体" w:cs="宋体"/>
                <w:bCs/>
                <w:snapToGrid w:val="0"/>
                <w:color w:val="000000"/>
                <w:kern w:val="0"/>
                <w:sz w:val="22"/>
                <w:szCs w:val="22"/>
                <w:u w:val="single"/>
              </w:rPr>
              <w:t xml:space="preserve">    </w:t>
            </w:r>
            <w:r>
              <w:rPr>
                <w:rFonts w:hint="eastAsia" w:ascii="宋体" w:hAnsi="宋体" w:cs="宋体"/>
                <w:bCs/>
                <w:snapToGrid w:val="0"/>
                <w:color w:val="000000"/>
                <w:kern w:val="0"/>
                <w:sz w:val="22"/>
                <w:szCs w:val="22"/>
              </w:rPr>
              <w:t>时</w:t>
            </w:r>
            <w:r>
              <w:rPr>
                <w:rFonts w:hint="eastAsia" w:ascii="宋体" w:hAnsi="宋体" w:cs="宋体"/>
                <w:bCs/>
                <w:snapToGrid w:val="0"/>
                <w:color w:val="000000"/>
                <w:kern w:val="0"/>
                <w:sz w:val="22"/>
                <w:szCs w:val="22"/>
                <w:u w:val="single"/>
              </w:rPr>
              <w:t xml:space="preserve">   </w:t>
            </w:r>
            <w:r>
              <w:rPr>
                <w:rFonts w:hint="eastAsia" w:ascii="宋体" w:hAnsi="宋体" w:cs="宋体"/>
                <w:bCs/>
                <w:snapToGrid w:val="0"/>
                <w:color w:val="000000"/>
                <w:kern w:val="0"/>
                <w:sz w:val="22"/>
                <w:szCs w:val="22"/>
              </w:rPr>
              <w:t>分前不得开启</w:t>
            </w:r>
          </w:p>
          <w:p>
            <w:pPr>
              <w:snapToGrid w:val="0"/>
              <w:spacing w:line="480" w:lineRule="exact"/>
              <w:rPr>
                <w:rFonts w:hint="eastAsia" w:ascii="宋体" w:hAnsi="宋体" w:cs="宋体"/>
                <w:bCs/>
                <w:snapToGrid w:val="0"/>
                <w:color w:val="000000"/>
                <w:kern w:val="0"/>
                <w:sz w:val="22"/>
                <w:szCs w:val="22"/>
              </w:rPr>
            </w:pPr>
            <w:r>
              <w:rPr>
                <w:rFonts w:hint="eastAsia" w:ascii="宋体" w:hAnsi="宋体" w:cs="宋体"/>
                <w:b/>
                <w:snapToGrid w:val="0"/>
                <w:color w:val="000000"/>
                <w:kern w:val="0"/>
                <w:sz w:val="22"/>
                <w:szCs w:val="22"/>
              </w:rPr>
              <w:t>工程保函封套</w:t>
            </w:r>
            <w:r>
              <w:rPr>
                <w:rFonts w:hint="eastAsia" w:ascii="宋体" w:hAnsi="宋体" w:cs="宋体"/>
                <w:b/>
                <w:snapToGrid w:val="0"/>
                <w:color w:val="000000"/>
                <w:kern w:val="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4.2.2</w:t>
            </w:r>
          </w:p>
        </w:tc>
        <w:tc>
          <w:tcPr>
            <w:tcW w:w="1980" w:type="dxa"/>
            <w:vAlign w:val="center"/>
          </w:tcPr>
          <w:p>
            <w:pPr>
              <w:snapToGrid w:val="0"/>
              <w:spacing w:line="480" w:lineRule="exact"/>
              <w:jc w:val="center"/>
              <w:rPr>
                <w:rFonts w:hint="eastAsia" w:ascii="宋体" w:hAnsi="宋体" w:cs="宋体"/>
                <w:snapToGrid w:val="0"/>
                <w:color w:val="0000FF"/>
                <w:kern w:val="0"/>
                <w:sz w:val="22"/>
                <w:szCs w:val="22"/>
                <w:shd w:val="clear" w:color="auto" w:fill="FFFFFF"/>
              </w:rPr>
            </w:pPr>
            <w:r>
              <w:rPr>
                <w:rFonts w:hint="eastAsia" w:ascii="宋体" w:hAnsi="宋体" w:cs="宋体"/>
                <w:snapToGrid w:val="0"/>
                <w:color w:val="000000"/>
                <w:kern w:val="0"/>
                <w:sz w:val="22"/>
                <w:szCs w:val="22"/>
                <w:shd w:val="clear" w:color="auto" w:fill="FFFFFF"/>
              </w:rPr>
              <w:t>递交非加密投标文件及银行保函地点</w:t>
            </w:r>
          </w:p>
        </w:tc>
        <w:tc>
          <w:tcPr>
            <w:tcW w:w="6757" w:type="dxa"/>
            <w:vAlign w:val="center"/>
          </w:tcPr>
          <w:p>
            <w:pPr>
              <w:snapToGrid w:val="0"/>
              <w:spacing w:line="480" w:lineRule="exact"/>
              <w:rPr>
                <w:rFonts w:hint="eastAsia" w:ascii="宋体" w:hAnsi="宋体" w:cs="宋体"/>
                <w:color w:val="000000"/>
                <w:sz w:val="22"/>
                <w:szCs w:val="22"/>
              </w:rPr>
            </w:pPr>
            <w:r>
              <w:rPr>
                <w:rFonts w:hint="eastAsia" w:ascii="宋体" w:hAnsi="宋体" w:cs="宋体"/>
                <w:bCs/>
                <w:snapToGrid w:val="0"/>
                <w:color w:val="000000"/>
                <w:kern w:val="0"/>
                <w:sz w:val="22"/>
                <w:szCs w:val="22"/>
              </w:rPr>
              <w:t>同开标地点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4.2.3</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是否退还投标文件</w:t>
            </w:r>
          </w:p>
        </w:tc>
        <w:tc>
          <w:tcPr>
            <w:tcW w:w="6757" w:type="dxa"/>
            <w:vAlign w:val="center"/>
          </w:tcPr>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☑否</w:t>
            </w:r>
          </w:p>
          <w:p>
            <w:pPr>
              <w:snapToGrid w:val="0"/>
              <w:spacing w:line="480" w:lineRule="exact"/>
              <w:rPr>
                <w:rFonts w:hint="eastAsia" w:ascii="宋体" w:hAnsi="宋体" w:cs="宋体"/>
                <w:color w:val="000000"/>
                <w:sz w:val="22"/>
                <w:szCs w:val="22"/>
                <w:u w:val="single"/>
              </w:rPr>
            </w:pPr>
            <w:r>
              <w:rPr>
                <w:rFonts w:hint="eastAsia" w:ascii="宋体" w:hAnsi="宋体" w:cs="宋体"/>
                <w:color w:val="000000"/>
                <w:sz w:val="22"/>
                <w:szCs w:val="22"/>
              </w:rPr>
              <w:t>□是，退还安排：</w:t>
            </w:r>
            <w:r>
              <w:rPr>
                <w:rFonts w:hint="eastAsia" w:ascii="宋体" w:hAnsi="宋体" w:cs="宋体"/>
                <w:bCs/>
                <w:snapToGrid w:val="0"/>
                <w:color w:val="000000"/>
                <w:kern w:val="0"/>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5.1</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开标时间和地点</w:t>
            </w:r>
          </w:p>
        </w:tc>
        <w:tc>
          <w:tcPr>
            <w:tcW w:w="6757" w:type="dxa"/>
            <w:vAlign w:val="center"/>
          </w:tcPr>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开标时间：同投标截止时间</w:t>
            </w:r>
          </w:p>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开标地点：见招标公告</w:t>
            </w:r>
          </w:p>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备注：投标人可以在线解密投标文件，无须现场参加开标。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5.2</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开标程序</w:t>
            </w:r>
          </w:p>
        </w:tc>
        <w:tc>
          <w:tcPr>
            <w:tcW w:w="6757" w:type="dxa"/>
            <w:vAlign w:val="center"/>
          </w:tcPr>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（1）解密时间：30 分钟（以电子交易系统解密倒计时为准）；</w:t>
            </w:r>
          </w:p>
          <w:p>
            <w:pPr>
              <w:snapToGrid w:val="0"/>
              <w:spacing w:line="480" w:lineRule="exact"/>
              <w:rPr>
                <w:rFonts w:hint="eastAsia" w:ascii="宋体" w:hAnsi="宋体" w:cs="宋体"/>
                <w:bCs/>
                <w:snapToGrid w:val="0"/>
                <w:color w:val="000000"/>
                <w:kern w:val="0"/>
                <w:sz w:val="22"/>
                <w:szCs w:val="22"/>
              </w:rPr>
            </w:pPr>
            <w:r>
              <w:rPr>
                <w:rFonts w:hint="eastAsia" w:ascii="宋体" w:hAnsi="宋体" w:cs="宋体"/>
                <w:color w:val="000000"/>
                <w:sz w:val="22"/>
                <w:szCs w:val="22"/>
              </w:rPr>
              <w:t>（2）公布投标人名称、标段名称、投标报价及其他内容。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6.1.1</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评标委员会的组建</w:t>
            </w:r>
          </w:p>
        </w:tc>
        <w:tc>
          <w:tcPr>
            <w:tcW w:w="6757" w:type="dxa"/>
            <w:vAlign w:val="center"/>
          </w:tcPr>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评标委员会构成：</w:t>
            </w:r>
            <w:r>
              <w:rPr>
                <w:rFonts w:hint="eastAsia" w:ascii="宋体" w:hAnsi="宋体" w:cs="宋体"/>
                <w:color w:val="000000"/>
                <w:sz w:val="22"/>
                <w:szCs w:val="22"/>
                <w:u w:val="single"/>
              </w:rPr>
              <w:t>依法组建</w:t>
            </w:r>
          </w:p>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评标专家确定方式：</w:t>
            </w:r>
            <w:r>
              <w:rPr>
                <w:rFonts w:hint="eastAsia" w:ascii="宋体" w:hAnsi="宋体" w:cs="宋体"/>
                <w:color w:val="000000"/>
                <w:sz w:val="22"/>
                <w:szCs w:val="22"/>
                <w:u w:val="single"/>
              </w:rPr>
              <w:t>依法确定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6.3.2</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评标委员会推荐中标候选人的人数</w:t>
            </w:r>
          </w:p>
        </w:tc>
        <w:tc>
          <w:tcPr>
            <w:tcW w:w="6757" w:type="dxa"/>
            <w:vAlign w:val="center"/>
          </w:tcPr>
          <w:p>
            <w:pPr>
              <w:snapToGrid w:val="0"/>
              <w:spacing w:line="480" w:lineRule="exact"/>
              <w:rPr>
                <w:rFonts w:hint="eastAsia" w:ascii="宋体" w:hAnsi="宋体" w:cs="宋体"/>
                <w:color w:val="000000"/>
                <w:sz w:val="22"/>
                <w:szCs w:val="22"/>
              </w:rPr>
            </w:pPr>
            <w:r>
              <w:rPr>
                <w:rFonts w:hint="eastAsia" w:ascii="宋体" w:hAnsi="宋体" w:cs="宋体"/>
                <w:sz w:val="22"/>
                <w:szCs w:val="22"/>
                <w:highlight w:val="yellow"/>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7.1</w:t>
            </w:r>
          </w:p>
        </w:tc>
        <w:tc>
          <w:tcPr>
            <w:tcW w:w="1980" w:type="dxa"/>
            <w:vAlign w:val="center"/>
          </w:tcPr>
          <w:p>
            <w:pPr>
              <w:snapToGrid w:val="0"/>
              <w:spacing w:line="480" w:lineRule="exact"/>
              <w:jc w:val="center"/>
              <w:rPr>
                <w:rFonts w:hint="eastAsia" w:ascii="宋体" w:hAnsi="宋体" w:cs="宋体"/>
                <w:color w:val="0000FF"/>
                <w:sz w:val="22"/>
                <w:szCs w:val="22"/>
              </w:rPr>
            </w:pPr>
            <w:r>
              <w:rPr>
                <w:rFonts w:hint="eastAsia" w:ascii="宋体" w:hAnsi="宋体" w:cs="宋体"/>
                <w:color w:val="000000"/>
                <w:sz w:val="22"/>
                <w:szCs w:val="22"/>
              </w:rPr>
              <w:t>中标候选人公示媒介及期限</w:t>
            </w:r>
          </w:p>
        </w:tc>
        <w:tc>
          <w:tcPr>
            <w:tcW w:w="6757" w:type="dxa"/>
            <w:vAlign w:val="center"/>
          </w:tcPr>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公示媒介：同招标公告发布媒介</w:t>
            </w:r>
          </w:p>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公示期限：</w:t>
            </w:r>
            <w:r>
              <w:rPr>
                <w:rFonts w:hint="eastAsia" w:ascii="宋体" w:hAnsi="宋体" w:cs="宋体"/>
                <w:color w:val="000000"/>
                <w:sz w:val="22"/>
                <w:szCs w:val="22"/>
                <w:u w:val="single"/>
              </w:rPr>
              <w:t xml:space="preserve">3 </w:t>
            </w:r>
            <w:r>
              <w:rPr>
                <w:rFonts w:hint="eastAsia" w:ascii="宋体" w:hAnsi="宋体" w:cs="宋体"/>
                <w:color w:val="000000"/>
                <w:sz w:val="22"/>
                <w:szCs w:val="22"/>
              </w:rPr>
              <w:t>日（公示期截止时间在法定休息日的应顺延至首个工作日）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7.4</w:t>
            </w:r>
          </w:p>
        </w:tc>
        <w:tc>
          <w:tcPr>
            <w:tcW w:w="1980"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是否授权评标委员会确定中标人</w:t>
            </w:r>
          </w:p>
        </w:tc>
        <w:tc>
          <w:tcPr>
            <w:tcW w:w="6757" w:type="dxa"/>
            <w:vAlign w:val="center"/>
          </w:tcPr>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7.5</w:t>
            </w:r>
          </w:p>
        </w:tc>
        <w:tc>
          <w:tcPr>
            <w:tcW w:w="1980" w:type="dxa"/>
            <w:vAlign w:val="center"/>
          </w:tcPr>
          <w:p>
            <w:pPr>
              <w:snapToGrid w:val="0"/>
              <w:spacing w:line="480" w:lineRule="exact"/>
              <w:jc w:val="center"/>
              <w:rPr>
                <w:rFonts w:hint="eastAsia" w:ascii="宋体" w:hAnsi="宋体" w:cs="宋体"/>
                <w:color w:val="0000FF"/>
                <w:sz w:val="22"/>
                <w:szCs w:val="22"/>
              </w:rPr>
            </w:pPr>
            <w:r>
              <w:rPr>
                <w:rFonts w:hint="eastAsia" w:ascii="宋体" w:hAnsi="宋体" w:cs="宋体"/>
                <w:color w:val="000000"/>
                <w:sz w:val="22"/>
                <w:szCs w:val="22"/>
              </w:rPr>
              <w:t>中标通知书发出的形式</w:t>
            </w:r>
          </w:p>
        </w:tc>
        <w:tc>
          <w:tcPr>
            <w:tcW w:w="6757" w:type="dxa"/>
            <w:vAlign w:val="center"/>
          </w:tcPr>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☑书面  ☑数据电文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7.6</w:t>
            </w:r>
          </w:p>
        </w:tc>
        <w:tc>
          <w:tcPr>
            <w:tcW w:w="1980" w:type="dxa"/>
            <w:vAlign w:val="center"/>
          </w:tcPr>
          <w:p>
            <w:pPr>
              <w:snapToGrid w:val="0"/>
              <w:spacing w:line="480" w:lineRule="exact"/>
              <w:jc w:val="center"/>
              <w:rPr>
                <w:rFonts w:hint="eastAsia" w:ascii="宋体" w:hAnsi="宋体" w:cs="宋体"/>
                <w:color w:val="0000FF"/>
                <w:sz w:val="22"/>
                <w:szCs w:val="22"/>
              </w:rPr>
            </w:pPr>
            <w:r>
              <w:rPr>
                <w:rFonts w:hint="eastAsia" w:ascii="宋体" w:hAnsi="宋体" w:cs="宋体"/>
                <w:color w:val="000000"/>
                <w:sz w:val="22"/>
                <w:szCs w:val="22"/>
              </w:rPr>
              <w:t>中标结果公示媒介及期限</w:t>
            </w:r>
          </w:p>
        </w:tc>
        <w:tc>
          <w:tcPr>
            <w:tcW w:w="6757" w:type="dxa"/>
            <w:vAlign w:val="center"/>
          </w:tcPr>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公示媒介：同招标公告发布媒介</w:t>
            </w:r>
          </w:p>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公示期限：3 日（公示期截止时间在法定休息日的应顺延至首</w:t>
            </w:r>
          </w:p>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color w:val="000000"/>
                <w:sz w:val="22"/>
                <w:szCs w:val="22"/>
              </w:rPr>
              <w:t>7.7.1</w:t>
            </w:r>
          </w:p>
        </w:tc>
        <w:tc>
          <w:tcPr>
            <w:tcW w:w="1980" w:type="dxa"/>
            <w:vAlign w:val="center"/>
          </w:tcPr>
          <w:p>
            <w:pPr>
              <w:snapToGrid w:val="0"/>
              <w:spacing w:line="480" w:lineRule="exact"/>
              <w:jc w:val="center"/>
              <w:rPr>
                <w:rFonts w:hint="eastAsia" w:ascii="宋体" w:hAnsi="宋体" w:cs="宋体"/>
                <w:sz w:val="22"/>
                <w:szCs w:val="22"/>
              </w:rPr>
            </w:pPr>
            <w:r>
              <w:rPr>
                <w:rFonts w:hint="eastAsia" w:ascii="宋体" w:hAnsi="宋体" w:cs="宋体"/>
                <w:sz w:val="22"/>
                <w:szCs w:val="22"/>
              </w:rPr>
              <w:t>履约保证金</w:t>
            </w:r>
          </w:p>
        </w:tc>
        <w:tc>
          <w:tcPr>
            <w:tcW w:w="6757" w:type="dxa"/>
            <w:vAlign w:val="center"/>
          </w:tcPr>
          <w:p>
            <w:pPr>
              <w:snapToGrid w:val="0"/>
              <w:spacing w:line="480" w:lineRule="exact"/>
              <w:rPr>
                <w:rFonts w:hint="eastAsia" w:ascii="宋体" w:hAnsi="宋体" w:cs="宋体"/>
                <w:sz w:val="22"/>
                <w:szCs w:val="22"/>
              </w:rPr>
            </w:pPr>
            <w:r>
              <w:rPr>
                <w:rFonts w:hint="eastAsia" w:ascii="宋体" w:hAnsi="宋体" w:cs="宋体"/>
                <w:sz w:val="22"/>
                <w:szCs w:val="22"/>
              </w:rPr>
              <w:t xml:space="preserve">（1）形式： </w:t>
            </w:r>
            <w:r>
              <w:rPr>
                <w:rFonts w:hint="eastAsia" w:ascii="宋体" w:hAnsi="宋体" w:cs="宋体"/>
                <w:color w:val="000000"/>
                <w:sz w:val="22"/>
                <w:szCs w:val="22"/>
              </w:rPr>
              <w:t>☑</w:t>
            </w:r>
            <w:r>
              <w:rPr>
                <w:rFonts w:hint="eastAsia" w:ascii="宋体" w:hAnsi="宋体" w:cs="宋体"/>
                <w:sz w:val="22"/>
                <w:szCs w:val="22"/>
              </w:rPr>
              <w:t>银行转账 </w:t>
            </w:r>
            <w:r>
              <w:rPr>
                <w:rFonts w:hint="eastAsia" w:ascii="宋体" w:hAnsi="宋体" w:cs="宋体"/>
                <w:color w:val="000000"/>
                <w:sz w:val="22"/>
                <w:szCs w:val="22"/>
              </w:rPr>
              <w:t>☑</w:t>
            </w:r>
            <w:r>
              <w:rPr>
                <w:rFonts w:hint="eastAsia" w:ascii="宋体" w:hAnsi="宋体" w:cs="宋体"/>
                <w:sz w:val="22"/>
                <w:szCs w:val="22"/>
              </w:rPr>
              <w:t>银行电汇 </w:t>
            </w:r>
            <w:r>
              <w:rPr>
                <w:rFonts w:hint="eastAsia" w:ascii="宋体" w:hAnsi="宋体" w:cs="宋体"/>
                <w:color w:val="000000"/>
                <w:sz w:val="22"/>
                <w:szCs w:val="22"/>
              </w:rPr>
              <w:t>☑</w:t>
            </w:r>
            <w:r>
              <w:rPr>
                <w:rFonts w:hint="eastAsia" w:ascii="宋体" w:hAnsi="宋体" w:cs="宋体"/>
                <w:sz w:val="22"/>
                <w:szCs w:val="22"/>
              </w:rPr>
              <w:t>银行保函 </w:t>
            </w:r>
            <w:r>
              <w:rPr>
                <w:rFonts w:hint="eastAsia" w:ascii="宋体" w:hAnsi="宋体" w:cs="宋体"/>
                <w:color w:val="000000"/>
                <w:sz w:val="22"/>
                <w:szCs w:val="22"/>
              </w:rPr>
              <w:t>☑</w:t>
            </w:r>
            <w:r>
              <w:rPr>
                <w:rFonts w:hint="eastAsia" w:ascii="宋体" w:hAnsi="宋体" w:cs="宋体"/>
                <w:sz w:val="22"/>
                <w:szCs w:val="22"/>
              </w:rPr>
              <w:t>担保机构担保 </w:t>
            </w:r>
            <w:r>
              <w:rPr>
                <w:rFonts w:hint="eastAsia" w:ascii="宋体" w:hAnsi="宋体" w:cs="宋体"/>
                <w:color w:val="000000"/>
                <w:sz w:val="22"/>
                <w:szCs w:val="22"/>
              </w:rPr>
              <w:t>☑</w:t>
            </w:r>
            <w:r>
              <w:rPr>
                <w:rFonts w:hint="eastAsia" w:ascii="宋体" w:hAnsi="宋体" w:cs="宋体"/>
                <w:sz w:val="22"/>
                <w:szCs w:val="22"/>
              </w:rPr>
              <w:t>保证保险</w:t>
            </w:r>
          </w:p>
          <w:p>
            <w:pPr>
              <w:snapToGrid w:val="0"/>
              <w:spacing w:line="480" w:lineRule="exact"/>
              <w:rPr>
                <w:rFonts w:hint="eastAsia" w:ascii="宋体" w:hAnsi="宋体" w:cs="宋体"/>
                <w:sz w:val="22"/>
                <w:szCs w:val="22"/>
              </w:rPr>
            </w:pPr>
            <w:r>
              <w:rPr>
                <w:rFonts w:hint="eastAsia" w:ascii="宋体" w:hAnsi="宋体" w:cs="宋体"/>
                <w:sz w:val="22"/>
                <w:szCs w:val="22"/>
              </w:rPr>
              <w:t>（2）金额：</w:t>
            </w:r>
            <w:r>
              <w:rPr>
                <w:rFonts w:hint="eastAsia" w:ascii="宋体" w:hAnsi="宋体" w:cs="宋体"/>
                <w:sz w:val="22"/>
                <w:szCs w:val="22"/>
                <w:highlight w:val="yellow"/>
              </w:rPr>
              <w:t xml:space="preserve">中标金额的 2％； </w:t>
            </w:r>
          </w:p>
          <w:p>
            <w:pPr>
              <w:snapToGrid w:val="0"/>
              <w:spacing w:line="480" w:lineRule="exact"/>
              <w:rPr>
                <w:rFonts w:hint="eastAsia" w:ascii="宋体" w:hAnsi="宋体" w:cs="宋体"/>
                <w:sz w:val="22"/>
                <w:szCs w:val="22"/>
                <w:u w:val="single"/>
              </w:rPr>
            </w:pPr>
            <w:r>
              <w:rPr>
                <w:rFonts w:hint="eastAsia" w:ascii="宋体" w:hAnsi="宋体" w:cs="宋体"/>
                <w:sz w:val="22"/>
                <w:szCs w:val="22"/>
              </w:rPr>
              <w:t>（3）退还：</w:t>
            </w:r>
            <w:r>
              <w:rPr>
                <w:rFonts w:hint="eastAsia" w:ascii="宋体" w:hAnsi="宋体" w:cs="宋体"/>
                <w:sz w:val="22"/>
                <w:szCs w:val="22"/>
                <w:u w:val="single"/>
              </w:rPr>
              <w:t>竣工验收合格、履约担保或履约保证金期满之后，由招标人在依据合同约定扣除相应款项后，经中标人书面申请，一次性无息退还至中标人账户。</w:t>
            </w:r>
          </w:p>
          <w:p>
            <w:pPr>
              <w:snapToGrid w:val="0"/>
              <w:spacing w:line="480" w:lineRule="exact"/>
              <w:rPr>
                <w:rFonts w:hint="eastAsia" w:ascii="宋体" w:hAnsi="宋体" w:cs="宋体"/>
                <w:sz w:val="22"/>
                <w:szCs w:val="22"/>
              </w:rPr>
            </w:pPr>
            <w:r>
              <w:rPr>
                <w:rFonts w:hint="eastAsia" w:ascii="宋体" w:hAnsi="宋体" w:cs="宋体"/>
                <w:sz w:val="22"/>
                <w:szCs w:val="22"/>
              </w:rPr>
              <w:t>（4）如采用银行保函，银行保函应为合肥行政区域（含四县一市）具有分支机构的银行（或该银行国内任一分行或支行）出具的见索即付无条件银行保函。例如：某银行在合肥行政区域有分支机构，则该银行总行（或该银行国内任一分行或支行）出具的满足招标文件要求的银行保函均予以认可；</w:t>
            </w:r>
          </w:p>
          <w:p>
            <w:pPr>
              <w:snapToGrid w:val="0"/>
              <w:spacing w:line="480" w:lineRule="exact"/>
              <w:rPr>
                <w:rFonts w:hint="eastAsia" w:ascii="宋体" w:hAnsi="宋体" w:cs="宋体"/>
                <w:sz w:val="22"/>
                <w:szCs w:val="22"/>
              </w:rPr>
            </w:pPr>
            <w:r>
              <w:rPr>
                <w:rFonts w:hint="eastAsia" w:ascii="宋体" w:hAnsi="宋体" w:cs="宋体"/>
                <w:sz w:val="22"/>
                <w:szCs w:val="22"/>
              </w:rPr>
              <w:t>（5）如采用担保机构担保，需按招标人要求提供注册地在合肥行政区域（含四县一市）范围内的融资担保机构或经安徽省地方金融监督管理局备案的融资担保机构出具的无条件担保。</w:t>
            </w:r>
          </w:p>
          <w:p>
            <w:pPr>
              <w:snapToGrid w:val="0"/>
              <w:spacing w:line="480" w:lineRule="exact"/>
              <w:rPr>
                <w:rFonts w:hint="eastAsia" w:ascii="宋体" w:hAnsi="宋体" w:cs="宋体"/>
                <w:sz w:val="22"/>
                <w:szCs w:val="22"/>
              </w:rPr>
            </w:pPr>
            <w:r>
              <w:rPr>
                <w:rFonts w:hint="eastAsia" w:ascii="宋体" w:hAnsi="宋体" w:cs="宋体"/>
                <w:sz w:val="22"/>
                <w:szCs w:val="22"/>
              </w:rPr>
              <w:t>（6）以上各类机构出具的以担保函、保证保险承担责任的方式均须满足无条件见索即付条件。</w:t>
            </w:r>
          </w:p>
          <w:p>
            <w:pPr>
              <w:snapToGrid w:val="0"/>
              <w:spacing w:line="480" w:lineRule="exact"/>
              <w:rPr>
                <w:rFonts w:hint="eastAsia" w:ascii="宋体" w:hAnsi="宋体" w:cs="宋体"/>
                <w:sz w:val="22"/>
                <w:szCs w:val="22"/>
              </w:rPr>
            </w:pPr>
            <w:r>
              <w:rPr>
                <w:rFonts w:hint="eastAsia" w:ascii="宋体" w:hAnsi="宋体" w:cs="宋体"/>
                <w:sz w:val="22"/>
                <w:szCs w:val="22"/>
              </w:rPr>
              <w:t>注意事项：以上各类机构出具的以担保函、保证保险承担责任</w:t>
            </w:r>
          </w:p>
          <w:p>
            <w:pPr>
              <w:snapToGrid w:val="0"/>
              <w:spacing w:line="480" w:lineRule="exact"/>
              <w:rPr>
                <w:rFonts w:hint="eastAsia" w:ascii="宋体" w:hAnsi="宋体" w:cs="宋体"/>
                <w:sz w:val="22"/>
                <w:szCs w:val="22"/>
              </w:rPr>
            </w:pPr>
            <w:r>
              <w:rPr>
                <w:rFonts w:hint="eastAsia" w:ascii="宋体" w:hAnsi="宋体" w:cs="宋体"/>
                <w:sz w:val="22"/>
                <w:szCs w:val="22"/>
              </w:rPr>
              <w:t>的方式均须满足无条件见索即付条件。</w:t>
            </w:r>
          </w:p>
          <w:p>
            <w:pPr>
              <w:snapToGrid w:val="0"/>
              <w:spacing w:line="480" w:lineRule="exact"/>
              <w:rPr>
                <w:rFonts w:hint="eastAsia" w:ascii="宋体" w:hAnsi="宋体" w:cs="宋体"/>
                <w:sz w:val="22"/>
                <w:szCs w:val="22"/>
              </w:rPr>
            </w:pPr>
            <w:r>
              <w:rPr>
                <w:rFonts w:hint="eastAsia" w:ascii="宋体" w:hAnsi="宋体" w:cs="宋体"/>
                <w:sz w:val="22"/>
                <w:szCs w:val="22"/>
              </w:rPr>
              <w:t>若中标人采用担保机构出具的保函，合同签订前须提供以下材料经招标人审核：</w:t>
            </w:r>
          </w:p>
          <w:p>
            <w:pPr>
              <w:snapToGrid w:val="0"/>
              <w:spacing w:line="480" w:lineRule="exact"/>
              <w:rPr>
                <w:rFonts w:hint="eastAsia" w:ascii="宋体" w:hAnsi="宋体" w:cs="宋体"/>
                <w:sz w:val="22"/>
                <w:szCs w:val="22"/>
              </w:rPr>
            </w:pPr>
            <w:r>
              <w:rPr>
                <w:rFonts w:hint="eastAsia" w:ascii="宋体" w:hAnsi="宋体" w:cs="宋体"/>
                <w:sz w:val="22"/>
                <w:szCs w:val="22"/>
              </w:rPr>
              <w:t>1）担保机构在合肥行政区域（含四县一市）范围内注册的或经安徽省地方金融监督管理局审查批准的相关证明材料；</w:t>
            </w:r>
          </w:p>
          <w:p>
            <w:pPr>
              <w:snapToGrid w:val="0"/>
              <w:spacing w:line="480" w:lineRule="exact"/>
              <w:rPr>
                <w:rFonts w:hint="eastAsia" w:ascii="宋体" w:hAnsi="宋体" w:cs="宋体"/>
                <w:sz w:val="22"/>
                <w:szCs w:val="22"/>
              </w:rPr>
            </w:pPr>
            <w:r>
              <w:rPr>
                <w:rFonts w:hint="eastAsia" w:ascii="宋体" w:hAnsi="宋体" w:cs="宋体"/>
                <w:sz w:val="22"/>
                <w:szCs w:val="22"/>
              </w:rPr>
              <w:t>2.担保机构的融资担保业务经营许可证；</w:t>
            </w:r>
          </w:p>
          <w:p>
            <w:pPr>
              <w:snapToGrid w:val="0"/>
              <w:spacing w:line="480" w:lineRule="exact"/>
              <w:rPr>
                <w:rFonts w:hint="eastAsia" w:ascii="宋体" w:hAnsi="宋体" w:cs="宋体"/>
                <w:sz w:val="22"/>
                <w:szCs w:val="22"/>
              </w:rPr>
            </w:pPr>
            <w:r>
              <w:rPr>
                <w:rFonts w:hint="eastAsia" w:ascii="宋体" w:hAnsi="宋体" w:cs="宋体"/>
                <w:sz w:val="22"/>
                <w:szCs w:val="22"/>
              </w:rPr>
              <w:t>3.担保机构未被列为失信被执行人的证明材料（以在“中国执</w:t>
            </w:r>
          </w:p>
          <w:p>
            <w:pPr>
              <w:snapToGrid w:val="0"/>
              <w:spacing w:line="480" w:lineRule="exact"/>
              <w:rPr>
                <w:rFonts w:hint="eastAsia" w:ascii="宋体" w:hAnsi="宋体" w:cs="宋体"/>
                <w:sz w:val="22"/>
                <w:szCs w:val="22"/>
              </w:rPr>
            </w:pPr>
            <w:r>
              <w:rPr>
                <w:rFonts w:hint="eastAsia" w:ascii="宋体" w:hAnsi="宋体" w:cs="宋体"/>
                <w:sz w:val="22"/>
                <w:szCs w:val="22"/>
              </w:rPr>
              <w:t>行信息公开网”查询结果为准）。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1" w:type="dxa"/>
            <w:gridSpan w:val="3"/>
            <w:vAlign w:val="center"/>
          </w:tcPr>
          <w:p>
            <w:pPr>
              <w:snapToGrid w:val="0"/>
              <w:spacing w:line="480" w:lineRule="exact"/>
              <w:jc w:val="left"/>
              <w:rPr>
                <w:rFonts w:hint="eastAsia" w:ascii="宋体" w:hAnsi="宋体" w:cs="宋体"/>
                <w:color w:val="000000"/>
                <w:sz w:val="22"/>
                <w:szCs w:val="22"/>
              </w:rPr>
            </w:pPr>
            <w:r>
              <w:rPr>
                <w:rFonts w:hint="eastAsia" w:ascii="宋体" w:hAnsi="宋体" w:cs="宋体"/>
                <w:color w:val="000000"/>
                <w:sz w:val="22"/>
                <w:szCs w:val="22"/>
              </w:rPr>
              <w:t>10. 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1" w:type="dxa"/>
            <w:gridSpan w:val="3"/>
            <w:vAlign w:val="center"/>
          </w:tcPr>
          <w:p>
            <w:pPr>
              <w:snapToGrid w:val="0"/>
              <w:spacing w:line="480" w:lineRule="exact"/>
              <w:jc w:val="left"/>
              <w:rPr>
                <w:rFonts w:hint="eastAsia" w:ascii="宋体" w:hAnsi="宋体" w:cs="宋体"/>
                <w:color w:val="000000"/>
                <w:sz w:val="22"/>
                <w:szCs w:val="22"/>
              </w:rPr>
            </w:pPr>
            <w:r>
              <w:rPr>
                <w:rFonts w:hint="eastAsia" w:ascii="宋体" w:hAnsi="宋体" w:cs="宋体"/>
                <w:color w:val="000000"/>
                <w:sz w:val="22"/>
                <w:szCs w:val="22"/>
              </w:rPr>
              <w:t>10.1</w:t>
            </w:r>
            <w:r>
              <w:rPr>
                <w:rFonts w:hint="eastAsia" w:ascii="宋体" w:hAnsi="宋体" w:cs="宋体"/>
                <w:bCs/>
                <w:snapToGrid w:val="0"/>
                <w:color w:val="000000"/>
                <w:kern w:val="0"/>
                <w:sz w:val="22"/>
                <w:szCs w:val="22"/>
              </w:rPr>
              <w:t xml:space="preserve"> 招标文件获取与通知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bCs/>
                <w:snapToGrid w:val="0"/>
                <w:color w:val="0000FF"/>
                <w:kern w:val="0"/>
                <w:sz w:val="22"/>
                <w:szCs w:val="22"/>
              </w:rPr>
            </w:pPr>
            <w:r>
              <w:rPr>
                <w:rFonts w:hint="eastAsia" w:ascii="宋体" w:hAnsi="宋体" w:cs="宋体"/>
                <w:color w:val="000000"/>
                <w:sz w:val="22"/>
                <w:szCs w:val="22"/>
              </w:rPr>
              <w:t>10.1.1</w:t>
            </w:r>
          </w:p>
        </w:tc>
        <w:tc>
          <w:tcPr>
            <w:tcW w:w="1980" w:type="dxa"/>
            <w:vAlign w:val="center"/>
          </w:tcPr>
          <w:p>
            <w:pPr>
              <w:snapToGrid w:val="0"/>
              <w:spacing w:line="480" w:lineRule="exact"/>
              <w:jc w:val="center"/>
              <w:rPr>
                <w:rFonts w:hint="eastAsia" w:ascii="宋体" w:hAnsi="宋体" w:cs="宋体"/>
                <w:bCs/>
                <w:snapToGrid w:val="0"/>
                <w:color w:val="FF0000"/>
                <w:kern w:val="0"/>
                <w:sz w:val="22"/>
                <w:szCs w:val="22"/>
              </w:rPr>
            </w:pPr>
            <w:r>
              <w:rPr>
                <w:rFonts w:hint="eastAsia" w:ascii="宋体" w:hAnsi="宋体" w:cs="宋体"/>
                <w:bCs/>
                <w:snapToGrid w:val="0"/>
                <w:color w:val="000000"/>
                <w:kern w:val="0"/>
                <w:sz w:val="22"/>
                <w:szCs w:val="22"/>
              </w:rPr>
              <w:t>图纸获取说明</w:t>
            </w:r>
          </w:p>
        </w:tc>
        <w:tc>
          <w:tcPr>
            <w:tcW w:w="6757" w:type="dxa"/>
            <w:vAlign w:val="center"/>
          </w:tcPr>
          <w:p>
            <w:pPr>
              <w:widowControl/>
              <w:snapToGrid w:val="0"/>
              <w:spacing w:line="480" w:lineRule="exact"/>
              <w:jc w:val="lef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本项目的图纸通过电子服务系统发布，投标人应自行下载。投标人应当及时登录电子服务系统查看。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FF"/>
                <w:sz w:val="22"/>
                <w:szCs w:val="22"/>
              </w:rPr>
            </w:pPr>
            <w:r>
              <w:rPr>
                <w:rFonts w:hint="eastAsia" w:ascii="宋体" w:hAnsi="宋体" w:cs="宋体"/>
                <w:color w:val="000000"/>
                <w:sz w:val="22"/>
                <w:szCs w:val="22"/>
              </w:rPr>
              <w:t>10.1.2</w:t>
            </w:r>
          </w:p>
        </w:tc>
        <w:tc>
          <w:tcPr>
            <w:tcW w:w="1980" w:type="dxa"/>
            <w:vAlign w:val="center"/>
          </w:tcPr>
          <w:p>
            <w:pPr>
              <w:snapToGrid w:val="0"/>
              <w:spacing w:line="480" w:lineRule="exact"/>
              <w:jc w:val="center"/>
              <w:rPr>
                <w:rFonts w:hint="eastAsia" w:ascii="宋体" w:hAnsi="宋体" w:cs="宋体"/>
                <w:bCs/>
                <w:snapToGrid w:val="0"/>
                <w:color w:val="0000FF"/>
                <w:kern w:val="0"/>
                <w:sz w:val="22"/>
                <w:szCs w:val="22"/>
              </w:rPr>
            </w:pPr>
            <w:r>
              <w:rPr>
                <w:rFonts w:hint="eastAsia" w:ascii="宋体" w:hAnsi="宋体" w:cs="宋体"/>
                <w:bCs/>
                <w:snapToGrid w:val="0"/>
                <w:color w:val="000000"/>
                <w:kern w:val="0"/>
                <w:sz w:val="22"/>
                <w:szCs w:val="22"/>
              </w:rPr>
              <w:t>获取与查看通知</w:t>
            </w:r>
          </w:p>
        </w:tc>
        <w:tc>
          <w:tcPr>
            <w:tcW w:w="6757" w:type="dxa"/>
            <w:vAlign w:val="center"/>
          </w:tcPr>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本项目的招标文件、工程量清单及最高投标限价、澄清及修改等相关资料（如有）均通过电子服务系统发布，投标人应自行下载。投标人应当及时登录电子服务系统查看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FF"/>
                <w:sz w:val="22"/>
                <w:szCs w:val="22"/>
              </w:rPr>
            </w:pPr>
            <w:r>
              <w:rPr>
                <w:rFonts w:hint="eastAsia" w:ascii="宋体" w:hAnsi="宋体" w:cs="宋体"/>
                <w:color w:val="000000"/>
                <w:sz w:val="22"/>
                <w:szCs w:val="22"/>
              </w:rPr>
              <w:t>10.1.3</w:t>
            </w:r>
          </w:p>
        </w:tc>
        <w:tc>
          <w:tcPr>
            <w:tcW w:w="1980" w:type="dxa"/>
            <w:vAlign w:val="center"/>
          </w:tcPr>
          <w:p>
            <w:pPr>
              <w:snapToGrid w:val="0"/>
              <w:spacing w:line="480" w:lineRule="exact"/>
              <w:jc w:val="center"/>
              <w:rPr>
                <w:rFonts w:hint="eastAsia" w:ascii="宋体" w:hAnsi="宋体" w:cs="宋体"/>
                <w:bCs/>
                <w:snapToGrid w:val="0"/>
                <w:color w:val="0000FF"/>
                <w:kern w:val="0"/>
                <w:sz w:val="22"/>
                <w:szCs w:val="22"/>
              </w:rPr>
            </w:pPr>
            <w:r>
              <w:rPr>
                <w:rFonts w:hint="eastAsia" w:ascii="宋体" w:hAnsi="宋体" w:cs="宋体"/>
                <w:bCs/>
                <w:snapToGrid w:val="0"/>
                <w:color w:val="000000"/>
                <w:kern w:val="0"/>
                <w:sz w:val="22"/>
                <w:szCs w:val="22"/>
              </w:rPr>
              <w:t>电子招标</w:t>
            </w:r>
          </w:p>
        </w:tc>
        <w:tc>
          <w:tcPr>
            <w:tcW w:w="6757" w:type="dxa"/>
            <w:vAlign w:val="center"/>
          </w:tcPr>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本项目采用电子招标投标方式，除招标文件另有规定外，电子招标投标操作要求详见本章附件《合肥市公共资源交易电子招标投标操作规程》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FF"/>
                <w:sz w:val="22"/>
                <w:szCs w:val="22"/>
              </w:rPr>
            </w:pPr>
            <w:r>
              <w:rPr>
                <w:rFonts w:hint="eastAsia" w:ascii="宋体" w:hAnsi="宋体" w:cs="宋体"/>
                <w:bCs/>
                <w:snapToGrid w:val="0"/>
                <w:color w:val="000000"/>
                <w:kern w:val="0"/>
                <w:sz w:val="22"/>
                <w:szCs w:val="22"/>
              </w:rPr>
              <w:t>10.2</w:t>
            </w:r>
          </w:p>
        </w:tc>
        <w:tc>
          <w:tcPr>
            <w:tcW w:w="1980" w:type="dxa"/>
            <w:vAlign w:val="center"/>
          </w:tcPr>
          <w:p>
            <w:pPr>
              <w:snapToGrid w:val="0"/>
              <w:spacing w:line="480" w:lineRule="exact"/>
              <w:jc w:val="center"/>
              <w:rPr>
                <w:rFonts w:hint="eastAsia" w:ascii="宋体" w:hAnsi="宋体" w:cs="宋体"/>
                <w:bCs/>
                <w:snapToGrid w:val="0"/>
                <w:color w:val="0000FF"/>
                <w:kern w:val="0"/>
                <w:sz w:val="22"/>
                <w:szCs w:val="22"/>
              </w:rPr>
            </w:pPr>
            <w:r>
              <w:rPr>
                <w:rFonts w:hint="eastAsia" w:ascii="宋体" w:hAnsi="宋体" w:cs="宋体"/>
                <w:bCs/>
                <w:snapToGrid w:val="0"/>
                <w:color w:val="000000"/>
                <w:kern w:val="0"/>
                <w:sz w:val="22"/>
                <w:szCs w:val="22"/>
              </w:rPr>
              <w:t>投标所需资料</w:t>
            </w:r>
          </w:p>
        </w:tc>
        <w:tc>
          <w:tcPr>
            <w:tcW w:w="6757" w:type="dxa"/>
            <w:vAlign w:val="center"/>
          </w:tcPr>
          <w:p>
            <w:pPr>
              <w:widowControl/>
              <w:snapToGrid w:val="0"/>
              <w:spacing w:line="480" w:lineRule="exact"/>
              <w:jc w:val="lef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（1）对于编制投标文件时所需的资料，由投标人自行扫描后通过相应端口上传。投标文件总容量不超过 200M，投标人应自行考虑上传的投标文件大小，并完成投标文件的制作，防止缺项漏项。</w:t>
            </w:r>
          </w:p>
          <w:p>
            <w:pPr>
              <w:widowControl/>
              <w:snapToGrid w:val="0"/>
              <w:spacing w:line="480" w:lineRule="exact"/>
              <w:jc w:val="lef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（2）投标人应及时查看上传的相关资料，如出现上传的相应投 标资料不全、模糊不清、超出有效期等情况，评标</w:t>
            </w:r>
            <w:r>
              <w:rPr>
                <w:rFonts w:hint="eastAsia" w:ascii="宋体" w:hAnsi="宋体" w:cs="宋体"/>
                <w:bCs/>
                <w:snapToGrid w:val="0"/>
                <w:color w:val="000000"/>
                <w:kern w:val="0"/>
                <w:sz w:val="22"/>
                <w:szCs w:val="22"/>
                <w:lang w:eastAsia="zh-CN"/>
              </w:rPr>
              <w:t>委员会将做</w:t>
            </w:r>
            <w:r>
              <w:rPr>
                <w:rFonts w:hint="eastAsia" w:ascii="宋体" w:hAnsi="宋体" w:cs="宋体"/>
                <w:bCs/>
                <w:snapToGrid w:val="0"/>
                <w:color w:val="000000"/>
                <w:kern w:val="0"/>
                <w:sz w:val="22"/>
                <w:szCs w:val="22"/>
              </w:rPr>
              <w:t xml:space="preserve"> 出对投标人不利的认定，由此产生的一切后果由投标人自行承担。</w:t>
            </w:r>
          </w:p>
          <w:p>
            <w:pPr>
              <w:widowControl/>
              <w:snapToGrid w:val="0"/>
              <w:spacing w:line="480" w:lineRule="exact"/>
              <w:jc w:val="lef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（3）以上资料具体以第三章“评标办法”和第六章“投标文件</w:t>
            </w:r>
          </w:p>
          <w:p>
            <w:pPr>
              <w:widowControl/>
              <w:snapToGrid w:val="0"/>
              <w:spacing w:line="480" w:lineRule="exact"/>
              <w:jc w:val="lef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格式”要求为准。</w:t>
            </w:r>
          </w:p>
          <w:p>
            <w:pPr>
              <w:widowControl/>
              <w:snapToGrid w:val="0"/>
              <w:spacing w:line="480" w:lineRule="exact"/>
              <w:jc w:val="lef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4）投标人提供的如营业执照、资质证书、安全生产许可证、安全生产考核合格证书、注册建造师证书、安全生产考核合格证书等证书证件应在有效期内，若法律法规或发证机构或相关主管部门另有规定的，从其规定，但投标人须在投标文件中提供发证机构或相关主管部门发布的相关证明材料，或经询标被</w:t>
            </w:r>
          </w:p>
          <w:p>
            <w:pPr>
              <w:widowControl/>
              <w:snapToGrid w:val="0"/>
              <w:spacing w:line="480" w:lineRule="exact"/>
              <w:jc w:val="lef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评标委员会认定符合相关规定的，评标委员会应予以认可。</w:t>
            </w:r>
          </w:p>
          <w:p>
            <w:pPr>
              <w:widowControl/>
              <w:snapToGrid w:val="0"/>
              <w:spacing w:line="480" w:lineRule="exact"/>
              <w:jc w:val="lef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（5）采用一级建造师投标的应符合《住房和城乡建设部办公厅关于全面实行一级建造师电子注册证书的通知》</w:t>
            </w:r>
            <w:r>
              <w:rPr>
                <w:rFonts w:hint="eastAsia" w:ascii="宋体" w:hAnsi="宋体" w:cs="宋体"/>
                <w:bCs/>
                <w:snapToGrid w:val="0"/>
                <w:color w:val="000000"/>
                <w:kern w:val="0"/>
                <w:sz w:val="22"/>
                <w:szCs w:val="22"/>
                <w:lang w:eastAsia="zh-CN"/>
              </w:rPr>
              <w:t>（</w:t>
            </w:r>
            <w:r>
              <w:rPr>
                <w:rFonts w:hint="eastAsia" w:ascii="宋体" w:hAnsi="宋体" w:cs="宋体"/>
                <w:bCs/>
                <w:snapToGrid w:val="0"/>
                <w:color w:val="000000"/>
                <w:kern w:val="0"/>
                <w:sz w:val="22"/>
                <w:szCs w:val="22"/>
              </w:rPr>
              <w:t>建办市〔2021〕40 号</w:t>
            </w:r>
            <w:r>
              <w:rPr>
                <w:rFonts w:hint="eastAsia" w:ascii="宋体" w:hAnsi="宋体" w:cs="宋体"/>
                <w:bCs/>
                <w:snapToGrid w:val="0"/>
                <w:color w:val="000000"/>
                <w:kern w:val="0"/>
                <w:sz w:val="22"/>
                <w:szCs w:val="22"/>
                <w:lang w:eastAsia="zh-CN"/>
              </w:rPr>
              <w:t>）</w:t>
            </w:r>
            <w:r>
              <w:rPr>
                <w:rFonts w:hint="eastAsia" w:ascii="宋体" w:hAnsi="宋体" w:cs="宋体"/>
                <w:bCs/>
                <w:snapToGrid w:val="0"/>
                <w:color w:val="000000"/>
                <w:kern w:val="0"/>
                <w:sz w:val="22"/>
                <w:szCs w:val="22"/>
              </w:rPr>
              <w:t>规定，投标文件应提供一级建造师电子注册证书，且应在个人签名处手写本人签名，未手写签名或与签名图像笔迹不一致的，该电子证书无效。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FF"/>
                <w:sz w:val="22"/>
                <w:szCs w:val="22"/>
              </w:rPr>
            </w:pPr>
            <w:r>
              <w:rPr>
                <w:rFonts w:hint="eastAsia" w:ascii="宋体" w:hAnsi="宋体" w:cs="宋体"/>
                <w:color w:val="000000"/>
                <w:sz w:val="22"/>
                <w:szCs w:val="22"/>
              </w:rPr>
              <w:t>10.3</w:t>
            </w:r>
          </w:p>
        </w:tc>
        <w:tc>
          <w:tcPr>
            <w:tcW w:w="1980" w:type="dxa"/>
            <w:vAlign w:val="center"/>
          </w:tcPr>
          <w:p>
            <w:pPr>
              <w:snapToGrid w:val="0"/>
              <w:spacing w:line="480" w:lineRule="exact"/>
              <w:jc w:val="center"/>
              <w:rPr>
                <w:rFonts w:hint="eastAsia" w:ascii="宋体" w:hAnsi="宋体" w:cs="宋体"/>
                <w:bCs/>
                <w:snapToGrid w:val="0"/>
                <w:color w:val="0000FF"/>
                <w:kern w:val="0"/>
                <w:sz w:val="22"/>
                <w:szCs w:val="22"/>
              </w:rPr>
            </w:pPr>
            <w:r>
              <w:rPr>
                <w:rFonts w:hint="eastAsia" w:ascii="宋体" w:hAnsi="宋体" w:cs="宋体"/>
                <w:bCs/>
                <w:snapToGrid w:val="0"/>
                <w:color w:val="000000"/>
                <w:kern w:val="0"/>
                <w:sz w:val="22"/>
                <w:szCs w:val="22"/>
              </w:rPr>
              <w:t>评标过程中的澄清、说明或补正</w:t>
            </w:r>
          </w:p>
        </w:tc>
        <w:tc>
          <w:tcPr>
            <w:tcW w:w="6757" w:type="dxa"/>
            <w:vAlign w:val="center"/>
          </w:tcPr>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（1）评标委员会通过电子交易系统将需要澄清、说明或补正的内容以询标函的形式发送给投标人，投标人应安排专人登录电子交易系统并保持在线状态，以便及时接收评标委员会可能发出的询标函。</w:t>
            </w:r>
          </w:p>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（2）因投标人未登录电子交易系统导致无法及时接收询标函（远程网上询标）或未在规定时间内（从评标委员会发起远程网上询标至询标结束原则上为 15 分钟，具体时间要求以评标委员会通过电子交易系统发出的网上询标函为准）按评标委员会要求进行澄清、说明或补正内容的视同投标人放弃澄清、说明或补正内容的权利，评标委员会可按对投标人不利的解释进行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FF"/>
                <w:sz w:val="22"/>
                <w:szCs w:val="22"/>
              </w:rPr>
            </w:pPr>
            <w:r>
              <w:rPr>
                <w:rFonts w:hint="eastAsia" w:ascii="宋体" w:hAnsi="宋体" w:cs="宋体"/>
                <w:color w:val="000000"/>
                <w:sz w:val="22"/>
                <w:szCs w:val="22"/>
              </w:rPr>
              <w:t>10.4</w:t>
            </w:r>
          </w:p>
        </w:tc>
        <w:tc>
          <w:tcPr>
            <w:tcW w:w="1980" w:type="dxa"/>
            <w:vAlign w:val="center"/>
          </w:tcPr>
          <w:p>
            <w:pPr>
              <w:snapToGrid w:val="0"/>
              <w:spacing w:line="480" w:lineRule="exact"/>
              <w:jc w:val="center"/>
              <w:rPr>
                <w:rFonts w:hint="eastAsia" w:ascii="宋体" w:hAnsi="宋体" w:cs="宋体"/>
                <w:bCs/>
                <w:snapToGrid w:val="0"/>
                <w:color w:val="0000FF"/>
                <w:kern w:val="0"/>
                <w:sz w:val="22"/>
                <w:szCs w:val="22"/>
              </w:rPr>
            </w:pPr>
            <w:r>
              <w:rPr>
                <w:rFonts w:hint="eastAsia" w:ascii="宋体" w:hAnsi="宋体" w:cs="宋体"/>
                <w:bCs/>
                <w:snapToGrid w:val="0"/>
                <w:color w:val="000000"/>
                <w:kern w:val="0"/>
                <w:sz w:val="22"/>
                <w:szCs w:val="22"/>
              </w:rPr>
              <w:t>招标代理服务费</w:t>
            </w:r>
          </w:p>
        </w:tc>
        <w:tc>
          <w:tcPr>
            <w:tcW w:w="6757" w:type="dxa"/>
            <w:vAlign w:val="center"/>
          </w:tcPr>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（1）中标人在领取中标通知书前须向招标代理机构缴纳招标代理服务费，可以银行转账、银行电汇方式。招标代理服务费以中标价为计算基数，参照国家计委计价格[2002]1980 号文规定收费标准的</w:t>
            </w:r>
            <w:r>
              <w:rPr>
                <w:rFonts w:hint="eastAsia" w:ascii="宋体" w:hAnsi="宋体" w:cs="宋体"/>
                <w:bCs/>
                <w:snapToGrid w:val="0"/>
                <w:color w:val="000000"/>
                <w:kern w:val="0"/>
                <w:sz w:val="22"/>
                <w:szCs w:val="22"/>
                <w:u w:val="single"/>
              </w:rPr>
              <w:t xml:space="preserve"> 30%计</w:t>
            </w:r>
            <w:r>
              <w:rPr>
                <w:rFonts w:hint="eastAsia" w:ascii="宋体" w:hAnsi="宋体" w:cs="宋体"/>
                <w:bCs/>
                <w:snapToGrid w:val="0"/>
                <w:color w:val="000000"/>
                <w:kern w:val="0"/>
                <w:sz w:val="22"/>
                <w:szCs w:val="22"/>
              </w:rPr>
              <w:t>取，投标人在报价单中不单列，包含在投标总价中，招标人不再单独计量支付。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FF"/>
                <w:sz w:val="22"/>
                <w:szCs w:val="22"/>
              </w:rPr>
            </w:pPr>
            <w:r>
              <w:rPr>
                <w:rFonts w:hint="eastAsia" w:ascii="宋体" w:hAnsi="宋体" w:cs="宋体"/>
                <w:color w:val="000000"/>
                <w:sz w:val="22"/>
                <w:szCs w:val="22"/>
              </w:rPr>
              <w:t>10.5</w:t>
            </w:r>
          </w:p>
        </w:tc>
        <w:tc>
          <w:tcPr>
            <w:tcW w:w="1980" w:type="dxa"/>
            <w:vAlign w:val="center"/>
          </w:tcPr>
          <w:p>
            <w:pPr>
              <w:widowControl/>
              <w:snapToGrid w:val="0"/>
              <w:spacing w:line="480" w:lineRule="exact"/>
              <w:jc w:val="center"/>
              <w:rPr>
                <w:rFonts w:hint="eastAsia" w:ascii="宋体" w:hAnsi="宋体" w:cs="宋体"/>
                <w:bCs/>
                <w:snapToGrid w:val="0"/>
                <w:color w:val="0000FF"/>
                <w:kern w:val="0"/>
                <w:sz w:val="22"/>
                <w:szCs w:val="22"/>
              </w:rPr>
            </w:pPr>
            <w:r>
              <w:rPr>
                <w:rFonts w:hint="eastAsia" w:ascii="宋体" w:hAnsi="宋体" w:cs="宋体"/>
                <w:bCs/>
                <w:snapToGrid w:val="0"/>
                <w:color w:val="000000"/>
                <w:kern w:val="0"/>
                <w:sz w:val="22"/>
                <w:szCs w:val="22"/>
              </w:rPr>
              <w:t>本地化服务</w:t>
            </w:r>
          </w:p>
        </w:tc>
        <w:tc>
          <w:tcPr>
            <w:tcW w:w="6757" w:type="dxa"/>
            <w:vAlign w:val="center"/>
          </w:tcPr>
          <w:p>
            <w:pPr>
              <w:widowControl/>
              <w:snapToGrid w:val="0"/>
              <w:spacing w:line="480" w:lineRule="exact"/>
              <w:jc w:val="lef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本项目是否要求本地化服务能力：☑要求   □不要求</w:t>
            </w:r>
          </w:p>
          <w:p>
            <w:pPr>
              <w:widowControl/>
              <w:snapToGrid w:val="0"/>
              <w:spacing w:line="480" w:lineRule="exact"/>
              <w:jc w:val="lef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本地化服务的能力是指具有下列条件之一：</w:t>
            </w:r>
          </w:p>
          <w:p>
            <w:pPr>
              <w:widowControl/>
              <w:snapToGrid w:val="0"/>
              <w:spacing w:line="480" w:lineRule="exact"/>
              <w:jc w:val="lef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（1）在合肥行政区域范围（含四县一市）具有固定的办公场所及人员；</w:t>
            </w:r>
          </w:p>
          <w:p>
            <w:pPr>
              <w:widowControl/>
              <w:snapToGrid w:val="0"/>
              <w:spacing w:line="480" w:lineRule="exact"/>
              <w:jc w:val="lef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（2）投标人在合肥行政区域范围（含四县一市）注册成立的；</w:t>
            </w:r>
          </w:p>
          <w:p>
            <w:pPr>
              <w:widowControl/>
              <w:snapToGrid w:val="0"/>
              <w:spacing w:line="480" w:lineRule="exact"/>
              <w:jc w:val="lef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（3）承诺中标即在合肥行政区域范围（含四县一市）设立服务机构，或委托相关单位作为服务机构；</w:t>
            </w:r>
          </w:p>
          <w:p>
            <w:pPr>
              <w:widowControl/>
              <w:snapToGrid w:val="0"/>
              <w:spacing w:line="480" w:lineRule="exact"/>
              <w:jc w:val="lef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（4）委托相关单位作为服务机构。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bCs/>
                <w:snapToGrid w:val="0"/>
                <w:color w:val="0000FF"/>
                <w:kern w:val="0"/>
                <w:sz w:val="22"/>
                <w:szCs w:val="22"/>
              </w:rPr>
            </w:pPr>
            <w:r>
              <w:rPr>
                <w:rFonts w:hint="eastAsia" w:ascii="宋体" w:hAnsi="宋体" w:cs="宋体"/>
                <w:bCs/>
                <w:snapToGrid w:val="0"/>
                <w:color w:val="000000"/>
                <w:kern w:val="0"/>
                <w:sz w:val="22"/>
                <w:szCs w:val="22"/>
              </w:rPr>
              <w:t>10.6</w:t>
            </w:r>
          </w:p>
        </w:tc>
        <w:tc>
          <w:tcPr>
            <w:tcW w:w="1980" w:type="dxa"/>
            <w:vAlign w:val="center"/>
          </w:tcPr>
          <w:p>
            <w:pPr>
              <w:widowControl/>
              <w:snapToGrid w:val="0"/>
              <w:spacing w:line="480" w:lineRule="exact"/>
              <w:jc w:val="center"/>
              <w:rPr>
                <w:rFonts w:hint="eastAsia" w:ascii="宋体" w:hAnsi="宋体" w:cs="宋体"/>
                <w:bCs/>
                <w:snapToGrid w:val="0"/>
                <w:color w:val="0000FF"/>
                <w:kern w:val="0"/>
                <w:sz w:val="22"/>
                <w:szCs w:val="22"/>
              </w:rPr>
            </w:pPr>
            <w:r>
              <w:rPr>
                <w:rFonts w:hint="eastAsia" w:ascii="宋体" w:hAnsi="宋体" w:cs="宋体"/>
                <w:bCs/>
                <w:snapToGrid w:val="0"/>
                <w:color w:val="000000"/>
                <w:kern w:val="0"/>
                <w:sz w:val="22"/>
                <w:szCs w:val="22"/>
              </w:rPr>
              <w:t>投标专用章的效力</w:t>
            </w:r>
          </w:p>
        </w:tc>
        <w:tc>
          <w:tcPr>
            <w:tcW w:w="6757" w:type="dxa"/>
            <w:vAlign w:val="center"/>
          </w:tcPr>
          <w:p>
            <w:pPr>
              <w:spacing w:line="480" w:lineRule="exact"/>
              <w:rPr>
                <w:rFonts w:hint="eastAsia" w:ascii="宋体" w:hAnsi="宋体" w:cs="宋体"/>
                <w:b/>
                <w:color w:val="000000"/>
                <w:sz w:val="22"/>
                <w:szCs w:val="22"/>
              </w:rPr>
            </w:pPr>
            <w:r>
              <w:rPr>
                <w:rFonts w:hint="eastAsia" w:ascii="宋体" w:hAnsi="宋体" w:cs="宋体"/>
                <w:bCs/>
                <w:snapToGrid w:val="0"/>
                <w:color w:val="000000"/>
                <w:kern w:val="0"/>
                <w:sz w:val="22"/>
                <w:szCs w:val="22"/>
              </w:rPr>
              <w:t>招标文件中明确要求加盖单位章的，投标人必须加盖投标人单位章。在有授权文件表明投标专用章法律效力等同于投标人单位章的情况下，可以加盖投标专用章，否则将导致投标无效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color w:val="000000"/>
                <w:sz w:val="22"/>
                <w:szCs w:val="22"/>
              </w:rPr>
            </w:pPr>
            <w:r>
              <w:rPr>
                <w:rFonts w:hint="eastAsia" w:ascii="宋体" w:hAnsi="宋体" w:cs="宋体"/>
                <w:bCs/>
                <w:snapToGrid w:val="0"/>
                <w:color w:val="000000"/>
                <w:kern w:val="0"/>
                <w:sz w:val="22"/>
                <w:szCs w:val="22"/>
              </w:rPr>
              <w:t>10.7</w:t>
            </w:r>
          </w:p>
        </w:tc>
        <w:tc>
          <w:tcPr>
            <w:tcW w:w="1980" w:type="dxa"/>
            <w:vAlign w:val="center"/>
          </w:tcPr>
          <w:p>
            <w:pPr>
              <w:snapToGrid w:val="0"/>
              <w:spacing w:line="480" w:lineRule="exact"/>
              <w:jc w:val="center"/>
              <w:rPr>
                <w:rFonts w:hint="eastAsia" w:ascii="宋体" w:hAnsi="宋体" w:cs="宋体"/>
                <w:bCs/>
                <w:snapToGrid w:val="0"/>
                <w:color w:val="0000FF"/>
                <w:kern w:val="0"/>
                <w:sz w:val="22"/>
                <w:szCs w:val="22"/>
              </w:rPr>
            </w:pPr>
            <w:r>
              <w:rPr>
                <w:rFonts w:hint="eastAsia" w:ascii="宋体" w:hAnsi="宋体" w:cs="宋体"/>
                <w:bCs/>
                <w:snapToGrid w:val="0"/>
                <w:color w:val="000000"/>
                <w:kern w:val="0"/>
                <w:sz w:val="22"/>
                <w:szCs w:val="22"/>
              </w:rPr>
              <w:t>其他</w:t>
            </w:r>
          </w:p>
        </w:tc>
        <w:tc>
          <w:tcPr>
            <w:tcW w:w="6757" w:type="dxa"/>
            <w:vAlign w:val="center"/>
          </w:tcPr>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1）投标人对所提交的投标人业绩、投标人资质等证明资料承担缔约过失责任和法律责任。若投诉人或举报人对前述资料或证明资料存在争议，进行有效投诉或举报，被投诉人、被举报人应当主动配合执法机关调查，并在规定的期限内举证，提供有关证明资料的原件；拒不配合执法机构调查，且未在规定期限内举证、提供证明资料原件的，执法机构（合肥市公共资源交易监督管理局）依法处理</w:t>
            </w:r>
          </w:p>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（2）招标人和中标人未履行下述义务的，合肥市公共资源交易监督管理局将依法对招标人和中标人进行处理，追究相关责任：</w:t>
            </w:r>
          </w:p>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①招标文件载明在规定期限内中标人应领取《中标通知书》，若中标人未在规定期限内领取《中标通知书》，招标人有权取消中标人中标资格，并将相关违约行为报送监管部门，实施信用惩戒；</w:t>
            </w:r>
          </w:p>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②中标人应在规定期限内提交履约担保并与招标人签订合同，若中标人未能在规定期限内提交履约担保或签订合同，招标人有权取消中标人中标资格，并将相关违约行为报送监管部门，实施信用惩戒；</w:t>
            </w:r>
          </w:p>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③合同签订后，中标人存在规定时间内不组织人员进场开工、不履行供货安装义务等情况，招标人有权解除合同，并追究违约责任，同时将相关违约行为报送监管部门，记不良行为记录，实施信用惩戒；</w:t>
            </w:r>
          </w:p>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④中标人中标后被监管部门查实存在违法行为，不满足中标条件的，由招标人取消中标资格，并做好项目后续工作；</w:t>
            </w:r>
          </w:p>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⑤中标人在中标项目发生投诉、信访举报案件、履约存在争议时，拒绝协助配合执法部门调查案件的，招标人可以取消其中标资格或解除合同，并追究其违约责任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bCs/>
                <w:snapToGrid w:val="0"/>
                <w:color w:val="0000FF"/>
                <w:kern w:val="0"/>
                <w:sz w:val="22"/>
                <w:szCs w:val="22"/>
              </w:rPr>
            </w:pPr>
            <w:r>
              <w:rPr>
                <w:rFonts w:hint="eastAsia" w:ascii="宋体" w:hAnsi="宋体" w:cs="宋体"/>
                <w:bCs/>
                <w:snapToGrid w:val="0"/>
                <w:color w:val="000000"/>
                <w:kern w:val="0"/>
                <w:sz w:val="22"/>
                <w:szCs w:val="22"/>
              </w:rPr>
              <w:t>10.8</w:t>
            </w:r>
          </w:p>
        </w:tc>
        <w:tc>
          <w:tcPr>
            <w:tcW w:w="1980" w:type="dxa"/>
            <w:vAlign w:val="center"/>
          </w:tcPr>
          <w:p>
            <w:pPr>
              <w:snapToGrid w:val="0"/>
              <w:spacing w:line="480" w:lineRule="exact"/>
              <w:jc w:val="center"/>
              <w:rPr>
                <w:rFonts w:hint="eastAsia" w:ascii="宋体" w:hAnsi="宋体" w:cs="宋体"/>
                <w:color w:val="0000FF"/>
                <w:sz w:val="22"/>
                <w:szCs w:val="22"/>
              </w:rPr>
            </w:pPr>
            <w:r>
              <w:rPr>
                <w:rFonts w:hint="eastAsia" w:ascii="宋体" w:hAnsi="宋体" w:cs="宋体"/>
                <w:color w:val="000000"/>
                <w:sz w:val="22"/>
                <w:szCs w:val="22"/>
              </w:rPr>
              <w:t>同义词语</w:t>
            </w:r>
          </w:p>
        </w:tc>
        <w:tc>
          <w:tcPr>
            <w:tcW w:w="6757" w:type="dxa"/>
            <w:vAlign w:val="center"/>
          </w:tcPr>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构成招标文件组成部分的“通用合同条款</w:t>
            </w:r>
            <w:r>
              <w:rPr>
                <w:rFonts w:hint="eastAsia" w:ascii="宋体" w:hAnsi="宋体" w:cs="宋体"/>
                <w:color w:val="000000"/>
                <w:sz w:val="22"/>
                <w:szCs w:val="22"/>
                <w:lang w:eastAsia="zh-CN"/>
              </w:rPr>
              <w:t>”“</w:t>
            </w:r>
            <w:r>
              <w:rPr>
                <w:rFonts w:hint="eastAsia" w:ascii="宋体" w:hAnsi="宋体" w:cs="宋体"/>
                <w:color w:val="000000"/>
                <w:sz w:val="22"/>
                <w:szCs w:val="22"/>
              </w:rPr>
              <w:t>专用合同条款”</w:t>
            </w:r>
            <w:r>
              <w:rPr>
                <w:rFonts w:hint="eastAsia" w:ascii="宋体" w:hAnsi="宋体" w:cs="宋体"/>
                <w:color w:val="000000"/>
                <w:sz w:val="22"/>
                <w:szCs w:val="22"/>
                <w:lang w:eastAsia="zh-CN"/>
              </w:rPr>
              <w:t>等</w:t>
            </w:r>
            <w:r>
              <w:rPr>
                <w:rFonts w:hint="eastAsia" w:ascii="宋体" w:hAnsi="宋体" w:cs="宋体"/>
                <w:color w:val="000000"/>
                <w:sz w:val="22"/>
                <w:szCs w:val="22"/>
              </w:rPr>
              <w:t>章节中“买方”和“卖方”，等同于招标投标阶段的“招标人”和“投标人/中标人”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bCs/>
                <w:snapToGrid w:val="0"/>
                <w:color w:val="0000FF"/>
                <w:kern w:val="0"/>
                <w:sz w:val="22"/>
                <w:szCs w:val="22"/>
              </w:rPr>
            </w:pPr>
            <w:r>
              <w:rPr>
                <w:rFonts w:hint="eastAsia" w:ascii="宋体" w:hAnsi="宋体" w:cs="宋体"/>
                <w:bCs/>
                <w:snapToGrid w:val="0"/>
                <w:color w:val="000000"/>
                <w:kern w:val="0"/>
                <w:sz w:val="22"/>
                <w:szCs w:val="22"/>
              </w:rPr>
              <w:t>10.9</w:t>
            </w:r>
          </w:p>
        </w:tc>
        <w:tc>
          <w:tcPr>
            <w:tcW w:w="1980" w:type="dxa"/>
            <w:vAlign w:val="center"/>
          </w:tcPr>
          <w:p>
            <w:pPr>
              <w:snapToGrid w:val="0"/>
              <w:spacing w:line="480" w:lineRule="exact"/>
              <w:jc w:val="center"/>
              <w:rPr>
                <w:rFonts w:hint="eastAsia" w:ascii="宋体" w:hAnsi="宋体" w:cs="宋体"/>
                <w:color w:val="0000FF"/>
                <w:sz w:val="22"/>
                <w:szCs w:val="22"/>
              </w:rPr>
            </w:pPr>
            <w:r>
              <w:rPr>
                <w:rFonts w:hint="eastAsia" w:ascii="宋体" w:hAnsi="宋体" w:cs="宋体"/>
                <w:color w:val="000000"/>
                <w:sz w:val="22"/>
                <w:szCs w:val="22"/>
              </w:rPr>
              <w:t>解释权</w:t>
            </w:r>
          </w:p>
        </w:tc>
        <w:tc>
          <w:tcPr>
            <w:tcW w:w="6757" w:type="dxa"/>
            <w:vAlign w:val="center"/>
          </w:tcPr>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（1）构成本招标文件的各个组成文件应互为解释，互为说明；</w:t>
            </w:r>
          </w:p>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（2）同一组成文件中就同一事项的规定或约定不一致的，以编排顺序在后者为准；</w:t>
            </w:r>
          </w:p>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（3）如有不明确或不一致，构成合同文件组成内容的，以合同文件约定内容为准，且以专用合同条款约定的合同文件优先顺序解释；</w:t>
            </w:r>
          </w:p>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（4）除招标文件中有特别规定外，仅适用于招标投标阶段的规定，按招标公告、投标人须知、评标办法、投标文件格式的先后顺序解释；</w:t>
            </w:r>
          </w:p>
          <w:p>
            <w:pPr>
              <w:snapToGrid w:val="0"/>
              <w:spacing w:line="480" w:lineRule="exact"/>
              <w:rPr>
                <w:rFonts w:hint="eastAsia" w:ascii="宋体" w:hAnsi="宋体" w:cs="宋体"/>
                <w:color w:val="000000"/>
                <w:sz w:val="22"/>
                <w:szCs w:val="22"/>
              </w:rPr>
            </w:pPr>
            <w:r>
              <w:rPr>
                <w:rFonts w:hint="eastAsia" w:ascii="宋体" w:hAnsi="宋体" w:cs="宋体"/>
                <w:color w:val="000000"/>
                <w:sz w:val="22"/>
                <w:szCs w:val="22"/>
              </w:rPr>
              <w:t>（5）按本款前述规定仍不能形成结论的，由招标人负责解释。招标人可以授权评委会根据招标文件及现行招标投标法律法规及政府采购有关法律研究解决。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bCs/>
                <w:snapToGrid w:val="0"/>
                <w:color w:val="0000FF"/>
                <w:kern w:val="0"/>
                <w:sz w:val="22"/>
                <w:szCs w:val="22"/>
              </w:rPr>
            </w:pPr>
            <w:r>
              <w:rPr>
                <w:rFonts w:hint="eastAsia" w:ascii="宋体" w:hAnsi="宋体" w:cs="宋体"/>
                <w:bCs/>
                <w:snapToGrid w:val="0"/>
                <w:color w:val="000000"/>
                <w:kern w:val="0"/>
                <w:sz w:val="22"/>
                <w:szCs w:val="22"/>
              </w:rPr>
              <w:t>10.10</w:t>
            </w:r>
          </w:p>
        </w:tc>
        <w:tc>
          <w:tcPr>
            <w:tcW w:w="8737" w:type="dxa"/>
            <w:gridSpan w:val="2"/>
            <w:vAlign w:val="center"/>
          </w:tcPr>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10.10.1</w:t>
            </w:r>
          </w:p>
        </w:tc>
        <w:tc>
          <w:tcPr>
            <w:tcW w:w="1980" w:type="dxa"/>
            <w:vAlign w:val="center"/>
          </w:tcPr>
          <w:p>
            <w:pPr>
              <w:snapToGrid w:val="0"/>
              <w:spacing w:line="480" w:lineRule="exact"/>
              <w:jc w:val="center"/>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付款方式</w:t>
            </w:r>
          </w:p>
        </w:tc>
        <w:tc>
          <w:tcPr>
            <w:tcW w:w="6757" w:type="dxa"/>
            <w:vAlign w:val="center"/>
          </w:tcPr>
          <w:p>
            <w:pPr>
              <w:numPr>
                <w:ilvl w:val="0"/>
                <w:numId w:val="3"/>
              </w:numPr>
              <w:snapToGrid w:val="0"/>
              <w:spacing w:line="480" w:lineRule="exact"/>
              <w:rPr>
                <w:rFonts w:hint="eastAsia" w:ascii="宋体" w:hAnsi="宋体" w:cs="宋体"/>
                <w:bCs/>
                <w:snapToGrid w:val="0"/>
                <w:kern w:val="0"/>
                <w:sz w:val="22"/>
                <w:szCs w:val="22"/>
              </w:rPr>
            </w:pPr>
            <w:r>
              <w:rPr>
                <w:rFonts w:hint="eastAsia" w:ascii="宋体" w:hAnsi="宋体" w:cs="宋体"/>
                <w:bCs/>
                <w:snapToGrid w:val="0"/>
                <w:kern w:val="0"/>
                <w:sz w:val="22"/>
                <w:szCs w:val="22"/>
              </w:rPr>
              <w:t>货按批次到工地，经建设单位、总包单位、监理单位验收合格后付至该批次货款的80%；</w:t>
            </w:r>
          </w:p>
          <w:p>
            <w:pPr>
              <w:numPr>
                <w:ilvl w:val="0"/>
                <w:numId w:val="3"/>
              </w:numPr>
              <w:snapToGrid w:val="0"/>
              <w:spacing w:line="480" w:lineRule="exact"/>
              <w:rPr>
                <w:rFonts w:hint="eastAsia" w:ascii="宋体" w:hAnsi="宋体" w:cs="宋体"/>
                <w:bCs/>
                <w:snapToGrid w:val="0"/>
                <w:kern w:val="0"/>
                <w:sz w:val="22"/>
                <w:szCs w:val="22"/>
              </w:rPr>
            </w:pPr>
            <w:r>
              <w:rPr>
                <w:rFonts w:hint="eastAsia" w:ascii="宋体" w:hAnsi="宋体" w:cs="宋体"/>
                <w:bCs/>
                <w:snapToGrid w:val="0"/>
                <w:kern w:val="0"/>
                <w:sz w:val="22"/>
                <w:szCs w:val="22"/>
              </w:rPr>
              <w:t>安装完成验收合格88%；</w:t>
            </w:r>
          </w:p>
          <w:p>
            <w:pPr>
              <w:numPr>
                <w:ilvl w:val="0"/>
                <w:numId w:val="3"/>
              </w:num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kern w:val="0"/>
                <w:sz w:val="22"/>
                <w:szCs w:val="22"/>
              </w:rPr>
              <w:t>项目竣工验收合格、移交后付至总货款的93%；</w:t>
            </w:r>
          </w:p>
          <w:p>
            <w:pPr>
              <w:numPr>
                <w:ilvl w:val="0"/>
                <w:numId w:val="3"/>
              </w:numPr>
              <w:snapToGrid w:val="0"/>
              <w:spacing w:line="480" w:lineRule="exact"/>
              <w:rPr>
                <w:rFonts w:hint="eastAsia" w:ascii="宋体" w:hAnsi="宋体" w:cs="宋体"/>
                <w:bCs/>
                <w:snapToGrid w:val="0"/>
                <w:kern w:val="0"/>
                <w:sz w:val="22"/>
                <w:szCs w:val="22"/>
              </w:rPr>
            </w:pPr>
            <w:r>
              <w:rPr>
                <w:rFonts w:hint="eastAsia" w:ascii="宋体" w:hAnsi="宋体" w:cs="宋体"/>
                <w:bCs/>
                <w:snapToGrid w:val="0"/>
                <w:kern w:val="0"/>
                <w:sz w:val="22"/>
                <w:szCs w:val="22"/>
              </w:rPr>
              <w:t>工程结算审计且总承包工程备案完成，供货人根据结算金额开具100%全额发票后付至结算价的 97%，余款 3%作为质保金待质保期满后一次性付清（无息）。</w:t>
            </w:r>
          </w:p>
          <w:p>
            <w:pPr>
              <w:snapToGrid w:val="0"/>
              <w:spacing w:line="480" w:lineRule="exact"/>
              <w:rPr>
                <w:rFonts w:hint="eastAsia" w:ascii="宋体" w:hAnsi="宋体" w:cs="宋体"/>
                <w:bCs/>
                <w:snapToGrid w:val="0"/>
                <w:color w:val="0000FF"/>
                <w:kern w:val="0"/>
                <w:sz w:val="22"/>
                <w:szCs w:val="22"/>
              </w:rPr>
            </w:pPr>
            <w:r>
              <w:rPr>
                <w:rFonts w:hint="eastAsia" w:ascii="宋体" w:hAnsi="宋体" w:cs="宋体"/>
                <w:bCs/>
                <w:snapToGrid w:val="0"/>
                <w:color w:val="0000FF"/>
                <w:kern w:val="0"/>
                <w:sz w:val="22"/>
                <w:szCs w:val="22"/>
              </w:rPr>
              <w:t>备注：</w:t>
            </w:r>
          </w:p>
          <w:p>
            <w:pPr>
              <w:snapToGrid w:val="0"/>
              <w:spacing w:line="480" w:lineRule="exact"/>
              <w:rPr>
                <w:rFonts w:hint="eastAsia" w:ascii="宋体" w:hAnsi="宋体" w:cs="宋体"/>
                <w:bCs/>
                <w:snapToGrid w:val="0"/>
                <w:color w:val="0000FF"/>
                <w:kern w:val="0"/>
                <w:sz w:val="22"/>
                <w:szCs w:val="22"/>
              </w:rPr>
            </w:pPr>
            <w:r>
              <w:rPr>
                <w:rFonts w:hint="eastAsia" w:ascii="宋体" w:hAnsi="宋体" w:cs="宋体"/>
                <w:bCs/>
                <w:snapToGrid w:val="0"/>
                <w:color w:val="0000FF"/>
                <w:kern w:val="0"/>
                <w:sz w:val="22"/>
                <w:szCs w:val="22"/>
              </w:rPr>
              <w:t>（1）中标人应按招标人要求出具符合国家税务规定的合法有效的增值税专用发票，并确保开具发票的真实性、合法性、有效性（发票，必须保持票面干净、整洁、无折痕，发票的正反两面均不能留下任何脏、乱及签字的痕迹）；如税率发生变化，结算以中标不含税价款为依据，按国家税收政策计算以及相应造价管理部门的造价管理办法进行结算。</w:t>
            </w:r>
          </w:p>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FF"/>
                <w:kern w:val="0"/>
                <w:sz w:val="22"/>
                <w:szCs w:val="22"/>
              </w:rPr>
              <w:t>（2）投标人承诺延长免费质保期时间的，免费质保期以承诺为准。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10.10.2</w:t>
            </w:r>
          </w:p>
        </w:tc>
        <w:tc>
          <w:tcPr>
            <w:tcW w:w="1980" w:type="dxa"/>
            <w:vAlign w:val="center"/>
          </w:tcPr>
          <w:p>
            <w:pPr>
              <w:snapToGrid w:val="0"/>
              <w:spacing w:line="480" w:lineRule="exact"/>
              <w:jc w:val="center"/>
              <w:rPr>
                <w:rFonts w:hint="eastAsia" w:ascii="宋体" w:hAnsi="宋体" w:cs="宋体"/>
                <w:bCs/>
                <w:snapToGrid w:val="0"/>
                <w:color w:val="000000"/>
                <w:kern w:val="0"/>
                <w:sz w:val="22"/>
                <w:szCs w:val="22"/>
              </w:rPr>
            </w:pPr>
          </w:p>
        </w:tc>
        <w:tc>
          <w:tcPr>
            <w:tcW w:w="6757" w:type="dxa"/>
            <w:vAlign w:val="center"/>
          </w:tcPr>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1.因电子服务系统或电子交易系统出现软件设计或功能缺陷、运行异常等情况，可能影响招投标活动公平、公正进行的，招标人（或招标代理机构）有权中止或终止招投标活动，招投标各方免责。</w:t>
            </w:r>
          </w:p>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2.投标人投标文件中填报人员及投标人按招标文件提出的最低要求填报派驻投标标段的其他管理和技术人员，经招标人审核后不得进行更换。除非招标文件另有约定，投标人派驻投标标段的项目负责人及项目管理机构主要人员均应为投标单位在职人员（不含外聘人员、返聘人员、临时聘用人员），否则招标人有权取消其中标资格。</w:t>
            </w:r>
          </w:p>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3.唱标信息内容与投标函中不一致的，以投标函中内容为准。</w:t>
            </w:r>
          </w:p>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4.涂料使用管理执行《合肥市人民政府办公室关于印发 2020 年臭氧污染防治攻坚行动方案的通知》</w:t>
            </w:r>
            <w:r>
              <w:rPr>
                <w:rFonts w:hint="eastAsia" w:ascii="宋体" w:hAnsi="宋体" w:cs="宋体"/>
                <w:bCs/>
                <w:snapToGrid w:val="0"/>
                <w:color w:val="000000"/>
                <w:kern w:val="0"/>
                <w:sz w:val="22"/>
                <w:szCs w:val="22"/>
                <w:lang w:eastAsia="zh-CN"/>
              </w:rPr>
              <w:t>（</w:t>
            </w:r>
            <w:r>
              <w:rPr>
                <w:rFonts w:hint="eastAsia" w:ascii="宋体" w:hAnsi="宋体" w:cs="宋体"/>
                <w:bCs/>
                <w:snapToGrid w:val="0"/>
                <w:color w:val="000000"/>
                <w:kern w:val="0"/>
                <w:sz w:val="22"/>
                <w:szCs w:val="22"/>
              </w:rPr>
              <w:t>合政办[2020]37 号文件</w:t>
            </w:r>
            <w:r>
              <w:rPr>
                <w:rFonts w:hint="eastAsia" w:ascii="宋体" w:hAnsi="宋体" w:cs="宋体"/>
                <w:bCs/>
                <w:snapToGrid w:val="0"/>
                <w:color w:val="000000"/>
                <w:kern w:val="0"/>
                <w:sz w:val="22"/>
                <w:szCs w:val="22"/>
                <w:lang w:eastAsia="zh-CN"/>
              </w:rPr>
              <w:t>）</w:t>
            </w:r>
            <w:r>
              <w:rPr>
                <w:rFonts w:hint="eastAsia" w:ascii="宋体" w:hAnsi="宋体" w:cs="宋体"/>
                <w:bCs/>
                <w:snapToGrid w:val="0"/>
                <w:color w:val="000000"/>
                <w:kern w:val="0"/>
                <w:sz w:val="22"/>
                <w:szCs w:val="22"/>
              </w:rPr>
              <w:t>。</w:t>
            </w:r>
          </w:p>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5.</w:t>
            </w:r>
            <w:r>
              <w:rPr>
                <w:rFonts w:hint="eastAsia" w:ascii="宋体" w:hAnsi="宋体" w:cs="宋体"/>
                <w:b/>
                <w:snapToGrid w:val="0"/>
                <w:color w:val="000000"/>
                <w:kern w:val="0"/>
                <w:sz w:val="22"/>
                <w:szCs w:val="22"/>
              </w:rPr>
              <w:t>为有助于投标人选择投标产品，如供货要求中提供了推荐品牌（或型号）、参考品牌（或型号）等，上述品牌（或型号）仅供参考，并无限制性，投标人可以选择性能不低于推荐（或参考）的品牌（或型号）的其他品牌产品；采用其他品牌（或型号）的应在投标文件中《技术条款偏差表》中注明并提供有关技术性能指标证明资料等供评标委员会评审，未在《技术条款偏差表》中注明且未提供有关技术性能指标证明资料，或经评标委员会评审未通过的，中标后只能从招标人推荐（或参考）品牌中进行选择，合同价格不予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10.10.3</w:t>
            </w:r>
          </w:p>
        </w:tc>
        <w:tc>
          <w:tcPr>
            <w:tcW w:w="1980" w:type="dxa"/>
            <w:vAlign w:val="center"/>
          </w:tcPr>
          <w:p>
            <w:pPr>
              <w:snapToGrid w:val="0"/>
              <w:spacing w:line="480" w:lineRule="exact"/>
              <w:jc w:val="center"/>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免费质保期</w:t>
            </w:r>
          </w:p>
        </w:tc>
        <w:tc>
          <w:tcPr>
            <w:tcW w:w="6757" w:type="dxa"/>
            <w:vAlign w:val="center"/>
          </w:tcPr>
          <w:p>
            <w:pPr>
              <w:snapToGrid w:val="0"/>
              <w:spacing w:line="480" w:lineRule="exact"/>
              <w:rPr>
                <w:rFonts w:hint="eastAsia" w:ascii="宋体" w:hAnsi="宋体" w:cs="宋体"/>
                <w:bCs/>
                <w:snapToGrid w:val="0"/>
                <w:color w:val="000000"/>
                <w:kern w:val="0"/>
                <w:sz w:val="22"/>
                <w:szCs w:val="22"/>
              </w:rPr>
            </w:pPr>
            <w:r>
              <w:rPr>
                <w:rFonts w:hint="eastAsia" w:ascii="宋体" w:hAnsi="宋体" w:cs="宋体"/>
                <w:bCs/>
                <w:snapToGrid w:val="0"/>
                <w:kern w:val="0"/>
                <w:sz w:val="22"/>
                <w:szCs w:val="22"/>
                <w:highlight w:val="yellow"/>
              </w:rPr>
              <w:t>自验收合格之日起不少于2年。中标人承诺延长免费质保期时间的，免费质保期以承诺为准。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napToGrid w:val="0"/>
              <w:spacing w:line="480" w:lineRule="exact"/>
              <w:jc w:val="center"/>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10.10.4</w:t>
            </w:r>
          </w:p>
        </w:tc>
        <w:tc>
          <w:tcPr>
            <w:tcW w:w="1980" w:type="dxa"/>
            <w:vAlign w:val="center"/>
          </w:tcPr>
          <w:p>
            <w:pPr>
              <w:suppressAutoHyphens/>
              <w:autoSpaceDE w:val="0"/>
              <w:autoSpaceDN w:val="0"/>
              <w:spacing w:line="480" w:lineRule="exact"/>
              <w:jc w:val="center"/>
              <w:rPr>
                <w:rFonts w:hint="eastAsia" w:ascii="宋体" w:hAnsi="宋体" w:cs="宋体"/>
                <w:bCs/>
                <w:snapToGrid w:val="0"/>
                <w:color w:val="000000"/>
                <w:kern w:val="0"/>
                <w:sz w:val="22"/>
                <w:szCs w:val="22"/>
              </w:rPr>
            </w:pPr>
            <w:r>
              <w:rPr>
                <w:rFonts w:hint="eastAsia" w:ascii="宋体" w:hAnsi="宋体" w:cs="宋体"/>
                <w:kern w:val="0"/>
                <w:sz w:val="22"/>
                <w:szCs w:val="22"/>
                <w:lang w:val="zh-CN"/>
              </w:rPr>
              <w:t>参考品牌</w:t>
            </w:r>
          </w:p>
        </w:tc>
        <w:tc>
          <w:tcPr>
            <w:tcW w:w="6757" w:type="dxa"/>
            <w:vAlign w:val="center"/>
          </w:tcPr>
          <w:p>
            <w:pPr>
              <w:suppressAutoHyphens/>
              <w:autoSpaceDE w:val="0"/>
              <w:autoSpaceDN w:val="0"/>
              <w:spacing w:line="480" w:lineRule="exact"/>
              <w:jc w:val="left"/>
              <w:rPr>
                <w:rFonts w:hint="eastAsia" w:ascii="宋体" w:hAnsi="宋体" w:cs="宋体"/>
                <w:kern w:val="0"/>
                <w:sz w:val="22"/>
                <w:szCs w:val="22"/>
                <w:highlight w:val="yellow"/>
                <w:lang w:val="zh-CN"/>
              </w:rPr>
            </w:pPr>
            <w:r>
              <w:rPr>
                <w:rFonts w:hint="eastAsia" w:ascii="宋体" w:hAnsi="宋体" w:cs="宋体"/>
                <w:kern w:val="0"/>
                <w:sz w:val="22"/>
                <w:szCs w:val="22"/>
                <w:highlight w:val="yellow"/>
                <w:lang w:val="zh-CN"/>
              </w:rPr>
              <w:t>1.招标人针对本项目使用主要材料/设备推荐了参考品牌（见第五章供货需求：推荐品牌），投标人在招投标及履约过程中，应严格按附件内容执行，否则应按此前附表的10.</w:t>
            </w:r>
            <w:r>
              <w:rPr>
                <w:rFonts w:hint="eastAsia" w:ascii="宋体" w:hAnsi="宋体" w:cs="宋体"/>
                <w:kern w:val="0"/>
                <w:sz w:val="22"/>
                <w:szCs w:val="22"/>
                <w:highlight w:val="yellow"/>
              </w:rPr>
              <w:t>10.4</w:t>
            </w:r>
            <w:r>
              <w:rPr>
                <w:rFonts w:hint="eastAsia" w:ascii="宋体" w:hAnsi="宋体" w:cs="宋体"/>
                <w:kern w:val="0"/>
                <w:sz w:val="22"/>
                <w:szCs w:val="22"/>
                <w:highlight w:val="yellow"/>
                <w:lang w:val="zh-CN"/>
              </w:rPr>
              <w:t>项第2款规定处罚。</w:t>
            </w:r>
          </w:p>
          <w:p>
            <w:pPr>
              <w:suppressAutoHyphens/>
              <w:autoSpaceDE w:val="0"/>
              <w:autoSpaceDN w:val="0"/>
              <w:spacing w:line="480" w:lineRule="exact"/>
              <w:jc w:val="left"/>
              <w:rPr>
                <w:rFonts w:hint="eastAsia" w:ascii="宋体" w:hAnsi="宋体" w:cs="宋体"/>
                <w:kern w:val="0"/>
                <w:sz w:val="22"/>
                <w:szCs w:val="22"/>
                <w:highlight w:val="yellow"/>
                <w:lang w:val="zh-CN"/>
              </w:rPr>
            </w:pPr>
            <w:r>
              <w:rPr>
                <w:rFonts w:hint="eastAsia" w:ascii="宋体" w:hAnsi="宋体" w:cs="宋体"/>
                <w:kern w:val="0"/>
                <w:sz w:val="22"/>
                <w:szCs w:val="22"/>
                <w:lang w:val="zh-CN"/>
              </w:rPr>
              <w:t>2.招标人有权在中标通知书发出后的任何时间，组织相关专家对中标人投标时所提供的品牌、产品技术标准、质量证明材料进行检查检测论证。中标人必须按招标文件中注明的品牌名称、技术参数报经招标人同意后再进行施工，且中标价格不作调整。</w:t>
            </w:r>
            <w:r>
              <w:rPr>
                <w:rFonts w:hint="eastAsia" w:ascii="宋体" w:hAnsi="宋体" w:cs="宋体"/>
                <w:kern w:val="0"/>
                <w:sz w:val="22"/>
                <w:szCs w:val="22"/>
                <w:highlight w:val="yellow"/>
                <w:lang w:val="zh-CN"/>
              </w:rPr>
              <w:t>如发现投标人所提供的其他品牌产品不满足招标文件所规定的相关要求，招标人将书面通知中标人，并对中标人处以2万元的违约处罚；同时招标人有权取消其中标资格、解除合同、扣除相应保证金，报请政府主管部门给予不良行为记录，要求中标人承担相应的法律责任并赔偿招标人一切损失。</w:t>
            </w:r>
          </w:p>
          <w:p>
            <w:pPr>
              <w:suppressAutoHyphens/>
              <w:autoSpaceDE w:val="0"/>
              <w:autoSpaceDN w:val="0"/>
              <w:spacing w:line="480" w:lineRule="exact"/>
              <w:jc w:val="left"/>
              <w:rPr>
                <w:rFonts w:hint="eastAsia" w:ascii="宋体" w:hAnsi="宋体" w:cs="宋体"/>
                <w:kern w:val="0"/>
                <w:sz w:val="22"/>
                <w:szCs w:val="22"/>
                <w:highlight w:val="yellow"/>
                <w:lang w:val="zh-CN"/>
              </w:rPr>
            </w:pPr>
            <w:r>
              <w:rPr>
                <w:rFonts w:hint="eastAsia" w:ascii="宋体" w:hAnsi="宋体" w:cs="宋体"/>
                <w:kern w:val="0"/>
                <w:sz w:val="22"/>
                <w:szCs w:val="22"/>
                <w:highlight w:val="yellow"/>
                <w:lang w:val="zh-CN"/>
              </w:rPr>
              <w:t>注：</w:t>
            </w:r>
          </w:p>
          <w:p>
            <w:pPr>
              <w:suppressAutoHyphens/>
              <w:autoSpaceDE w:val="0"/>
              <w:autoSpaceDN w:val="0"/>
              <w:spacing w:line="480" w:lineRule="exact"/>
              <w:jc w:val="left"/>
              <w:rPr>
                <w:rFonts w:hint="eastAsia" w:ascii="宋体" w:hAnsi="宋体" w:cs="宋体"/>
                <w:kern w:val="0"/>
                <w:sz w:val="22"/>
                <w:szCs w:val="22"/>
                <w:highlight w:val="yellow"/>
                <w:lang w:val="zh-CN"/>
              </w:rPr>
            </w:pPr>
            <w:r>
              <w:rPr>
                <w:rFonts w:hint="eastAsia" w:ascii="宋体" w:hAnsi="宋体" w:cs="宋体"/>
                <w:kern w:val="0"/>
                <w:sz w:val="22"/>
                <w:szCs w:val="22"/>
                <w:highlight w:val="yellow"/>
                <w:lang w:val="zh-CN"/>
              </w:rPr>
              <w:t>（1）中标人必须无条件服从招标人组织的专家论证结果。</w:t>
            </w:r>
          </w:p>
          <w:p>
            <w:pPr>
              <w:suppressAutoHyphens/>
              <w:autoSpaceDE w:val="0"/>
              <w:autoSpaceDN w:val="0"/>
              <w:spacing w:line="480" w:lineRule="exact"/>
              <w:jc w:val="left"/>
              <w:rPr>
                <w:rFonts w:hint="eastAsia" w:ascii="宋体" w:hAnsi="宋体" w:cs="宋体"/>
                <w:kern w:val="0"/>
                <w:sz w:val="22"/>
                <w:szCs w:val="22"/>
                <w:highlight w:val="yellow"/>
                <w:lang w:val="zh-CN"/>
              </w:rPr>
            </w:pPr>
            <w:r>
              <w:rPr>
                <w:rFonts w:hint="eastAsia" w:ascii="宋体" w:hAnsi="宋体" w:cs="宋体"/>
                <w:kern w:val="0"/>
                <w:sz w:val="22"/>
                <w:szCs w:val="22"/>
                <w:highlight w:val="yellow"/>
                <w:lang w:val="zh-CN"/>
              </w:rPr>
              <w:t>（2）由投标人使用其他品牌导致的设计变化，由其负责更改深化，由此导致的工程变更费用增加和工期延误的，责任由投标人自行承担，由此导致的工程变更费用减少，工程款据实结算。</w:t>
            </w:r>
          </w:p>
          <w:p>
            <w:pPr>
              <w:suppressAutoHyphens/>
              <w:autoSpaceDE w:val="0"/>
              <w:autoSpaceDN w:val="0"/>
              <w:spacing w:line="480" w:lineRule="exact"/>
              <w:jc w:val="left"/>
              <w:rPr>
                <w:rFonts w:hint="eastAsia" w:ascii="宋体" w:hAnsi="宋体" w:cs="宋体"/>
                <w:bCs/>
                <w:snapToGrid w:val="0"/>
                <w:color w:val="FF0000"/>
                <w:kern w:val="0"/>
                <w:sz w:val="22"/>
                <w:szCs w:val="22"/>
              </w:rPr>
            </w:pPr>
            <w:r>
              <w:rPr>
                <w:rFonts w:hint="eastAsia" w:ascii="宋体" w:hAnsi="宋体" w:cs="宋体"/>
                <w:kern w:val="0"/>
                <w:sz w:val="22"/>
                <w:szCs w:val="22"/>
                <w:lang w:val="zh-CN"/>
              </w:rPr>
              <w:t>3.本次招标如发生其他不可抗力的因素而终止，不管是在开标前或开标后，招标人和招标代理机构将不承担任何投标人的任何费用。投标人产生的任何费用均由投标人自行承担。</w:t>
            </w:r>
          </w:p>
        </w:tc>
      </w:tr>
      <w:bookmarkEnd w:id="2"/>
    </w:tbl>
    <w:p>
      <w:pPr>
        <w:pStyle w:val="3"/>
        <w:jc w:val="center"/>
        <w:rPr>
          <w:rFonts w:hint="eastAsia" w:ascii="Times New Roman" w:hAnsi="Times New Roman" w:eastAsia="黑体"/>
          <w:b w:val="0"/>
        </w:rPr>
      </w:pPr>
      <w:r>
        <w:rPr>
          <w:rFonts w:ascii="Times New Roman" w:hAnsi="Times New Roman" w:eastAsia="黑体"/>
          <w:color w:val="000000"/>
          <w:sz w:val="28"/>
          <w:szCs w:val="28"/>
        </w:rPr>
        <w:br w:type="page"/>
      </w:r>
      <w:bookmarkStart w:id="3" w:name="_Toc11078137"/>
      <w:bookmarkStart w:id="4" w:name="_Toc460660062"/>
      <w:bookmarkStart w:id="5" w:name="_Toc421916975"/>
      <w:bookmarkStart w:id="6" w:name="_Toc460226720"/>
      <w:bookmarkStart w:id="7" w:name="_Toc460226989"/>
      <w:bookmarkStart w:id="8" w:name="_Toc283798416"/>
      <w:bookmarkStart w:id="9" w:name="_Toc26781048"/>
      <w:bookmarkStart w:id="10" w:name="_Toc184635071"/>
      <w:r>
        <w:rPr>
          <w:rFonts w:hint="eastAsia" w:ascii="Times New Roman" w:hAnsi="Times New Roman" w:eastAsia="黑体"/>
          <w:b w:val="0"/>
        </w:rPr>
        <w:t>附录1  资格审查条件</w:t>
      </w:r>
      <w:r>
        <w:rPr>
          <w:rFonts w:hint="eastAsia" w:ascii="Times New Roman" w:hAnsi="Times New Roman" w:eastAsia="黑体"/>
          <w:b w:val="0"/>
          <w:lang w:eastAsia="zh-CN"/>
        </w:rPr>
        <w:t>（</w:t>
      </w:r>
      <w:r>
        <w:rPr>
          <w:rFonts w:hint="eastAsia" w:ascii="Times New Roman" w:hAnsi="Times New Roman" w:eastAsia="黑体"/>
          <w:b w:val="0"/>
        </w:rPr>
        <w:t>资质最低条件</w:t>
      </w:r>
      <w:r>
        <w:rPr>
          <w:rFonts w:hint="eastAsia" w:ascii="Times New Roman" w:hAnsi="Times New Roman" w:eastAsia="黑体"/>
          <w:b w:val="0"/>
          <w:lang w:eastAsia="zh-CN"/>
        </w:rPr>
        <w:t>）</w:t>
      </w:r>
      <w:bookmarkEnd w:id="3"/>
      <w:bookmarkEnd w:id="4"/>
      <w:bookmarkEnd w:id="5"/>
      <w:bookmarkEnd w:id="6"/>
      <w:bookmarkEnd w:id="7"/>
      <w:bookmarkEnd w:id="8"/>
      <w:bookmarkEnd w:id="9"/>
    </w:p>
    <w:tbl>
      <w:tblPr>
        <w:tblStyle w:val="55"/>
        <w:tblW w:w="47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5000" w:type="pct"/>
            <w:tcBorders>
              <w:top w:val="single" w:color="auto" w:sz="4" w:space="0"/>
              <w:left w:val="single" w:color="auto" w:sz="4" w:space="0"/>
              <w:bottom w:val="single" w:color="auto" w:sz="4" w:space="0"/>
              <w:right w:val="single" w:color="auto" w:sz="4" w:space="0"/>
            </w:tcBorders>
            <w:vAlign w:val="center"/>
          </w:tcPr>
          <w:p>
            <w:pPr>
              <w:pStyle w:val="101"/>
              <w:adjustRightInd w:val="0"/>
              <w:snapToGrid w:val="0"/>
              <w:jc w:val="center"/>
              <w:rPr>
                <w:rFonts w:hint="eastAsia" w:ascii="Times New Roman" w:hAnsi="Times New Roman"/>
                <w:b/>
                <w:bCs/>
                <w:sz w:val="22"/>
              </w:rPr>
            </w:pPr>
            <w:r>
              <w:rPr>
                <w:rFonts w:hint="eastAsia" w:ascii="Times New Roman" w:hAnsi="Times New Roman"/>
                <w:b/>
                <w:bCs/>
                <w:sz w:val="22"/>
              </w:rPr>
              <w:t>投标人营业执照、资质证书、生产/制造许可证及其他要求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238" w:hRule="atLeast"/>
          <w:jc w:val="center"/>
        </w:trPr>
        <w:tc>
          <w:tcPr>
            <w:tcW w:w="5000" w:type="pct"/>
            <w:tcBorders>
              <w:top w:val="single" w:color="auto" w:sz="4" w:space="0"/>
              <w:left w:val="single" w:color="auto" w:sz="4" w:space="0"/>
              <w:bottom w:val="single" w:color="auto" w:sz="4" w:space="0"/>
              <w:right w:val="single" w:color="auto" w:sz="4" w:space="0"/>
            </w:tcBorders>
          </w:tcPr>
          <w:p>
            <w:pPr>
              <w:pStyle w:val="101"/>
              <w:adjustRightInd w:val="0"/>
              <w:snapToGrid w:val="0"/>
              <w:spacing w:beforeLines="50" w:line="360" w:lineRule="auto"/>
              <w:ind w:left="420"/>
              <w:rPr>
                <w:rFonts w:hint="eastAsia" w:ascii="Times New Roman" w:hAnsi="Times New Roman"/>
                <w:bCs/>
                <w:snapToGrid w:val="0"/>
                <w:color w:val="000000"/>
                <w:kern w:val="0"/>
                <w:sz w:val="22"/>
              </w:rPr>
            </w:pPr>
            <w:r>
              <w:rPr>
                <w:rFonts w:hint="eastAsia" w:ascii="Times New Roman" w:hAnsi="Times New Roman"/>
                <w:bCs/>
                <w:snapToGrid w:val="0"/>
                <w:color w:val="000000"/>
                <w:kern w:val="0"/>
                <w:sz w:val="22"/>
              </w:rPr>
              <w:t>1.具备有效的营业执照。</w:t>
            </w:r>
          </w:p>
          <w:p>
            <w:pPr>
              <w:autoSpaceDE w:val="0"/>
              <w:autoSpaceDN w:val="0"/>
              <w:adjustRightInd w:val="0"/>
              <w:snapToGrid w:val="0"/>
              <w:spacing w:line="360" w:lineRule="auto"/>
              <w:ind w:firstLine="440" w:firstLineChars="200"/>
              <w:rPr>
                <w:rFonts w:hint="eastAsia"/>
                <w:bCs/>
                <w:snapToGrid w:val="0"/>
                <w:color w:val="000000"/>
                <w:kern w:val="0"/>
                <w:sz w:val="22"/>
                <w:szCs w:val="22"/>
              </w:rPr>
            </w:pPr>
            <w:r>
              <w:rPr>
                <w:rFonts w:hint="eastAsia"/>
                <w:bCs/>
                <w:snapToGrid w:val="0"/>
                <w:color w:val="000000"/>
                <w:kern w:val="0"/>
                <w:sz w:val="22"/>
                <w:szCs w:val="22"/>
              </w:rPr>
              <w:t>2.须为所投配电箱（或配电柜）生产厂家。</w:t>
            </w:r>
          </w:p>
          <w:p>
            <w:pPr>
              <w:pStyle w:val="101"/>
              <w:adjustRightInd w:val="0"/>
              <w:snapToGrid w:val="0"/>
              <w:spacing w:line="360" w:lineRule="auto"/>
              <w:ind w:firstLine="440" w:firstLineChars="200"/>
              <w:rPr>
                <w:rFonts w:ascii="Times New Roman" w:hAnsi="Times New Roman"/>
                <w:bCs/>
                <w:snapToGrid w:val="0"/>
                <w:color w:val="000000"/>
                <w:kern w:val="0"/>
                <w:sz w:val="22"/>
              </w:rPr>
            </w:pPr>
          </w:p>
        </w:tc>
      </w:tr>
    </w:tbl>
    <w:p>
      <w:pPr>
        <w:pStyle w:val="101"/>
        <w:adjustRightInd w:val="0"/>
        <w:snapToGrid w:val="0"/>
        <w:spacing w:line="300" w:lineRule="exact"/>
        <w:rPr>
          <w:rFonts w:hint="eastAsia" w:ascii="Times New Roman" w:hAnsi="Times New Roman"/>
          <w:bCs/>
          <w:snapToGrid w:val="0"/>
          <w:color w:val="000000"/>
          <w:kern w:val="0"/>
          <w:sz w:val="22"/>
        </w:rPr>
      </w:pPr>
      <w:r>
        <w:rPr>
          <w:rFonts w:hint="eastAsia" w:ascii="Times New Roman" w:hAnsi="Times New Roman"/>
          <w:bCs/>
          <w:snapToGrid w:val="0"/>
          <w:color w:val="000000"/>
          <w:kern w:val="0"/>
          <w:sz w:val="22"/>
        </w:rPr>
        <w:t>注：投标人应提供营业执照、资质证书、生产/制造许可证（如要求）。</w:t>
      </w:r>
    </w:p>
    <w:p>
      <w:pPr>
        <w:pStyle w:val="3"/>
        <w:jc w:val="center"/>
        <w:rPr>
          <w:rFonts w:hint="eastAsia" w:ascii="Times New Roman" w:hAnsi="Times New Roman" w:eastAsia="黑体"/>
          <w:b w:val="0"/>
        </w:rPr>
      </w:pPr>
      <w:bookmarkStart w:id="11" w:name="_Toc421916976"/>
      <w:bookmarkStart w:id="12" w:name="_Toc460226990"/>
      <w:bookmarkStart w:id="13" w:name="_Toc460660063"/>
      <w:bookmarkStart w:id="14" w:name="_Toc283798417"/>
      <w:bookmarkStart w:id="15" w:name="_Toc460226721"/>
      <w:r>
        <w:rPr>
          <w:rFonts w:ascii="Times New Roman" w:hAnsi="Times New Roman" w:eastAsia="仿宋"/>
          <w:b w:val="0"/>
          <w:sz w:val="22"/>
          <w:szCs w:val="22"/>
        </w:rPr>
        <w:br w:type="page"/>
      </w:r>
      <w:bookmarkStart w:id="16" w:name="_Toc11078138"/>
      <w:bookmarkStart w:id="17" w:name="_Toc26781049"/>
      <w:r>
        <w:rPr>
          <w:rFonts w:hint="eastAsia" w:ascii="Times New Roman" w:hAnsi="Times New Roman" w:eastAsia="黑体"/>
          <w:b w:val="0"/>
        </w:rPr>
        <w:t>附录2  资格审查条件</w:t>
      </w:r>
      <w:r>
        <w:rPr>
          <w:rFonts w:hint="eastAsia" w:ascii="Times New Roman" w:hAnsi="Times New Roman" w:eastAsia="黑体"/>
          <w:b w:val="0"/>
          <w:lang w:eastAsia="zh-CN"/>
        </w:rPr>
        <w:t>（</w:t>
      </w:r>
      <w:r>
        <w:rPr>
          <w:rFonts w:hint="eastAsia" w:ascii="Times New Roman" w:hAnsi="Times New Roman" w:eastAsia="黑体"/>
          <w:b w:val="0"/>
        </w:rPr>
        <w:t>财务最低要求</w:t>
      </w:r>
      <w:r>
        <w:rPr>
          <w:rFonts w:hint="eastAsia" w:ascii="Times New Roman" w:hAnsi="Times New Roman" w:eastAsia="黑体"/>
          <w:b w:val="0"/>
          <w:lang w:eastAsia="zh-CN"/>
        </w:rPr>
        <w:t>）</w:t>
      </w:r>
      <w:bookmarkEnd w:id="11"/>
      <w:bookmarkEnd w:id="12"/>
      <w:bookmarkEnd w:id="13"/>
      <w:bookmarkEnd w:id="14"/>
      <w:bookmarkEnd w:id="15"/>
      <w:bookmarkEnd w:id="16"/>
      <w:bookmarkEnd w:id="17"/>
    </w:p>
    <w:tbl>
      <w:tblPr>
        <w:tblStyle w:val="55"/>
        <w:tblW w:w="46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5000" w:type="pct"/>
            <w:tcBorders>
              <w:top w:val="single" w:color="auto" w:sz="4" w:space="0"/>
              <w:left w:val="single" w:color="auto" w:sz="4" w:space="0"/>
              <w:bottom w:val="single" w:color="auto" w:sz="4" w:space="0"/>
              <w:right w:val="single" w:color="auto" w:sz="4" w:space="0"/>
            </w:tcBorders>
            <w:vAlign w:val="center"/>
          </w:tcPr>
          <w:p>
            <w:pPr>
              <w:pStyle w:val="101"/>
              <w:adjustRightInd w:val="0"/>
              <w:snapToGrid w:val="0"/>
              <w:jc w:val="center"/>
              <w:rPr>
                <w:rFonts w:ascii="Times New Roman" w:hAnsi="Times New Roman"/>
                <w:b/>
                <w:bCs/>
                <w:sz w:val="22"/>
              </w:rPr>
            </w:pPr>
            <w:r>
              <w:rPr>
                <w:rFonts w:hint="eastAsia" w:ascii="Times New Roman" w:hAnsi="Times New Roman"/>
                <w:b/>
                <w:bCs/>
                <w:sz w:val="22"/>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3" w:hRule="atLeast"/>
          <w:jc w:val="center"/>
        </w:trPr>
        <w:tc>
          <w:tcPr>
            <w:tcW w:w="5000" w:type="pct"/>
            <w:tcBorders>
              <w:top w:val="single" w:color="auto" w:sz="4" w:space="0"/>
              <w:left w:val="single" w:color="auto" w:sz="4" w:space="0"/>
              <w:bottom w:val="single" w:color="auto" w:sz="4" w:space="0"/>
              <w:right w:val="single" w:color="auto" w:sz="4" w:space="0"/>
            </w:tcBorders>
            <w:vAlign w:val="center"/>
          </w:tcPr>
          <w:p>
            <w:pPr>
              <w:pStyle w:val="101"/>
              <w:adjustRightInd w:val="0"/>
              <w:snapToGrid w:val="0"/>
              <w:spacing w:line="360" w:lineRule="auto"/>
              <w:ind w:firstLine="440" w:firstLineChars="200"/>
              <w:jc w:val="left"/>
              <w:rPr>
                <w:rFonts w:hint="eastAsia" w:ascii="Times New Roman" w:hAnsi="Times New Roman"/>
                <w:bCs/>
                <w:color w:val="000000"/>
                <w:sz w:val="22"/>
              </w:rPr>
            </w:pPr>
            <w:r>
              <w:rPr>
                <w:rFonts w:hint="eastAsia" w:ascii="Times New Roman" w:hAnsi="Times New Roman"/>
                <w:bCs/>
                <w:color w:val="000000"/>
                <w:sz w:val="22"/>
              </w:rPr>
              <w:t>☑无需提供</w:t>
            </w:r>
          </w:p>
          <w:p>
            <w:pPr>
              <w:pStyle w:val="101"/>
              <w:adjustRightInd w:val="0"/>
              <w:snapToGrid w:val="0"/>
              <w:spacing w:line="360" w:lineRule="auto"/>
              <w:ind w:firstLine="440" w:firstLineChars="200"/>
              <w:jc w:val="left"/>
              <w:rPr>
                <w:rFonts w:hint="eastAsia" w:ascii="Times New Roman" w:hAnsi="Times New Roman"/>
                <w:bCs/>
                <w:color w:val="000000"/>
                <w:sz w:val="22"/>
              </w:rPr>
            </w:pPr>
            <w:r>
              <w:rPr>
                <w:rFonts w:hint="eastAsia" w:ascii="Times New Roman" w:hAnsi="Times New Roman"/>
                <w:bCs/>
                <w:color w:val="000000"/>
                <w:sz w:val="22"/>
              </w:rPr>
              <w:t>□需提供以下材料：</w:t>
            </w:r>
          </w:p>
          <w:p>
            <w:pPr>
              <w:pStyle w:val="101"/>
              <w:adjustRightInd w:val="0"/>
              <w:snapToGrid w:val="0"/>
              <w:spacing w:line="360" w:lineRule="auto"/>
              <w:ind w:firstLine="440" w:firstLineChars="200"/>
              <w:jc w:val="left"/>
              <w:rPr>
                <w:rFonts w:hint="eastAsia" w:ascii="Times New Roman" w:hAnsi="Times New Roman"/>
                <w:bCs/>
                <w:color w:val="000000"/>
                <w:sz w:val="22"/>
                <w:u w:val="single"/>
              </w:rPr>
            </w:pPr>
            <w:r>
              <w:rPr>
                <w:rFonts w:hint="eastAsia" w:ascii="Times New Roman" w:hAnsi="Times New Roman"/>
                <w:bCs/>
                <w:color w:val="000000"/>
                <w:sz w:val="22"/>
              </w:rPr>
              <w:t>经会计师事务所或审计机构审计的财务会计报表，包括资产负债表、现金流量表、利润表、财务情况说明书、</w:t>
            </w:r>
            <w:r>
              <w:rPr>
                <w:rFonts w:hint="eastAsia" w:ascii="Times New Roman" w:hAnsi="Times New Roman"/>
                <w:bCs/>
                <w:snapToGrid w:val="0"/>
                <w:color w:val="000000"/>
                <w:kern w:val="0"/>
                <w:sz w:val="22"/>
              </w:rPr>
              <w:t>……</w:t>
            </w:r>
          </w:p>
          <w:p>
            <w:pPr>
              <w:pStyle w:val="101"/>
              <w:adjustRightInd w:val="0"/>
              <w:snapToGrid w:val="0"/>
              <w:ind w:left="3"/>
              <w:jc w:val="center"/>
              <w:rPr>
                <w:rFonts w:ascii="Times New Roman" w:hAnsi="Times New Roman"/>
                <w:bCs/>
                <w:color w:val="000000"/>
                <w:sz w:val="22"/>
              </w:rPr>
            </w:pPr>
          </w:p>
          <w:p>
            <w:pPr>
              <w:pStyle w:val="101"/>
              <w:adjustRightInd w:val="0"/>
              <w:snapToGrid w:val="0"/>
              <w:ind w:left="3"/>
              <w:jc w:val="center"/>
              <w:rPr>
                <w:rFonts w:ascii="Times New Roman" w:hAnsi="Times New Roman"/>
                <w:bCs/>
                <w:color w:val="000000"/>
                <w:sz w:val="22"/>
              </w:rPr>
            </w:pPr>
          </w:p>
          <w:p>
            <w:pPr>
              <w:pStyle w:val="101"/>
              <w:adjustRightInd w:val="0"/>
              <w:snapToGrid w:val="0"/>
              <w:ind w:left="3"/>
              <w:jc w:val="center"/>
              <w:rPr>
                <w:rFonts w:ascii="Times New Roman" w:hAnsi="Times New Roman"/>
                <w:bCs/>
                <w:color w:val="000000"/>
                <w:sz w:val="22"/>
              </w:rPr>
            </w:pPr>
          </w:p>
          <w:p>
            <w:pPr>
              <w:pStyle w:val="101"/>
              <w:adjustRightInd w:val="0"/>
              <w:snapToGrid w:val="0"/>
              <w:ind w:left="3"/>
              <w:jc w:val="center"/>
              <w:rPr>
                <w:rFonts w:ascii="Times New Roman" w:hAnsi="Times New Roman"/>
                <w:bCs/>
                <w:color w:val="000000"/>
                <w:sz w:val="22"/>
              </w:rPr>
            </w:pPr>
          </w:p>
          <w:p>
            <w:pPr>
              <w:pStyle w:val="101"/>
              <w:adjustRightInd w:val="0"/>
              <w:snapToGrid w:val="0"/>
              <w:ind w:left="3"/>
              <w:jc w:val="center"/>
              <w:rPr>
                <w:rFonts w:ascii="Times New Roman" w:hAnsi="Times New Roman"/>
                <w:bCs/>
                <w:color w:val="000000"/>
                <w:sz w:val="22"/>
              </w:rPr>
            </w:pPr>
          </w:p>
          <w:p>
            <w:pPr>
              <w:pStyle w:val="101"/>
              <w:adjustRightInd w:val="0"/>
              <w:snapToGrid w:val="0"/>
              <w:ind w:left="3"/>
              <w:jc w:val="center"/>
              <w:rPr>
                <w:rFonts w:ascii="Times New Roman" w:hAnsi="Times New Roman"/>
                <w:bCs/>
                <w:color w:val="000000"/>
                <w:sz w:val="22"/>
              </w:rPr>
            </w:pPr>
          </w:p>
          <w:p>
            <w:pPr>
              <w:pStyle w:val="101"/>
              <w:adjustRightInd w:val="0"/>
              <w:snapToGrid w:val="0"/>
              <w:rPr>
                <w:rFonts w:ascii="Times New Roman" w:hAnsi="Times New Roman"/>
                <w:bCs/>
                <w:color w:val="000000"/>
                <w:sz w:val="22"/>
              </w:rPr>
            </w:pPr>
          </w:p>
        </w:tc>
      </w:tr>
    </w:tbl>
    <w:p>
      <w:pPr>
        <w:pStyle w:val="101"/>
        <w:adjustRightInd w:val="0"/>
        <w:snapToGrid w:val="0"/>
        <w:spacing w:line="300" w:lineRule="exact"/>
        <w:ind w:firstLine="440" w:firstLineChars="200"/>
        <w:rPr>
          <w:rFonts w:hint="eastAsia" w:ascii="Times New Roman" w:hAnsi="Times New Roman"/>
          <w:bCs/>
          <w:snapToGrid w:val="0"/>
          <w:color w:val="000000"/>
          <w:kern w:val="0"/>
          <w:sz w:val="22"/>
        </w:rPr>
      </w:pPr>
      <w:r>
        <w:rPr>
          <w:rFonts w:hint="eastAsia" w:ascii="Times New Roman" w:hAnsi="Times New Roman"/>
          <w:bCs/>
          <w:color w:val="000000"/>
          <w:kern w:val="0"/>
          <w:sz w:val="22"/>
        </w:rPr>
        <w:t>注：</w:t>
      </w:r>
      <w:r>
        <w:rPr>
          <w:rFonts w:hint="eastAsia" w:ascii="Times New Roman" w:hAnsi="Times New Roman"/>
          <w:bCs/>
          <w:snapToGrid w:val="0"/>
          <w:color w:val="000000"/>
          <w:kern w:val="0"/>
          <w:sz w:val="22"/>
        </w:rPr>
        <w:t>证明材料</w:t>
      </w:r>
      <w:r>
        <w:rPr>
          <w:rFonts w:hint="eastAsia" w:ascii="Times New Roman" w:hAnsi="Times New Roman"/>
          <w:bCs/>
          <w:color w:val="000000"/>
          <w:kern w:val="0"/>
          <w:sz w:val="22"/>
        </w:rPr>
        <w:t>的扫描件信息应完整或能充分证明满足评审需要</w:t>
      </w:r>
      <w:r>
        <w:rPr>
          <w:rFonts w:hint="eastAsia" w:ascii="Times New Roman" w:hAnsi="Times New Roman"/>
          <w:bCs/>
          <w:snapToGrid w:val="0"/>
          <w:color w:val="000000"/>
          <w:kern w:val="0"/>
          <w:sz w:val="22"/>
        </w:rPr>
        <w:t>。</w:t>
      </w:r>
    </w:p>
    <w:p>
      <w:pPr>
        <w:pStyle w:val="3"/>
        <w:jc w:val="center"/>
        <w:rPr>
          <w:rFonts w:hint="eastAsia" w:ascii="Times New Roman" w:hAnsi="Times New Roman" w:eastAsia="黑体"/>
          <w:b w:val="0"/>
        </w:rPr>
      </w:pPr>
      <w:r>
        <w:rPr>
          <w:rFonts w:ascii="Times New Roman" w:hAnsi="Times New Roman"/>
          <w:bCs w:val="0"/>
          <w:color w:val="000000"/>
          <w:kern w:val="0"/>
          <w:szCs w:val="21"/>
        </w:rPr>
        <w:br w:type="page"/>
      </w:r>
      <w:bookmarkStart w:id="18" w:name="_Toc460226991"/>
      <w:bookmarkStart w:id="19" w:name="_Toc460226722"/>
      <w:bookmarkStart w:id="20" w:name="_Toc26781050"/>
      <w:bookmarkStart w:id="21" w:name="_Toc11078139"/>
      <w:bookmarkStart w:id="22" w:name="_Toc421916977"/>
      <w:bookmarkStart w:id="23" w:name="_Toc460660064"/>
      <w:bookmarkStart w:id="24" w:name="_Toc283798418"/>
      <w:r>
        <w:rPr>
          <w:rFonts w:hint="eastAsia" w:ascii="Times New Roman" w:hAnsi="Times New Roman" w:eastAsia="黑体"/>
          <w:b w:val="0"/>
        </w:rPr>
        <w:t>附录3  资格审查条件</w:t>
      </w:r>
      <w:r>
        <w:rPr>
          <w:rFonts w:hint="eastAsia" w:ascii="Times New Roman" w:hAnsi="Times New Roman" w:eastAsia="黑体"/>
          <w:b w:val="0"/>
          <w:lang w:eastAsia="zh-CN"/>
        </w:rPr>
        <w:t>（</w:t>
      </w:r>
      <w:r>
        <w:rPr>
          <w:rFonts w:hint="eastAsia" w:ascii="Times New Roman" w:hAnsi="Times New Roman" w:eastAsia="黑体"/>
          <w:b w:val="0"/>
        </w:rPr>
        <w:t>业绩最低要求</w:t>
      </w:r>
      <w:r>
        <w:rPr>
          <w:rFonts w:hint="eastAsia" w:ascii="Times New Roman" w:hAnsi="Times New Roman" w:eastAsia="黑体"/>
          <w:b w:val="0"/>
          <w:lang w:eastAsia="zh-CN"/>
        </w:rPr>
        <w:t>）</w:t>
      </w:r>
      <w:bookmarkEnd w:id="18"/>
      <w:bookmarkEnd w:id="19"/>
      <w:bookmarkEnd w:id="20"/>
      <w:bookmarkEnd w:id="21"/>
      <w:bookmarkEnd w:id="22"/>
      <w:bookmarkEnd w:id="23"/>
      <w:bookmarkEnd w:id="24"/>
    </w:p>
    <w:tbl>
      <w:tblPr>
        <w:tblStyle w:val="55"/>
        <w:tblW w:w="44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1" w:hRule="atLeast"/>
          <w:jc w:val="center"/>
        </w:trPr>
        <w:tc>
          <w:tcPr>
            <w:tcW w:w="5000" w:type="pct"/>
            <w:tcBorders>
              <w:top w:val="single" w:color="auto" w:sz="4" w:space="0"/>
              <w:left w:val="single" w:color="auto" w:sz="4" w:space="0"/>
              <w:bottom w:val="single" w:color="auto" w:sz="4" w:space="0"/>
              <w:right w:val="single" w:color="auto" w:sz="4" w:space="0"/>
            </w:tcBorders>
            <w:vAlign w:val="center"/>
          </w:tcPr>
          <w:p>
            <w:pPr>
              <w:pStyle w:val="101"/>
              <w:adjustRightInd w:val="0"/>
              <w:snapToGrid w:val="0"/>
              <w:jc w:val="center"/>
              <w:rPr>
                <w:rFonts w:ascii="Times New Roman" w:hAnsi="Times New Roman"/>
                <w:b/>
                <w:bCs/>
                <w:sz w:val="22"/>
              </w:rPr>
            </w:pPr>
            <w:r>
              <w:rPr>
                <w:rFonts w:hint="eastAsia" w:ascii="Times New Roman" w:hAnsi="Times New Roman"/>
                <w:b/>
                <w:bCs/>
                <w:sz w:val="22"/>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0" w:hRule="atLeast"/>
          <w:jc w:val="center"/>
        </w:trPr>
        <w:tc>
          <w:tcPr>
            <w:tcW w:w="5000" w:type="pct"/>
            <w:tcBorders>
              <w:top w:val="single" w:color="auto" w:sz="4" w:space="0"/>
              <w:left w:val="single" w:color="auto" w:sz="4" w:space="0"/>
              <w:bottom w:val="single" w:color="auto" w:sz="4" w:space="0"/>
              <w:right w:val="single" w:color="auto" w:sz="4" w:space="0"/>
            </w:tcBorders>
            <w:vAlign w:val="center"/>
          </w:tcPr>
          <w:p>
            <w:pPr>
              <w:spacing w:line="360" w:lineRule="auto"/>
              <w:ind w:firstLine="437"/>
              <w:rPr>
                <w:bCs/>
                <w:color w:val="000000"/>
                <w:kern w:val="0"/>
                <w:sz w:val="22"/>
                <w:szCs w:val="22"/>
              </w:rPr>
            </w:pPr>
            <w:r>
              <w:rPr>
                <w:rFonts w:hint="eastAsia"/>
                <w:bCs/>
                <w:color w:val="000000"/>
                <w:kern w:val="0"/>
                <w:sz w:val="22"/>
                <w:szCs w:val="22"/>
              </w:rPr>
              <w:t>业绩要求见招标公告要求。</w:t>
            </w:r>
          </w:p>
        </w:tc>
      </w:tr>
    </w:tbl>
    <w:p>
      <w:pPr>
        <w:adjustRightInd w:val="0"/>
        <w:snapToGrid w:val="0"/>
        <w:spacing w:line="400" w:lineRule="exact"/>
        <w:ind w:firstLine="440" w:firstLineChars="200"/>
        <w:rPr>
          <w:rFonts w:hint="eastAsia"/>
          <w:bCs/>
          <w:snapToGrid w:val="0"/>
          <w:color w:val="000000"/>
          <w:kern w:val="0"/>
          <w:sz w:val="22"/>
          <w:szCs w:val="22"/>
        </w:rPr>
      </w:pPr>
      <w:r>
        <w:rPr>
          <w:rFonts w:hint="eastAsia"/>
          <w:bCs/>
          <w:snapToGrid w:val="0"/>
          <w:color w:val="000000"/>
          <w:kern w:val="0"/>
          <w:sz w:val="22"/>
          <w:szCs w:val="22"/>
        </w:rPr>
        <w:t>注：</w:t>
      </w:r>
    </w:p>
    <w:p>
      <w:pPr>
        <w:spacing w:line="440" w:lineRule="exact"/>
        <w:ind w:firstLine="437"/>
        <w:rPr>
          <w:rFonts w:hint="eastAsia"/>
          <w:bCs/>
          <w:color w:val="000000"/>
          <w:kern w:val="0"/>
          <w:sz w:val="22"/>
          <w:szCs w:val="22"/>
        </w:rPr>
      </w:pPr>
      <w:r>
        <w:rPr>
          <w:rFonts w:hint="eastAsia"/>
          <w:bCs/>
          <w:color w:val="000000"/>
          <w:kern w:val="0"/>
          <w:sz w:val="22"/>
          <w:szCs w:val="22"/>
        </w:rPr>
        <w:t>1.投标人应按下列规定提供业绩证明资料：</w:t>
      </w:r>
    </w:p>
    <w:p>
      <w:pPr>
        <w:spacing w:line="440" w:lineRule="exact"/>
        <w:ind w:firstLine="437"/>
        <w:rPr>
          <w:rFonts w:hint="eastAsia"/>
          <w:bCs/>
          <w:color w:val="000000"/>
          <w:kern w:val="0"/>
          <w:sz w:val="22"/>
          <w:szCs w:val="22"/>
        </w:rPr>
      </w:pPr>
      <w:r>
        <w:rPr>
          <w:rFonts w:hint="eastAsia"/>
          <w:bCs/>
          <w:color w:val="000000"/>
          <w:kern w:val="0"/>
          <w:sz w:val="22"/>
          <w:szCs w:val="22"/>
        </w:rPr>
        <w:t>☑（1）合同；</w:t>
      </w:r>
    </w:p>
    <w:p>
      <w:pPr>
        <w:spacing w:line="440" w:lineRule="exact"/>
        <w:ind w:firstLine="437"/>
        <w:rPr>
          <w:rFonts w:hint="eastAsia"/>
          <w:bCs/>
          <w:color w:val="000000"/>
          <w:kern w:val="0"/>
          <w:sz w:val="22"/>
          <w:szCs w:val="22"/>
        </w:rPr>
      </w:pPr>
      <w:r>
        <w:rPr>
          <w:rFonts w:hint="eastAsia"/>
          <w:bCs/>
          <w:color w:val="000000"/>
          <w:kern w:val="0"/>
          <w:sz w:val="22"/>
          <w:szCs w:val="22"/>
        </w:rPr>
        <w:t>☑（2）供货完毕并验收合格的相关证明文件（如验收证书或买方开具的证明等）；</w:t>
      </w:r>
    </w:p>
    <w:p>
      <w:pPr>
        <w:numPr>
          <w:ilvl w:val="0"/>
          <w:numId w:val="4"/>
        </w:numPr>
        <w:spacing w:line="440" w:lineRule="exact"/>
        <w:ind w:firstLine="437"/>
        <w:rPr>
          <w:rFonts w:hint="eastAsia"/>
          <w:bCs/>
          <w:color w:val="000000"/>
          <w:kern w:val="0"/>
          <w:sz w:val="22"/>
          <w:szCs w:val="22"/>
        </w:rPr>
      </w:pPr>
      <w:r>
        <w:rPr>
          <w:rFonts w:hint="eastAsia"/>
          <w:bCs/>
          <w:color w:val="000000"/>
          <w:kern w:val="0"/>
          <w:sz w:val="22"/>
          <w:szCs w:val="22"/>
        </w:rPr>
        <w:t xml:space="preserve">业绩合同可提供包含甲乙方、项目名称、单个合同中配电箱或配电柜（或配电箱和配电柜）供货金额、合同签订时间、合同供货范围、合同签字盖章页等关键内容的关键页的扫描件； </w:t>
      </w:r>
    </w:p>
    <w:p>
      <w:pPr>
        <w:spacing w:line="440" w:lineRule="exact"/>
        <w:ind w:firstLine="437"/>
        <w:rPr>
          <w:rFonts w:hint="eastAsia"/>
          <w:bCs/>
          <w:color w:val="000000"/>
          <w:kern w:val="0"/>
          <w:sz w:val="22"/>
          <w:szCs w:val="22"/>
        </w:rPr>
      </w:pPr>
      <w:r>
        <w:rPr>
          <w:bCs/>
          <w:color w:val="000000"/>
          <w:kern w:val="0"/>
          <w:sz w:val="22"/>
          <w:szCs w:val="22"/>
        </w:rPr>
        <w:t>3.</w:t>
      </w:r>
      <w:r>
        <w:rPr>
          <w:rFonts w:hint="eastAsia"/>
          <w:bCs/>
          <w:color w:val="000000"/>
          <w:kern w:val="0"/>
          <w:sz w:val="22"/>
          <w:szCs w:val="22"/>
        </w:rPr>
        <w:t>以上</w:t>
      </w:r>
      <w:r>
        <w:rPr>
          <w:rFonts w:hint="eastAsia"/>
          <w:bCs/>
          <w:color w:val="000000"/>
          <w:kern w:val="0"/>
          <w:sz w:val="22"/>
          <w:szCs w:val="22"/>
          <w:lang w:eastAsia="zh-CN"/>
        </w:rPr>
        <w:t>涉及的</w:t>
      </w:r>
      <w:r>
        <w:rPr>
          <w:rFonts w:hint="eastAsia"/>
          <w:bCs/>
          <w:color w:val="000000"/>
          <w:kern w:val="0"/>
          <w:sz w:val="22"/>
          <w:szCs w:val="22"/>
        </w:rPr>
        <w:t>材料扫描件信息应完整或能充分反映评审因素。如均未能明确反映出招标文件 所要求的内容的（如单个合同中配电箱或配电柜（或配电箱和配电柜）供货金额、合同供货范围等）， 应另附买方（或合同甲方）出具的证明资料予以明确说明。</w:t>
      </w:r>
    </w:p>
    <w:p>
      <w:pPr>
        <w:pStyle w:val="3"/>
        <w:jc w:val="center"/>
        <w:rPr>
          <w:rFonts w:hint="eastAsia" w:ascii="Times New Roman" w:hAnsi="Times New Roman" w:eastAsia="黑体"/>
          <w:b w:val="0"/>
        </w:rPr>
      </w:pPr>
      <w:r>
        <w:rPr>
          <w:rFonts w:ascii="Times New Roman" w:hAnsi="Times New Roman"/>
          <w:b w:val="0"/>
          <w:snapToGrid w:val="0"/>
          <w:color w:val="000000"/>
          <w:kern w:val="0"/>
          <w:sz w:val="21"/>
          <w:szCs w:val="21"/>
        </w:rPr>
        <w:br w:type="page"/>
      </w:r>
      <w:bookmarkStart w:id="25" w:name="_Toc26781051"/>
      <w:bookmarkStart w:id="26" w:name="_Toc11078140"/>
      <w:bookmarkStart w:id="27" w:name="_Toc460226723"/>
      <w:bookmarkStart w:id="28" w:name="_Toc460226992"/>
      <w:bookmarkStart w:id="29" w:name="_Toc421916978"/>
      <w:r>
        <w:rPr>
          <w:rFonts w:hint="eastAsia" w:ascii="Times New Roman" w:hAnsi="Times New Roman" w:eastAsia="黑体"/>
          <w:b w:val="0"/>
        </w:rPr>
        <w:t>附录4  资格审查条件</w:t>
      </w:r>
      <w:r>
        <w:rPr>
          <w:rFonts w:hint="eastAsia" w:ascii="Times New Roman" w:hAnsi="Times New Roman" w:eastAsia="黑体"/>
          <w:b w:val="0"/>
          <w:lang w:eastAsia="zh-CN"/>
        </w:rPr>
        <w:t>（</w:t>
      </w:r>
      <w:r>
        <w:rPr>
          <w:rFonts w:hint="eastAsia" w:ascii="Times New Roman" w:hAnsi="Times New Roman" w:eastAsia="黑体"/>
          <w:b w:val="0"/>
        </w:rPr>
        <w:t>信誉最低要求</w:t>
      </w:r>
      <w:r>
        <w:rPr>
          <w:rFonts w:hint="eastAsia" w:ascii="Times New Roman" w:hAnsi="Times New Roman" w:eastAsia="黑体"/>
          <w:b w:val="0"/>
          <w:lang w:eastAsia="zh-CN"/>
        </w:rPr>
        <w:t>）</w:t>
      </w:r>
      <w:bookmarkEnd w:id="25"/>
      <w:bookmarkEnd w:id="26"/>
    </w:p>
    <w:tbl>
      <w:tblPr>
        <w:tblStyle w:val="55"/>
        <w:tblW w:w="44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5000" w:type="pct"/>
            <w:tcBorders>
              <w:top w:val="single" w:color="auto" w:sz="4" w:space="0"/>
              <w:left w:val="single" w:color="auto" w:sz="4" w:space="0"/>
              <w:bottom w:val="single" w:color="auto" w:sz="4" w:space="0"/>
              <w:right w:val="single" w:color="auto" w:sz="4" w:space="0"/>
            </w:tcBorders>
            <w:vAlign w:val="center"/>
          </w:tcPr>
          <w:p>
            <w:pPr>
              <w:pStyle w:val="101"/>
              <w:adjustRightInd w:val="0"/>
              <w:snapToGrid w:val="0"/>
              <w:jc w:val="center"/>
              <w:rPr>
                <w:rFonts w:ascii="Times New Roman" w:hAnsi="Times New Roman"/>
                <w:b/>
                <w:bCs/>
                <w:szCs w:val="21"/>
              </w:rPr>
            </w:pPr>
            <w:r>
              <w:rPr>
                <w:rFonts w:hint="eastAsia" w:ascii="Times New Roman" w:hAnsi="Times New Roman"/>
                <w:b/>
                <w:bCs/>
                <w:szCs w:val="21"/>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20" w:hRule="atLeast"/>
          <w:jc w:val="center"/>
        </w:trPr>
        <w:tc>
          <w:tcPr>
            <w:tcW w:w="5000" w:type="pct"/>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cs="楷体"/>
                <w:bCs/>
                <w:snapToGrid w:val="0"/>
                <w:color w:val="000000"/>
                <w:kern w:val="0"/>
                <w:szCs w:val="21"/>
              </w:rPr>
            </w:pPr>
          </w:p>
        </w:tc>
      </w:tr>
    </w:tbl>
    <w:p>
      <w:pPr>
        <w:pStyle w:val="3"/>
        <w:jc w:val="center"/>
        <w:rPr>
          <w:rFonts w:hint="eastAsia" w:ascii="Times New Roman" w:hAnsi="Times New Roman" w:eastAsia="黑体"/>
          <w:b w:val="0"/>
        </w:rPr>
      </w:pPr>
      <w:r>
        <w:rPr>
          <w:rFonts w:ascii="Times New Roman" w:hAnsi="Times New Roman"/>
          <w:kern w:val="0"/>
          <w:szCs w:val="21"/>
        </w:rPr>
        <w:br w:type="page"/>
      </w:r>
      <w:bookmarkEnd w:id="27"/>
      <w:bookmarkEnd w:id="28"/>
      <w:bookmarkEnd w:id="29"/>
      <w:bookmarkStart w:id="30" w:name="_Toc460660066"/>
      <w:bookmarkStart w:id="31" w:name="_Toc460226724"/>
      <w:bookmarkStart w:id="32" w:name="_Toc460226993"/>
      <w:bookmarkStart w:id="33" w:name="_Toc421916979"/>
      <w:bookmarkStart w:id="34" w:name="_Toc11078142"/>
      <w:bookmarkStart w:id="35" w:name="_Toc26781052"/>
      <w:r>
        <w:rPr>
          <w:rFonts w:hint="eastAsia" w:ascii="Times New Roman" w:hAnsi="Times New Roman" w:eastAsia="黑体"/>
          <w:b w:val="0"/>
        </w:rPr>
        <w:t xml:space="preserve">附录5  </w:t>
      </w:r>
      <w:bookmarkEnd w:id="30"/>
      <w:bookmarkEnd w:id="31"/>
      <w:bookmarkEnd w:id="32"/>
      <w:bookmarkEnd w:id="33"/>
      <w:r>
        <w:rPr>
          <w:rFonts w:hint="eastAsia" w:ascii="Times New Roman" w:hAnsi="Times New Roman" w:eastAsia="黑体"/>
          <w:b w:val="0"/>
        </w:rPr>
        <w:t>资格审查条件（其他要求）</w:t>
      </w:r>
      <w:bookmarkEnd w:id="34"/>
      <w:bookmarkEnd w:id="35"/>
    </w:p>
    <w:tbl>
      <w:tblPr>
        <w:tblStyle w:val="55"/>
        <w:tblW w:w="49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6" w:hRule="atLeast"/>
          <w:jc w:val="center"/>
        </w:trPr>
        <w:tc>
          <w:tcPr>
            <w:tcW w:w="5000" w:type="pct"/>
            <w:tcBorders>
              <w:top w:val="single" w:color="auto" w:sz="4" w:space="0"/>
              <w:left w:val="single" w:color="auto" w:sz="4" w:space="0"/>
              <w:bottom w:val="single" w:color="auto" w:sz="4" w:space="0"/>
              <w:right w:val="single" w:color="auto" w:sz="4" w:space="0"/>
            </w:tcBorders>
            <w:vAlign w:val="center"/>
          </w:tcPr>
          <w:p>
            <w:pPr>
              <w:pStyle w:val="101"/>
              <w:adjustRightInd w:val="0"/>
              <w:snapToGrid w:val="0"/>
              <w:jc w:val="center"/>
              <w:rPr>
                <w:rFonts w:ascii="Times New Roman" w:hAnsi="Times New Roman"/>
                <w:b/>
                <w:bCs/>
                <w:color w:val="000000"/>
                <w:sz w:val="22"/>
              </w:rPr>
            </w:pPr>
            <w:bookmarkStart w:id="36" w:name="_Toc460226725"/>
            <w:bookmarkStart w:id="37" w:name="_Toc460660067"/>
            <w:bookmarkStart w:id="38" w:name="_Toc460226994"/>
            <w:r>
              <w:rPr>
                <w:rFonts w:hint="eastAsia" w:ascii="Times New Roman" w:hAnsi="Times New Roman"/>
                <w:b/>
                <w:bCs/>
                <w:color w:val="000000"/>
                <w:sz w:val="22"/>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52" w:hRule="atLeast"/>
          <w:jc w:val="center"/>
        </w:trPr>
        <w:tc>
          <w:tcPr>
            <w:tcW w:w="5000" w:type="pct"/>
            <w:tcBorders>
              <w:top w:val="single" w:color="auto" w:sz="4" w:space="0"/>
              <w:left w:val="single" w:color="auto" w:sz="4" w:space="0"/>
              <w:bottom w:val="single" w:color="auto" w:sz="4" w:space="0"/>
              <w:right w:val="single" w:color="auto" w:sz="4" w:space="0"/>
            </w:tcBorders>
            <w:vAlign w:val="center"/>
          </w:tcPr>
          <w:p>
            <w:pPr>
              <w:spacing w:line="360" w:lineRule="auto"/>
              <w:rPr>
                <w:rFonts w:cs="楷体"/>
                <w:bCs/>
                <w:snapToGrid w:val="0"/>
                <w:kern w:val="0"/>
                <w:sz w:val="22"/>
                <w:szCs w:val="22"/>
              </w:rPr>
            </w:pPr>
            <w:r>
              <w:rPr>
                <w:rFonts w:hint="eastAsia" w:cs="楷体"/>
                <w:bCs/>
                <w:snapToGrid w:val="0"/>
                <w:kern w:val="0"/>
                <w:sz w:val="22"/>
                <w:szCs w:val="22"/>
              </w:rPr>
              <w:t>本项目是否要求投标人具有本地化服务能力：☑要求   □不要求</w:t>
            </w:r>
          </w:p>
          <w:p>
            <w:pPr>
              <w:spacing w:line="360" w:lineRule="auto"/>
              <w:rPr>
                <w:rFonts w:hint="eastAsia" w:cs="楷体"/>
                <w:bCs/>
                <w:snapToGrid w:val="0"/>
                <w:color w:val="000000"/>
                <w:kern w:val="0"/>
                <w:sz w:val="22"/>
                <w:szCs w:val="22"/>
              </w:rPr>
            </w:pPr>
            <w:r>
              <w:rPr>
                <w:rFonts w:hint="eastAsia" w:cs="楷体"/>
                <w:bCs/>
                <w:snapToGrid w:val="0"/>
                <w:color w:val="000000"/>
                <w:kern w:val="0"/>
                <w:sz w:val="22"/>
                <w:szCs w:val="22"/>
              </w:rPr>
              <w:t>本地化服务的能力是指具有下列条件之一：</w:t>
            </w:r>
          </w:p>
          <w:p>
            <w:pPr>
              <w:spacing w:line="360" w:lineRule="auto"/>
              <w:rPr>
                <w:rFonts w:hint="eastAsia" w:cs="楷体"/>
                <w:bCs/>
                <w:snapToGrid w:val="0"/>
                <w:color w:val="000000"/>
                <w:kern w:val="0"/>
                <w:sz w:val="22"/>
                <w:szCs w:val="22"/>
              </w:rPr>
            </w:pPr>
            <w:r>
              <w:rPr>
                <w:rFonts w:hint="eastAsia" w:cs="楷体"/>
                <w:bCs/>
                <w:snapToGrid w:val="0"/>
                <w:color w:val="000000"/>
                <w:kern w:val="0"/>
                <w:sz w:val="22"/>
                <w:szCs w:val="22"/>
              </w:rPr>
              <w:t>（1）在</w:t>
            </w:r>
            <w:r>
              <w:rPr>
                <w:bCs/>
                <w:snapToGrid w:val="0"/>
                <w:color w:val="000000"/>
                <w:kern w:val="0"/>
                <w:sz w:val="22"/>
                <w:szCs w:val="22"/>
              </w:rPr>
              <w:t>合肥</w:t>
            </w:r>
            <w:r>
              <w:rPr>
                <w:rFonts w:hint="eastAsia"/>
                <w:bCs/>
                <w:snapToGrid w:val="0"/>
                <w:color w:val="000000"/>
                <w:kern w:val="0"/>
                <w:sz w:val="22"/>
                <w:szCs w:val="22"/>
              </w:rPr>
              <w:t>行政区域范围（含四县一市）</w:t>
            </w:r>
            <w:r>
              <w:rPr>
                <w:rFonts w:hint="eastAsia" w:cs="楷体"/>
                <w:bCs/>
                <w:snapToGrid w:val="0"/>
                <w:color w:val="000000"/>
                <w:kern w:val="0"/>
                <w:sz w:val="22"/>
                <w:szCs w:val="22"/>
              </w:rPr>
              <w:t>具有固定的办公场所及人员；</w:t>
            </w:r>
          </w:p>
          <w:p>
            <w:pPr>
              <w:spacing w:line="360" w:lineRule="auto"/>
              <w:rPr>
                <w:rFonts w:hint="eastAsia" w:cs="楷体"/>
                <w:bCs/>
                <w:snapToGrid w:val="0"/>
                <w:color w:val="000000"/>
                <w:kern w:val="0"/>
                <w:sz w:val="22"/>
                <w:szCs w:val="22"/>
              </w:rPr>
            </w:pPr>
            <w:r>
              <w:rPr>
                <w:rFonts w:hint="eastAsia" w:cs="楷体"/>
                <w:bCs/>
                <w:snapToGrid w:val="0"/>
                <w:color w:val="000000"/>
                <w:kern w:val="0"/>
                <w:sz w:val="22"/>
                <w:szCs w:val="22"/>
              </w:rPr>
              <w:t>（2）投标人在</w:t>
            </w:r>
            <w:r>
              <w:rPr>
                <w:bCs/>
                <w:snapToGrid w:val="0"/>
                <w:color w:val="000000"/>
                <w:kern w:val="0"/>
                <w:sz w:val="22"/>
                <w:szCs w:val="22"/>
              </w:rPr>
              <w:t>合肥</w:t>
            </w:r>
            <w:r>
              <w:rPr>
                <w:rFonts w:hint="eastAsia"/>
                <w:bCs/>
                <w:snapToGrid w:val="0"/>
                <w:color w:val="000000"/>
                <w:kern w:val="0"/>
                <w:sz w:val="22"/>
                <w:szCs w:val="22"/>
              </w:rPr>
              <w:t>行政区域范围（含四县一市）</w:t>
            </w:r>
            <w:r>
              <w:rPr>
                <w:rFonts w:hint="eastAsia" w:cs="楷体"/>
                <w:bCs/>
                <w:snapToGrid w:val="0"/>
                <w:color w:val="000000"/>
                <w:kern w:val="0"/>
                <w:sz w:val="22"/>
                <w:szCs w:val="22"/>
              </w:rPr>
              <w:t>注册成立的；</w:t>
            </w:r>
          </w:p>
          <w:p>
            <w:pPr>
              <w:spacing w:line="360" w:lineRule="auto"/>
              <w:rPr>
                <w:rFonts w:hint="eastAsia"/>
                <w:bCs/>
                <w:snapToGrid w:val="0"/>
                <w:color w:val="000000"/>
                <w:kern w:val="0"/>
                <w:sz w:val="22"/>
                <w:szCs w:val="22"/>
              </w:rPr>
            </w:pPr>
            <w:r>
              <w:rPr>
                <w:rFonts w:hint="eastAsia" w:cs="楷体"/>
                <w:bCs/>
                <w:snapToGrid w:val="0"/>
                <w:color w:val="000000"/>
                <w:kern w:val="0"/>
                <w:sz w:val="22"/>
                <w:szCs w:val="22"/>
              </w:rPr>
              <w:t>（3）承诺中标</w:t>
            </w:r>
            <w:r>
              <w:rPr>
                <w:rFonts w:hint="eastAsia"/>
                <w:bCs/>
                <w:snapToGrid w:val="0"/>
                <w:color w:val="000000"/>
                <w:kern w:val="0"/>
                <w:sz w:val="22"/>
                <w:szCs w:val="22"/>
              </w:rPr>
              <w:t>即在</w:t>
            </w:r>
            <w:r>
              <w:rPr>
                <w:bCs/>
                <w:snapToGrid w:val="0"/>
                <w:color w:val="000000"/>
                <w:kern w:val="0"/>
                <w:sz w:val="22"/>
                <w:szCs w:val="22"/>
              </w:rPr>
              <w:t>合肥</w:t>
            </w:r>
            <w:r>
              <w:rPr>
                <w:rFonts w:hint="eastAsia"/>
                <w:bCs/>
                <w:snapToGrid w:val="0"/>
                <w:color w:val="000000"/>
                <w:kern w:val="0"/>
                <w:sz w:val="22"/>
                <w:szCs w:val="22"/>
              </w:rPr>
              <w:t>行政区域范围（含四县一市）设立服务机构，或委托相关单位作为服务机构；</w:t>
            </w:r>
          </w:p>
          <w:p>
            <w:pPr>
              <w:spacing w:line="360" w:lineRule="auto"/>
              <w:rPr>
                <w:bCs/>
                <w:color w:val="000000"/>
                <w:sz w:val="22"/>
                <w:szCs w:val="22"/>
              </w:rPr>
            </w:pPr>
            <w:r>
              <w:rPr>
                <w:rFonts w:hint="eastAsia"/>
                <w:bCs/>
                <w:snapToGrid w:val="0"/>
                <w:color w:val="000000"/>
                <w:kern w:val="0"/>
                <w:sz w:val="22"/>
                <w:szCs w:val="22"/>
              </w:rPr>
              <w:t>（4）委托相关单位作为服务机构</w:t>
            </w:r>
            <w:r>
              <w:rPr>
                <w:rFonts w:hint="eastAsia" w:cs="楷体"/>
                <w:bCs/>
                <w:snapToGrid w:val="0"/>
                <w:color w:val="000000"/>
                <w:kern w:val="0"/>
                <w:sz w:val="22"/>
                <w:szCs w:val="22"/>
              </w:rPr>
              <w:t>。</w:t>
            </w:r>
          </w:p>
        </w:tc>
      </w:tr>
    </w:tbl>
    <w:p>
      <w:pPr>
        <w:spacing w:line="360" w:lineRule="auto"/>
        <w:ind w:firstLine="440" w:firstLineChars="200"/>
        <w:rPr>
          <w:rFonts w:hint="eastAsia"/>
          <w:b/>
          <w:kern w:val="0"/>
          <w:szCs w:val="21"/>
        </w:rPr>
      </w:pPr>
      <w:r>
        <w:rPr>
          <w:rFonts w:hint="eastAsia"/>
          <w:bCs/>
          <w:snapToGrid w:val="0"/>
          <w:color w:val="000000"/>
          <w:kern w:val="0"/>
          <w:sz w:val="22"/>
          <w:szCs w:val="22"/>
        </w:rPr>
        <w:t>注：对于本地化服务要求第（1）种情形的，应当提供固定办公场所的自有产权证明或租赁合同等证明材料；第（2）种情形的应当提供营业执照；第（3）种情形的，应当提供承诺函；第（4）种情形的，提供相关委托协议等证明材料。</w:t>
      </w:r>
    </w:p>
    <w:p>
      <w:pPr>
        <w:jc w:val="center"/>
      </w:pPr>
      <w:bookmarkStart w:id="39" w:name="_Toc283798422"/>
      <w:bookmarkStart w:id="40" w:name="_Toc15656409"/>
      <w:r>
        <w:br w:type="page"/>
      </w:r>
      <w:r>
        <w:rPr>
          <w:rFonts w:hint="eastAsia" w:eastAsia="黑体"/>
          <w:bCs/>
          <w:sz w:val="32"/>
          <w:szCs w:val="32"/>
        </w:rPr>
        <w:t>投标人须知</w:t>
      </w:r>
      <w:bookmarkEnd w:id="39"/>
      <w:r>
        <w:rPr>
          <w:rFonts w:hint="eastAsia" w:eastAsia="黑体"/>
          <w:bCs/>
          <w:sz w:val="32"/>
          <w:szCs w:val="32"/>
        </w:rPr>
        <w:t>正文修改一览表</w:t>
      </w:r>
      <w:bookmarkEnd w:id="40"/>
    </w:p>
    <w:p>
      <w:pPr>
        <w:pStyle w:val="146"/>
        <w:autoSpaceDE w:val="0"/>
        <w:autoSpaceDN w:val="0"/>
        <w:adjustRightInd w:val="0"/>
        <w:snapToGrid w:val="0"/>
        <w:spacing w:line="240" w:lineRule="atLeast"/>
        <w:jc w:val="center"/>
        <w:rPr>
          <w:rFonts w:cs="宋体"/>
          <w:b/>
          <w:sz w:val="31"/>
          <w:szCs w:val="49"/>
        </w:rPr>
      </w:pPr>
    </w:p>
    <w:p>
      <w:pPr>
        <w:pStyle w:val="146"/>
        <w:spacing w:line="360" w:lineRule="auto"/>
        <w:rPr>
          <w:rFonts w:cs="宋体"/>
          <w:spacing w:val="-10"/>
          <w:kern w:val="0"/>
        </w:rPr>
      </w:pPr>
      <w:r>
        <w:rPr>
          <w:rFonts w:hint="eastAsia"/>
          <w:kern w:val="0"/>
          <w:szCs w:val="21"/>
        </w:rPr>
        <w:t>投标人须知正文条款内容修改如下：</w:t>
      </w: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9"/>
        <w:gridCol w:w="2541"/>
        <w:gridCol w:w="6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pStyle w:val="146"/>
              <w:spacing w:line="480" w:lineRule="exact"/>
              <w:jc w:val="center"/>
              <w:rPr>
                <w:b/>
                <w:sz w:val="22"/>
                <w:szCs w:val="22"/>
              </w:rPr>
            </w:pPr>
            <w:r>
              <w:rPr>
                <w:rFonts w:hint="eastAsia"/>
                <w:b/>
                <w:sz w:val="22"/>
                <w:szCs w:val="22"/>
              </w:rPr>
              <w:t>条款</w:t>
            </w:r>
          </w:p>
          <w:p>
            <w:pPr>
              <w:pStyle w:val="146"/>
              <w:spacing w:line="480" w:lineRule="exact"/>
              <w:jc w:val="center"/>
              <w:rPr>
                <w:b/>
                <w:sz w:val="22"/>
                <w:szCs w:val="22"/>
              </w:rPr>
            </w:pPr>
            <w:r>
              <w:rPr>
                <w:rFonts w:hint="eastAsia"/>
                <w:b/>
                <w:sz w:val="22"/>
                <w:szCs w:val="22"/>
              </w:rPr>
              <w:t>编号</w:t>
            </w:r>
          </w:p>
        </w:tc>
        <w:tc>
          <w:tcPr>
            <w:tcW w:w="2541" w:type="dxa"/>
            <w:tcBorders>
              <w:top w:val="single" w:color="auto" w:sz="4" w:space="0"/>
              <w:left w:val="single" w:color="auto" w:sz="4" w:space="0"/>
              <w:bottom w:val="single" w:color="auto" w:sz="4" w:space="0"/>
              <w:right w:val="single" w:color="auto" w:sz="4" w:space="0"/>
            </w:tcBorders>
            <w:vAlign w:val="center"/>
          </w:tcPr>
          <w:p>
            <w:pPr>
              <w:pStyle w:val="146"/>
              <w:spacing w:line="480" w:lineRule="exact"/>
              <w:jc w:val="center"/>
              <w:rPr>
                <w:b/>
                <w:sz w:val="22"/>
                <w:szCs w:val="22"/>
              </w:rPr>
            </w:pPr>
            <w:r>
              <w:rPr>
                <w:rFonts w:hint="eastAsia"/>
                <w:b/>
                <w:sz w:val="22"/>
                <w:szCs w:val="22"/>
              </w:rPr>
              <w:t>示范文本中条款内容</w:t>
            </w:r>
          </w:p>
        </w:tc>
        <w:tc>
          <w:tcPr>
            <w:tcW w:w="6239" w:type="dxa"/>
            <w:tcBorders>
              <w:top w:val="single" w:color="auto" w:sz="4" w:space="0"/>
              <w:left w:val="single" w:color="auto" w:sz="4" w:space="0"/>
              <w:bottom w:val="single" w:color="auto" w:sz="4" w:space="0"/>
              <w:right w:val="single" w:color="auto" w:sz="4" w:space="0"/>
            </w:tcBorders>
            <w:vAlign w:val="center"/>
          </w:tcPr>
          <w:p>
            <w:pPr>
              <w:pStyle w:val="146"/>
              <w:spacing w:line="480" w:lineRule="exact"/>
              <w:jc w:val="center"/>
              <w:rPr>
                <w:b/>
                <w:sz w:val="22"/>
                <w:szCs w:val="22"/>
              </w:rPr>
            </w:pPr>
            <w:r>
              <w:rPr>
                <w:rFonts w:hint="eastAsia"/>
                <w:b/>
                <w:sz w:val="22"/>
                <w:szCs w:val="22"/>
              </w:rPr>
              <w:t>修改后条款内容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pStyle w:val="146"/>
              <w:spacing w:line="480" w:lineRule="exact"/>
              <w:jc w:val="center"/>
              <w:rPr>
                <w:sz w:val="22"/>
                <w:szCs w:val="22"/>
              </w:rPr>
            </w:pPr>
            <w:r>
              <w:rPr>
                <w:rFonts w:hint="eastAsia"/>
                <w:sz w:val="22"/>
                <w:szCs w:val="22"/>
              </w:rPr>
              <w:t>3.1.1</w:t>
            </w:r>
          </w:p>
        </w:tc>
        <w:tc>
          <w:tcPr>
            <w:tcW w:w="2541" w:type="dxa"/>
            <w:tcBorders>
              <w:top w:val="single" w:color="auto" w:sz="4" w:space="0"/>
              <w:left w:val="single" w:color="auto" w:sz="4" w:space="0"/>
              <w:bottom w:val="single" w:color="auto" w:sz="4" w:space="0"/>
              <w:right w:val="single" w:color="auto" w:sz="4" w:space="0"/>
            </w:tcBorders>
            <w:vAlign w:val="center"/>
          </w:tcPr>
          <w:p>
            <w:pPr>
              <w:widowControl/>
              <w:spacing w:line="480" w:lineRule="exact"/>
              <w:rPr>
                <w:sz w:val="22"/>
                <w:szCs w:val="22"/>
              </w:rPr>
            </w:pPr>
            <w:r>
              <w:rPr>
                <w:rFonts w:hint="eastAsia" w:ascii="宋体" w:hAnsi="宋体" w:cs="宋体"/>
                <w:color w:val="000000"/>
                <w:kern w:val="0"/>
                <w:sz w:val="22"/>
                <w:szCs w:val="22"/>
              </w:rPr>
              <w:t>投标文件应包括下列内容：</w:t>
            </w:r>
          </w:p>
        </w:tc>
        <w:tc>
          <w:tcPr>
            <w:tcW w:w="623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rPr>
                <w:sz w:val="22"/>
                <w:szCs w:val="22"/>
              </w:rPr>
            </w:pPr>
            <w:r>
              <w:rPr>
                <w:rFonts w:hint="eastAsia" w:ascii="宋体" w:hAnsi="宋体" w:cs="宋体"/>
                <w:color w:val="000000"/>
                <w:kern w:val="0"/>
                <w:sz w:val="22"/>
                <w:szCs w:val="22"/>
              </w:rPr>
              <w:t>投标文件应包括下列内容（具体以第六章投标文件格式 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pStyle w:val="146"/>
              <w:spacing w:line="480" w:lineRule="exact"/>
              <w:jc w:val="center"/>
              <w:rPr>
                <w:sz w:val="22"/>
                <w:szCs w:val="22"/>
              </w:rPr>
            </w:pPr>
            <w:r>
              <w:rPr>
                <w:rFonts w:hint="eastAsia"/>
                <w:sz w:val="22"/>
                <w:szCs w:val="22"/>
              </w:rPr>
              <w:t>3.4.5</w:t>
            </w:r>
          </w:p>
        </w:tc>
        <w:tc>
          <w:tcPr>
            <w:tcW w:w="2541" w:type="dxa"/>
            <w:tcBorders>
              <w:top w:val="single" w:color="auto" w:sz="4" w:space="0"/>
              <w:left w:val="single" w:color="auto" w:sz="4" w:space="0"/>
              <w:bottom w:val="single" w:color="auto" w:sz="4" w:space="0"/>
              <w:right w:val="single" w:color="auto" w:sz="4" w:space="0"/>
            </w:tcBorders>
            <w:vAlign w:val="center"/>
          </w:tcPr>
          <w:p>
            <w:pPr>
              <w:pStyle w:val="146"/>
              <w:spacing w:line="480" w:lineRule="exact"/>
              <w:rPr>
                <w:rFonts w:hint="eastAsia"/>
                <w:sz w:val="22"/>
                <w:szCs w:val="22"/>
              </w:rPr>
            </w:pPr>
            <w:r>
              <w:rPr>
                <w:rFonts w:hint="eastAsia" w:ascii="宋体" w:hAnsi="宋体" w:cs="宋体"/>
                <w:color w:val="000000"/>
                <w:kern w:val="0"/>
                <w:sz w:val="22"/>
                <w:szCs w:val="22"/>
              </w:rPr>
              <w:t>特别提醒：</w:t>
            </w:r>
          </w:p>
        </w:tc>
        <w:tc>
          <w:tcPr>
            <w:tcW w:w="623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rPr>
                <w:sz w:val="22"/>
                <w:szCs w:val="22"/>
              </w:rPr>
            </w:pPr>
            <w:r>
              <w:rPr>
                <w:rFonts w:hint="eastAsia" w:ascii="宋体" w:hAnsi="宋体" w:cs="宋体"/>
                <w:color w:val="000000"/>
                <w:kern w:val="0"/>
                <w:sz w:val="22"/>
                <w:szCs w:val="22"/>
              </w:rPr>
              <w:t>投标人采用银行保函、担保机构担保函方式提交投标保证金的，如出现本项目招标文件“投标人须知”3.4.4 项所列情形以及招标文件所列其他投标保证金不予退还情形的，提供担保的银行、担保机构将无条件支付招 标人保函所列的全部投标保证金金额，该支付行为视同 投标保证金不予退还。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pStyle w:val="146"/>
              <w:spacing w:line="480" w:lineRule="exact"/>
              <w:jc w:val="center"/>
              <w:rPr>
                <w:sz w:val="22"/>
                <w:szCs w:val="22"/>
              </w:rPr>
            </w:pPr>
            <w:r>
              <w:rPr>
                <w:rFonts w:hint="eastAsia"/>
                <w:sz w:val="22"/>
                <w:szCs w:val="22"/>
              </w:rPr>
              <w:t>3.4.6</w:t>
            </w:r>
          </w:p>
        </w:tc>
        <w:tc>
          <w:tcPr>
            <w:tcW w:w="2541" w:type="dxa"/>
            <w:tcBorders>
              <w:top w:val="single" w:color="auto" w:sz="4" w:space="0"/>
              <w:left w:val="single" w:color="auto" w:sz="4" w:space="0"/>
              <w:bottom w:val="single" w:color="auto" w:sz="4" w:space="0"/>
              <w:right w:val="single" w:color="auto" w:sz="4" w:space="0"/>
            </w:tcBorders>
            <w:vAlign w:val="center"/>
          </w:tcPr>
          <w:p>
            <w:pPr>
              <w:pStyle w:val="146"/>
              <w:spacing w:line="480" w:lineRule="exact"/>
              <w:rPr>
                <w:rFonts w:hint="eastAsia"/>
                <w:sz w:val="22"/>
                <w:szCs w:val="22"/>
              </w:rPr>
            </w:pPr>
            <w:r>
              <w:rPr>
                <w:rFonts w:hint="eastAsia" w:ascii="宋体" w:hAnsi="宋体" w:cs="宋体"/>
                <w:color w:val="000000"/>
                <w:kern w:val="0"/>
                <w:sz w:val="22"/>
                <w:szCs w:val="22"/>
              </w:rPr>
              <w:t>投标保证金弄虚作假情形：</w:t>
            </w:r>
          </w:p>
        </w:tc>
        <w:tc>
          <w:tcPr>
            <w:tcW w:w="623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rPr>
                <w:sz w:val="22"/>
                <w:szCs w:val="22"/>
              </w:rPr>
            </w:pPr>
            <w:r>
              <w:rPr>
                <w:rFonts w:hint="eastAsia" w:ascii="宋体" w:hAnsi="宋体" w:cs="宋体"/>
                <w:color w:val="000000"/>
                <w:kern w:val="0"/>
                <w:sz w:val="22"/>
                <w:szCs w:val="22"/>
              </w:rPr>
              <w:t xml:space="preserve">投标人采用虚假银行保函、担保机构担保函方式提交投标保证金的，除依法承担弄虚作假、骗取中标的法律责任外，仍应根据招标文件规定承担投标保证金不予退还的民事责任，其承担方式为限时足额缴纳招标文件所列全部投标保证金，投标人在招标人/招标代理机构发出追缴通知后的规定缴纳时间内不能足额支付投标保证金的，招标人/招标代理机构将依法提起诉讼追缴，招标人/招标代理机构因此发生的诉讼费、律师代理费等 </w:t>
            </w:r>
          </w:p>
          <w:p>
            <w:pPr>
              <w:widowControl/>
              <w:spacing w:line="480" w:lineRule="exact"/>
              <w:rPr>
                <w:sz w:val="22"/>
                <w:szCs w:val="22"/>
              </w:rPr>
            </w:pPr>
            <w:r>
              <w:rPr>
                <w:rFonts w:hint="eastAsia" w:ascii="宋体" w:hAnsi="宋体" w:cs="宋体"/>
                <w:color w:val="000000"/>
                <w:kern w:val="0"/>
                <w:sz w:val="22"/>
                <w:szCs w:val="22"/>
              </w:rPr>
              <w:t>费用均由投标人承担。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pStyle w:val="146"/>
              <w:spacing w:line="480" w:lineRule="exact"/>
              <w:jc w:val="center"/>
              <w:rPr>
                <w:sz w:val="22"/>
                <w:szCs w:val="22"/>
              </w:rPr>
            </w:pPr>
          </w:p>
        </w:tc>
        <w:tc>
          <w:tcPr>
            <w:tcW w:w="2541" w:type="dxa"/>
            <w:tcBorders>
              <w:top w:val="single" w:color="auto" w:sz="4" w:space="0"/>
              <w:left w:val="single" w:color="auto" w:sz="4" w:space="0"/>
              <w:bottom w:val="single" w:color="auto" w:sz="4" w:space="0"/>
              <w:right w:val="single" w:color="auto" w:sz="4" w:space="0"/>
            </w:tcBorders>
            <w:vAlign w:val="center"/>
          </w:tcPr>
          <w:p>
            <w:pPr>
              <w:pStyle w:val="146"/>
              <w:spacing w:line="480" w:lineRule="exact"/>
              <w:jc w:val="center"/>
              <w:rPr>
                <w:sz w:val="22"/>
                <w:szCs w:val="22"/>
              </w:rPr>
            </w:pPr>
          </w:p>
        </w:tc>
        <w:tc>
          <w:tcPr>
            <w:tcW w:w="6239" w:type="dxa"/>
            <w:tcBorders>
              <w:top w:val="single" w:color="auto" w:sz="4" w:space="0"/>
              <w:left w:val="single" w:color="auto" w:sz="4" w:space="0"/>
              <w:bottom w:val="single" w:color="auto" w:sz="4" w:space="0"/>
              <w:right w:val="single" w:color="auto" w:sz="4" w:space="0"/>
            </w:tcBorders>
            <w:vAlign w:val="center"/>
          </w:tcPr>
          <w:p>
            <w:pPr>
              <w:pStyle w:val="146"/>
              <w:spacing w:line="480" w:lineRule="exact"/>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pStyle w:val="146"/>
              <w:spacing w:line="480" w:lineRule="exact"/>
              <w:jc w:val="center"/>
              <w:rPr>
                <w:sz w:val="22"/>
                <w:szCs w:val="22"/>
              </w:rPr>
            </w:pPr>
          </w:p>
        </w:tc>
        <w:tc>
          <w:tcPr>
            <w:tcW w:w="2541" w:type="dxa"/>
            <w:tcBorders>
              <w:top w:val="single" w:color="auto" w:sz="4" w:space="0"/>
              <w:left w:val="single" w:color="auto" w:sz="4" w:space="0"/>
              <w:bottom w:val="single" w:color="auto" w:sz="4" w:space="0"/>
              <w:right w:val="single" w:color="auto" w:sz="4" w:space="0"/>
            </w:tcBorders>
            <w:vAlign w:val="center"/>
          </w:tcPr>
          <w:p>
            <w:pPr>
              <w:pStyle w:val="146"/>
              <w:spacing w:line="480" w:lineRule="exact"/>
              <w:jc w:val="center"/>
              <w:rPr>
                <w:b/>
                <w:sz w:val="22"/>
                <w:szCs w:val="22"/>
              </w:rPr>
            </w:pPr>
          </w:p>
        </w:tc>
        <w:tc>
          <w:tcPr>
            <w:tcW w:w="6239" w:type="dxa"/>
            <w:tcBorders>
              <w:top w:val="single" w:color="auto" w:sz="4" w:space="0"/>
              <w:left w:val="single" w:color="auto" w:sz="4" w:space="0"/>
              <w:bottom w:val="single" w:color="auto" w:sz="4" w:space="0"/>
              <w:right w:val="single" w:color="auto" w:sz="4" w:space="0"/>
            </w:tcBorders>
            <w:vAlign w:val="center"/>
          </w:tcPr>
          <w:p>
            <w:pPr>
              <w:pStyle w:val="146"/>
              <w:spacing w:line="480" w:lineRule="exact"/>
              <w:jc w:val="center"/>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pStyle w:val="146"/>
              <w:spacing w:line="480" w:lineRule="exact"/>
              <w:jc w:val="center"/>
              <w:rPr>
                <w:sz w:val="22"/>
                <w:szCs w:val="22"/>
              </w:rPr>
            </w:pPr>
          </w:p>
        </w:tc>
        <w:tc>
          <w:tcPr>
            <w:tcW w:w="2541" w:type="dxa"/>
            <w:tcBorders>
              <w:top w:val="single" w:color="auto" w:sz="4" w:space="0"/>
              <w:left w:val="single" w:color="auto" w:sz="4" w:space="0"/>
              <w:bottom w:val="single" w:color="auto" w:sz="4" w:space="0"/>
              <w:right w:val="single" w:color="auto" w:sz="4" w:space="0"/>
            </w:tcBorders>
            <w:vAlign w:val="center"/>
          </w:tcPr>
          <w:p>
            <w:pPr>
              <w:pStyle w:val="146"/>
              <w:spacing w:line="480" w:lineRule="exact"/>
              <w:jc w:val="center"/>
              <w:rPr>
                <w:sz w:val="22"/>
                <w:szCs w:val="22"/>
              </w:rPr>
            </w:pPr>
          </w:p>
        </w:tc>
        <w:tc>
          <w:tcPr>
            <w:tcW w:w="6239" w:type="dxa"/>
            <w:tcBorders>
              <w:top w:val="single" w:color="auto" w:sz="4" w:space="0"/>
              <w:left w:val="single" w:color="auto" w:sz="4" w:space="0"/>
              <w:bottom w:val="single" w:color="auto" w:sz="4" w:space="0"/>
              <w:right w:val="single" w:color="auto" w:sz="4" w:space="0"/>
            </w:tcBorders>
            <w:vAlign w:val="center"/>
          </w:tcPr>
          <w:p>
            <w:pPr>
              <w:pStyle w:val="146"/>
              <w:spacing w:line="480" w:lineRule="exact"/>
              <w:jc w:val="center"/>
              <w:rPr>
                <w:sz w:val="22"/>
                <w:szCs w:val="22"/>
              </w:rPr>
            </w:pPr>
          </w:p>
        </w:tc>
      </w:tr>
    </w:tbl>
    <w:p>
      <w:pPr>
        <w:pStyle w:val="3"/>
        <w:spacing w:before="0" w:after="0" w:line="480" w:lineRule="exact"/>
        <w:rPr>
          <w:rFonts w:hint="eastAsia" w:ascii="宋体" w:hAnsi="宋体" w:cs="宋体"/>
          <w:b w:val="0"/>
          <w:sz w:val="22"/>
          <w:szCs w:val="22"/>
        </w:rPr>
      </w:pPr>
      <w:r>
        <w:rPr>
          <w:rFonts w:ascii="Times New Roman" w:hAnsi="Times New Roman" w:eastAsia="黑体"/>
          <w:b w:val="0"/>
        </w:rPr>
        <w:br w:type="page"/>
      </w:r>
      <w:bookmarkEnd w:id="10"/>
      <w:bookmarkEnd w:id="36"/>
      <w:bookmarkEnd w:id="37"/>
      <w:bookmarkEnd w:id="38"/>
      <w:bookmarkStart w:id="41" w:name="_Toc144974497"/>
      <w:bookmarkStart w:id="42" w:name="_Toc26781053"/>
      <w:bookmarkStart w:id="43" w:name="_Toc152042305"/>
      <w:bookmarkStart w:id="44" w:name="_Toc179632546"/>
      <w:bookmarkStart w:id="45" w:name="_Toc152045529"/>
      <w:r>
        <w:rPr>
          <w:rFonts w:hint="eastAsia" w:ascii="宋体" w:hAnsi="宋体" w:cs="宋体"/>
          <w:bCs w:val="0"/>
          <w:sz w:val="22"/>
          <w:szCs w:val="22"/>
        </w:rPr>
        <w:t>1. 总则</w:t>
      </w:r>
      <w:bookmarkEnd w:id="41"/>
      <w:bookmarkEnd w:id="42"/>
      <w:bookmarkEnd w:id="43"/>
      <w:bookmarkEnd w:id="44"/>
      <w:bookmarkEnd w:id="45"/>
    </w:p>
    <w:p>
      <w:pPr>
        <w:pStyle w:val="4"/>
        <w:spacing w:before="0" w:after="0" w:line="480" w:lineRule="exact"/>
        <w:ind w:firstLine="440" w:firstLineChars="200"/>
        <w:rPr>
          <w:rFonts w:hint="eastAsia" w:ascii="宋体" w:hAnsi="宋体" w:eastAsia="宋体" w:cs="宋体"/>
          <w:snapToGrid w:val="0"/>
          <w:sz w:val="22"/>
          <w:szCs w:val="22"/>
          <w:shd w:val="clear" w:color="auto" w:fill="FFFFFF"/>
          <w:lang w:val="zh-CN"/>
        </w:rPr>
      </w:pPr>
      <w:bookmarkStart w:id="46" w:name="_Toc152045530"/>
      <w:bookmarkStart w:id="47" w:name="_Toc179632547"/>
      <w:bookmarkStart w:id="48" w:name="_Toc144974498"/>
      <w:bookmarkStart w:id="49" w:name="_Toc152042306"/>
      <w:r>
        <w:rPr>
          <w:rFonts w:hint="eastAsia" w:ascii="宋体" w:hAnsi="宋体" w:eastAsia="宋体" w:cs="宋体"/>
          <w:snapToGrid w:val="0"/>
          <w:sz w:val="22"/>
          <w:szCs w:val="22"/>
          <w:shd w:val="clear" w:color="auto" w:fill="FFFFFF"/>
          <w:lang w:val="zh-CN"/>
        </w:rPr>
        <w:t>1.1 项目概况</w:t>
      </w:r>
      <w:bookmarkEnd w:id="46"/>
      <w:bookmarkEnd w:id="47"/>
      <w:bookmarkEnd w:id="48"/>
      <w:bookmarkEnd w:id="49"/>
    </w:p>
    <w:p>
      <w:pPr>
        <w:spacing w:line="480" w:lineRule="exact"/>
        <w:ind w:firstLine="440" w:firstLineChars="200"/>
        <w:rPr>
          <w:rFonts w:hint="eastAsia" w:ascii="宋体" w:hAnsi="宋体" w:cs="宋体"/>
          <w:color w:val="000000"/>
          <w:sz w:val="22"/>
          <w:szCs w:val="22"/>
        </w:rPr>
      </w:pPr>
      <w:r>
        <w:rPr>
          <w:rFonts w:hint="eastAsia" w:ascii="宋体" w:hAnsi="宋体" w:cs="宋体"/>
          <w:sz w:val="22"/>
          <w:szCs w:val="22"/>
        </w:rPr>
        <w:t>1.1.1根据《中华人民共和国招标投标法》《中华人民共和国招标投标法实施条例》等有关</w:t>
      </w:r>
      <w:r>
        <w:rPr>
          <w:rFonts w:hint="eastAsia" w:ascii="宋体" w:hAnsi="宋体" w:cs="宋体"/>
          <w:sz w:val="22"/>
          <w:szCs w:val="22"/>
          <w:lang w:eastAsia="zh-CN"/>
        </w:rPr>
        <w:t>法律法规</w:t>
      </w:r>
      <w:r>
        <w:rPr>
          <w:rFonts w:hint="eastAsia" w:ascii="宋体" w:hAnsi="宋体" w:cs="宋体"/>
          <w:sz w:val="22"/>
          <w:szCs w:val="22"/>
        </w:rPr>
        <w:t>和规章的规定，本招标项目已具备招标条件，</w:t>
      </w:r>
      <w:r>
        <w:rPr>
          <w:rFonts w:hint="eastAsia" w:ascii="宋体" w:hAnsi="宋体" w:cs="宋体"/>
          <w:color w:val="000000"/>
          <w:sz w:val="22"/>
          <w:szCs w:val="22"/>
        </w:rPr>
        <w:t>现对本标段货物采购进行招标。</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1.1.2 本招标项目招标人：见投标人须知前附表。</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1.1.3 本标段招标代理机构：见投标人须知前附表。</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1.1.4 本招标项目名称：见投标人须知前附表。</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1.1.5 本标段建设地点：见投标人须知前附表。</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1.1.6工程项目名称：即招标项目所属的工程建设项目，见投标人须知前附表。</w:t>
      </w:r>
    </w:p>
    <w:p>
      <w:pPr>
        <w:pStyle w:val="4"/>
        <w:spacing w:before="0" w:after="0" w:line="480" w:lineRule="exact"/>
        <w:ind w:firstLine="440" w:firstLineChars="200"/>
        <w:rPr>
          <w:rFonts w:hint="eastAsia" w:ascii="宋体" w:hAnsi="宋体" w:eastAsia="宋体" w:cs="宋体"/>
          <w:sz w:val="22"/>
          <w:szCs w:val="22"/>
        </w:rPr>
      </w:pPr>
      <w:bookmarkStart w:id="50" w:name="_Toc152042307"/>
      <w:bookmarkStart w:id="51" w:name="_Toc152045531"/>
      <w:bookmarkStart w:id="52" w:name="_Toc179632548"/>
      <w:bookmarkStart w:id="53" w:name="_Toc144974499"/>
      <w:r>
        <w:rPr>
          <w:rFonts w:hint="eastAsia" w:ascii="宋体" w:hAnsi="宋体" w:eastAsia="宋体" w:cs="宋体"/>
          <w:sz w:val="22"/>
          <w:szCs w:val="22"/>
        </w:rPr>
        <w:t>1.2 资金来源和落实情况</w:t>
      </w:r>
      <w:bookmarkEnd w:id="50"/>
      <w:bookmarkEnd w:id="51"/>
      <w:bookmarkEnd w:id="52"/>
      <w:bookmarkEnd w:id="53"/>
    </w:p>
    <w:p>
      <w:pPr>
        <w:spacing w:line="480" w:lineRule="exact"/>
        <w:ind w:firstLine="440" w:firstLineChars="200"/>
        <w:rPr>
          <w:rFonts w:hint="eastAsia" w:ascii="宋体" w:hAnsi="宋体" w:cs="宋体"/>
          <w:sz w:val="22"/>
          <w:szCs w:val="22"/>
        </w:rPr>
      </w:pPr>
      <w:r>
        <w:rPr>
          <w:rFonts w:hint="eastAsia" w:ascii="宋体" w:hAnsi="宋体" w:cs="宋体"/>
          <w:sz w:val="22"/>
          <w:szCs w:val="22"/>
        </w:rPr>
        <w:t>1.2.1 本招标项目的资金来源：见投标人须知前附表。</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1.2.2 本招标项目的出资比例：见投标人须知前附表。</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1.2.3 本招标项目的资金落实情况：见投标人须知前附表。</w:t>
      </w:r>
    </w:p>
    <w:p>
      <w:pPr>
        <w:pStyle w:val="4"/>
        <w:spacing w:before="0" w:after="0" w:line="480" w:lineRule="exact"/>
        <w:ind w:firstLine="440" w:firstLineChars="200"/>
        <w:rPr>
          <w:rFonts w:hint="eastAsia" w:ascii="宋体" w:hAnsi="宋体" w:eastAsia="宋体" w:cs="宋体"/>
          <w:sz w:val="22"/>
          <w:szCs w:val="22"/>
        </w:rPr>
      </w:pPr>
      <w:bookmarkStart w:id="54" w:name="_Toc152042308"/>
      <w:bookmarkStart w:id="55" w:name="_Toc179632549"/>
      <w:bookmarkStart w:id="56" w:name="_Toc144974500"/>
      <w:bookmarkStart w:id="57" w:name="_Toc152045532"/>
      <w:r>
        <w:rPr>
          <w:rFonts w:hint="eastAsia" w:ascii="宋体" w:hAnsi="宋体" w:eastAsia="宋体" w:cs="宋体"/>
          <w:sz w:val="22"/>
          <w:szCs w:val="22"/>
        </w:rPr>
        <w:t xml:space="preserve">1.3 </w:t>
      </w:r>
      <w:bookmarkEnd w:id="54"/>
      <w:bookmarkEnd w:id="55"/>
      <w:bookmarkEnd w:id="56"/>
      <w:bookmarkEnd w:id="57"/>
      <w:r>
        <w:rPr>
          <w:rFonts w:hint="eastAsia" w:ascii="宋体" w:hAnsi="宋体" w:eastAsia="宋体" w:cs="宋体"/>
          <w:sz w:val="22"/>
          <w:szCs w:val="22"/>
        </w:rPr>
        <w:t xml:space="preserve"> 招标范围、交货及安装周期、交货及安装地点和技术性能指标</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1.3.1 本次招标范围：见投标人须知前附表。</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1.3.2交货及安装周期：见投标人须知前附表。</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1.3.3 交货及安装地点：见投标人须知前附表。</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1.3.4 技术性能指标：见投标人须知前附表。</w:t>
      </w:r>
    </w:p>
    <w:p>
      <w:pPr>
        <w:pStyle w:val="4"/>
        <w:spacing w:before="0" w:after="0" w:line="480" w:lineRule="exact"/>
        <w:ind w:firstLine="440" w:firstLineChars="200"/>
        <w:rPr>
          <w:rFonts w:hint="eastAsia" w:ascii="宋体" w:hAnsi="宋体" w:eastAsia="宋体" w:cs="宋体"/>
          <w:sz w:val="22"/>
          <w:szCs w:val="22"/>
        </w:rPr>
      </w:pPr>
      <w:bookmarkStart w:id="58" w:name="_Toc179632551"/>
      <w:bookmarkStart w:id="59" w:name="_Toc152042310"/>
      <w:bookmarkStart w:id="60" w:name="_Toc152045534"/>
      <w:bookmarkStart w:id="61" w:name="_Toc144974502"/>
      <w:r>
        <w:rPr>
          <w:rFonts w:hint="eastAsia" w:ascii="宋体" w:hAnsi="宋体" w:eastAsia="宋体" w:cs="宋体"/>
          <w:sz w:val="22"/>
          <w:szCs w:val="22"/>
        </w:rPr>
        <w:t>1.4 投标人资格要求</w:t>
      </w:r>
      <w:bookmarkEnd w:id="58"/>
      <w:bookmarkEnd w:id="59"/>
      <w:bookmarkEnd w:id="60"/>
      <w:bookmarkEnd w:id="61"/>
    </w:p>
    <w:p>
      <w:pPr>
        <w:spacing w:line="480" w:lineRule="exact"/>
        <w:ind w:firstLine="440" w:firstLineChars="200"/>
        <w:rPr>
          <w:rFonts w:hint="eastAsia" w:ascii="宋体" w:hAnsi="宋体" w:cs="宋体"/>
          <w:sz w:val="22"/>
          <w:szCs w:val="22"/>
        </w:rPr>
      </w:pPr>
      <w:r>
        <w:rPr>
          <w:rFonts w:hint="eastAsia" w:ascii="宋体" w:hAnsi="宋体" w:cs="宋体"/>
          <w:sz w:val="22"/>
          <w:szCs w:val="22"/>
        </w:rPr>
        <w:t>1.4.1投标人应具备承担本招标项目的资质条件、能力和信誉：</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 xml:space="preserve">（1）资质要求：见投标人须知前附表； </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（2）财务要求：见投标人须知前附表；</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（3）业绩要求：见投标人须知前附表；</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（4）信誉要求：见投标人须知前附表；</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（5）其他要求：见投标人须知前附表。</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sz w:val="22"/>
          <w:szCs w:val="22"/>
        </w:rPr>
        <w:t>投标人为代理经销商的，对投标人的资质要求</w:t>
      </w:r>
      <w:r>
        <w:rPr>
          <w:rFonts w:hint="eastAsia" w:ascii="宋体" w:hAnsi="宋体" w:cs="宋体"/>
          <w:bCs/>
          <w:snapToGrid w:val="0"/>
          <w:color w:val="000000"/>
          <w:kern w:val="0"/>
          <w:sz w:val="22"/>
          <w:szCs w:val="22"/>
        </w:rPr>
        <w:t>可</w:t>
      </w:r>
      <w:r>
        <w:rPr>
          <w:rFonts w:hint="eastAsia" w:ascii="宋体" w:hAnsi="宋体" w:cs="宋体"/>
          <w:sz w:val="22"/>
          <w:szCs w:val="22"/>
        </w:rPr>
        <w:t>包含对制造商的资质要求，对投标人的业绩要求</w:t>
      </w:r>
      <w:r>
        <w:rPr>
          <w:rFonts w:hint="eastAsia" w:ascii="宋体" w:hAnsi="宋体" w:cs="宋体"/>
          <w:bCs/>
          <w:snapToGrid w:val="0"/>
          <w:color w:val="000000"/>
          <w:kern w:val="0"/>
          <w:sz w:val="22"/>
          <w:szCs w:val="22"/>
        </w:rPr>
        <w:t>可</w:t>
      </w:r>
      <w:r>
        <w:rPr>
          <w:rFonts w:hint="eastAsia" w:ascii="宋体" w:hAnsi="宋体" w:cs="宋体"/>
          <w:sz w:val="22"/>
          <w:szCs w:val="22"/>
        </w:rPr>
        <w:t>包含对投标货物的业绩要求。</w:t>
      </w:r>
      <w:r>
        <w:rPr>
          <w:rFonts w:hint="eastAsia" w:ascii="宋体" w:hAnsi="宋体" w:cs="宋体"/>
          <w:bCs/>
          <w:snapToGrid w:val="0"/>
          <w:color w:val="000000"/>
          <w:kern w:val="0"/>
          <w:sz w:val="22"/>
          <w:szCs w:val="22"/>
        </w:rPr>
        <w:t>需要提交的相关证明材料见本章第3.5款的规定。</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1.4.2 投标人须知前附表规定接受联合体投标的，</w:t>
      </w:r>
      <w:r>
        <w:rPr>
          <w:rFonts w:hint="eastAsia" w:ascii="宋体" w:hAnsi="宋体" w:cs="宋体"/>
          <w:bCs/>
          <w:snapToGrid w:val="0"/>
          <w:color w:val="000000"/>
          <w:kern w:val="0"/>
          <w:sz w:val="22"/>
          <w:szCs w:val="22"/>
        </w:rPr>
        <w:t>联合体</w:t>
      </w:r>
      <w:r>
        <w:rPr>
          <w:rFonts w:hint="eastAsia" w:ascii="宋体" w:hAnsi="宋体" w:cs="宋体"/>
          <w:sz w:val="22"/>
          <w:szCs w:val="22"/>
        </w:rPr>
        <w:t>除应符合本章第1.4.1项和投标人须知前附表的要求外，还应遵守以下规定：</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（1）联合体各方应按招标文件提供的格式签订联合体协议书，明确联合体牵头人和各方权利义务</w:t>
      </w:r>
      <w:r>
        <w:rPr>
          <w:rFonts w:hint="eastAsia" w:ascii="宋体" w:hAnsi="宋体" w:cs="宋体"/>
          <w:bCs/>
          <w:snapToGrid w:val="0"/>
          <w:color w:val="000000"/>
          <w:kern w:val="0"/>
          <w:sz w:val="22"/>
          <w:szCs w:val="22"/>
        </w:rPr>
        <w:t>，并承诺就中标项目向招标人承担连带责任</w:t>
      </w:r>
      <w:r>
        <w:rPr>
          <w:rFonts w:hint="eastAsia" w:ascii="宋体" w:hAnsi="宋体" w:cs="宋体"/>
          <w:sz w:val="22"/>
          <w:szCs w:val="22"/>
        </w:rPr>
        <w:t xml:space="preserve">； </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（2）由同一专业的单位组成的联合体，按照资质等级较低的单位确定资质等级；</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（3）联合体各方不得再以自己名义单独或参加其他联合体在同一标段中投标。</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4）联合体各方应分别按照本招标文件的要求，填写投标文件中的相应表格，并由联合体牵头人负责对联合体各成员的资料进行统一汇总后一并提交给招标人；联合体牵头人所提交的投标文件应被认为已代表了联合体各成员的真实情况；</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（5）尽管</w:t>
      </w:r>
      <w:r>
        <w:rPr>
          <w:rFonts w:hint="eastAsia" w:ascii="宋体" w:hAnsi="宋体" w:cs="宋体"/>
          <w:bCs/>
          <w:snapToGrid w:val="0"/>
          <w:color w:val="000000"/>
          <w:kern w:val="0"/>
          <w:sz w:val="22"/>
          <w:szCs w:val="22"/>
          <w:lang w:eastAsia="zh-CN"/>
        </w:rPr>
        <w:t>委派</w:t>
      </w:r>
      <w:r>
        <w:rPr>
          <w:rFonts w:hint="eastAsia" w:ascii="宋体" w:hAnsi="宋体" w:cs="宋体"/>
          <w:bCs/>
          <w:snapToGrid w:val="0"/>
          <w:color w:val="000000"/>
          <w:kern w:val="0"/>
          <w:sz w:val="22"/>
          <w:szCs w:val="22"/>
        </w:rPr>
        <w:t>了联合体牵头人，但联合体各成员在投标、签约与履行合同过程中，仍负有连带的和各自的法律责任。</w:t>
      </w:r>
    </w:p>
    <w:p>
      <w:pPr>
        <w:spacing w:line="480" w:lineRule="exact"/>
        <w:ind w:firstLine="440" w:firstLineChars="200"/>
        <w:rPr>
          <w:rFonts w:hint="eastAsia" w:ascii="宋体" w:hAnsi="宋体" w:cs="宋体"/>
          <w:snapToGrid w:val="0"/>
          <w:color w:val="000000"/>
          <w:kern w:val="0"/>
          <w:sz w:val="22"/>
          <w:szCs w:val="22"/>
        </w:rPr>
      </w:pPr>
      <w:r>
        <w:rPr>
          <w:rFonts w:hint="eastAsia" w:ascii="宋体" w:hAnsi="宋体" w:cs="宋体"/>
          <w:snapToGrid w:val="0"/>
          <w:color w:val="000000"/>
          <w:kern w:val="0"/>
          <w:sz w:val="22"/>
          <w:szCs w:val="22"/>
          <w:shd w:val="clear" w:color="auto" w:fill="FFFFFF"/>
        </w:rPr>
        <w:t xml:space="preserve">1.4.3 </w:t>
      </w:r>
      <w:r>
        <w:rPr>
          <w:rFonts w:hint="eastAsia" w:ascii="宋体" w:hAnsi="宋体" w:cs="宋体"/>
          <w:snapToGrid w:val="0"/>
          <w:color w:val="000000"/>
          <w:kern w:val="0"/>
          <w:sz w:val="22"/>
          <w:szCs w:val="22"/>
          <w:shd w:val="clear" w:color="auto" w:fill="FFFFFF"/>
          <w:lang w:val="zh-CN"/>
        </w:rPr>
        <w:t>投标人（包括联合体各成员</w:t>
      </w:r>
      <w:r>
        <w:rPr>
          <w:rFonts w:hint="eastAsia" w:ascii="宋体" w:hAnsi="宋体" w:cs="宋体"/>
          <w:snapToGrid w:val="0"/>
          <w:color w:val="000000"/>
          <w:kern w:val="0"/>
          <w:sz w:val="22"/>
          <w:szCs w:val="22"/>
          <w:shd w:val="clear" w:color="auto" w:fill="FFFFFF"/>
        </w:rPr>
        <w:t>）</w:t>
      </w:r>
      <w:r>
        <w:rPr>
          <w:rFonts w:hint="eastAsia" w:ascii="宋体" w:hAnsi="宋体" w:cs="宋体"/>
          <w:snapToGrid w:val="0"/>
          <w:color w:val="000000"/>
          <w:kern w:val="0"/>
          <w:sz w:val="22"/>
          <w:szCs w:val="22"/>
          <w:shd w:val="clear" w:color="auto" w:fill="FFFFFF"/>
          <w:lang w:val="zh-CN"/>
        </w:rPr>
        <w:t>不得与本标段相关单位存在下列关联关系：</w:t>
      </w:r>
      <w:r>
        <w:rPr>
          <w:rFonts w:hint="eastAsia" w:ascii="宋体" w:hAnsi="宋体" w:cs="宋体"/>
          <w:snapToGrid w:val="0"/>
          <w:color w:val="000000"/>
          <w:kern w:val="0"/>
          <w:sz w:val="22"/>
          <w:szCs w:val="22"/>
        </w:rPr>
        <w:t xml:space="preserve"> </w:t>
      </w:r>
    </w:p>
    <w:p>
      <w:pPr>
        <w:tabs>
          <w:tab w:val="left" w:pos="1046"/>
        </w:tabs>
        <w:spacing w:line="480" w:lineRule="exact"/>
        <w:ind w:firstLine="440" w:firstLineChars="200"/>
        <w:rPr>
          <w:rFonts w:hint="eastAsia" w:ascii="宋体" w:hAnsi="宋体" w:cs="宋体"/>
          <w:snapToGrid w:val="0"/>
          <w:kern w:val="0"/>
          <w:sz w:val="22"/>
          <w:szCs w:val="22"/>
        </w:rPr>
      </w:pPr>
      <w:r>
        <w:rPr>
          <w:rFonts w:hint="eastAsia" w:ascii="宋体" w:hAnsi="宋体" w:cs="宋体"/>
          <w:snapToGrid w:val="0"/>
          <w:kern w:val="0"/>
          <w:sz w:val="22"/>
          <w:szCs w:val="22"/>
          <w:shd w:val="clear" w:color="auto" w:fill="FFFFFF"/>
          <w:lang w:val="zh-CN"/>
        </w:rPr>
        <w:t>（1）为招标人不具有独立法人资格的附属机构（单位</w:t>
      </w:r>
      <w:r>
        <w:rPr>
          <w:rFonts w:hint="eastAsia" w:ascii="宋体" w:hAnsi="宋体" w:cs="宋体"/>
          <w:snapToGrid w:val="0"/>
          <w:kern w:val="0"/>
          <w:sz w:val="22"/>
          <w:szCs w:val="22"/>
          <w:shd w:val="clear" w:color="auto" w:fill="FFFFFF"/>
        </w:rPr>
        <w:t>）；</w:t>
      </w:r>
      <w:r>
        <w:rPr>
          <w:rFonts w:hint="eastAsia" w:ascii="宋体" w:hAnsi="宋体" w:cs="宋体"/>
          <w:snapToGrid w:val="0"/>
          <w:kern w:val="0"/>
          <w:sz w:val="22"/>
          <w:szCs w:val="22"/>
        </w:rPr>
        <w:t xml:space="preserve"> </w:t>
      </w:r>
    </w:p>
    <w:p>
      <w:pPr>
        <w:tabs>
          <w:tab w:val="left" w:pos="1046"/>
        </w:tabs>
        <w:spacing w:line="480" w:lineRule="exact"/>
        <w:ind w:firstLine="440" w:firstLineChars="200"/>
        <w:rPr>
          <w:rFonts w:hint="eastAsia" w:ascii="宋体" w:hAnsi="宋体" w:cs="宋体"/>
          <w:snapToGrid w:val="0"/>
          <w:color w:val="000000"/>
          <w:kern w:val="0"/>
          <w:sz w:val="22"/>
          <w:szCs w:val="22"/>
        </w:rPr>
      </w:pPr>
      <w:r>
        <w:rPr>
          <w:rFonts w:hint="eastAsia" w:ascii="宋体" w:hAnsi="宋体" w:cs="宋体"/>
          <w:snapToGrid w:val="0"/>
          <w:color w:val="000000"/>
          <w:kern w:val="0"/>
          <w:sz w:val="22"/>
          <w:szCs w:val="22"/>
          <w:shd w:val="clear" w:color="auto" w:fill="FFFFFF"/>
          <w:lang w:val="zh-CN"/>
        </w:rPr>
        <w:t>（2）与招标人存在利害关系且可能影响招标公正性；</w:t>
      </w:r>
    </w:p>
    <w:p>
      <w:pPr>
        <w:tabs>
          <w:tab w:val="left" w:pos="1046"/>
        </w:tabs>
        <w:spacing w:line="480" w:lineRule="exact"/>
        <w:ind w:firstLine="440" w:firstLineChars="200"/>
        <w:rPr>
          <w:rFonts w:hint="eastAsia" w:ascii="宋体" w:hAnsi="宋体" w:cs="宋体"/>
          <w:snapToGrid w:val="0"/>
          <w:color w:val="000000"/>
          <w:kern w:val="0"/>
          <w:sz w:val="22"/>
          <w:szCs w:val="22"/>
        </w:rPr>
      </w:pPr>
      <w:r>
        <w:rPr>
          <w:rFonts w:hint="eastAsia" w:ascii="宋体" w:hAnsi="宋体" w:cs="宋体"/>
          <w:snapToGrid w:val="0"/>
          <w:color w:val="000000"/>
          <w:kern w:val="0"/>
          <w:sz w:val="22"/>
          <w:szCs w:val="22"/>
          <w:shd w:val="clear" w:color="auto" w:fill="FFFFFF"/>
          <w:lang w:val="zh-CN"/>
        </w:rPr>
        <w:t>（3）与本标段的其他投标人同为一个单位负责人；</w:t>
      </w:r>
    </w:p>
    <w:p>
      <w:pPr>
        <w:tabs>
          <w:tab w:val="left" w:pos="1046"/>
        </w:tabs>
        <w:spacing w:line="480" w:lineRule="exact"/>
        <w:ind w:firstLine="440" w:firstLineChars="200"/>
        <w:rPr>
          <w:rFonts w:hint="eastAsia" w:ascii="宋体" w:hAnsi="宋体" w:cs="宋体"/>
          <w:snapToGrid w:val="0"/>
          <w:color w:val="000000"/>
          <w:kern w:val="0"/>
          <w:sz w:val="22"/>
          <w:szCs w:val="22"/>
          <w:shd w:val="clear" w:color="auto" w:fill="FFFFFF"/>
          <w:lang w:val="zh-CN"/>
        </w:rPr>
      </w:pPr>
      <w:r>
        <w:rPr>
          <w:rFonts w:hint="eastAsia" w:ascii="宋体" w:hAnsi="宋体" w:cs="宋体"/>
          <w:snapToGrid w:val="0"/>
          <w:color w:val="000000"/>
          <w:kern w:val="0"/>
          <w:sz w:val="22"/>
          <w:szCs w:val="22"/>
          <w:shd w:val="clear" w:color="auto" w:fill="FFFFFF"/>
          <w:lang w:val="zh-CN"/>
        </w:rPr>
        <w:t>（4）与本标段的其他投标人存在控股、管理关系；</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 xml:space="preserve">（5）为本标段前期准备提供过设计、编制技术规范和其他文件的咨询服务； </w:t>
      </w:r>
    </w:p>
    <w:p>
      <w:pPr>
        <w:spacing w:line="480" w:lineRule="exact"/>
        <w:ind w:firstLine="440" w:firstLineChars="200"/>
        <w:rPr>
          <w:rFonts w:hint="eastAsia" w:ascii="宋体" w:hAnsi="宋体" w:cs="宋体"/>
          <w:snapToGrid w:val="0"/>
          <w:kern w:val="0"/>
          <w:sz w:val="22"/>
          <w:szCs w:val="22"/>
          <w:shd w:val="clear" w:color="auto" w:fill="FFFFFF"/>
          <w:lang w:val="zh-CN"/>
        </w:rPr>
      </w:pPr>
      <w:r>
        <w:rPr>
          <w:rFonts w:hint="eastAsia" w:ascii="宋体" w:hAnsi="宋体" w:cs="宋体"/>
          <w:sz w:val="22"/>
          <w:szCs w:val="22"/>
        </w:rPr>
        <w:t xml:space="preserve">（6）为本工程项目的监理人，或者与本工程项目的监理人存在隶属关系或者其他利害关系； </w:t>
      </w:r>
    </w:p>
    <w:p>
      <w:pPr>
        <w:spacing w:line="480" w:lineRule="exact"/>
        <w:ind w:firstLine="440" w:firstLineChars="200"/>
        <w:rPr>
          <w:rFonts w:hint="eastAsia" w:ascii="宋体" w:hAnsi="宋体" w:cs="宋体"/>
          <w:snapToGrid w:val="0"/>
          <w:kern w:val="0"/>
          <w:sz w:val="22"/>
          <w:szCs w:val="22"/>
        </w:rPr>
      </w:pPr>
      <w:r>
        <w:rPr>
          <w:rFonts w:hint="eastAsia" w:ascii="宋体" w:hAnsi="宋体" w:cs="宋体"/>
          <w:snapToGrid w:val="0"/>
          <w:kern w:val="0"/>
          <w:sz w:val="22"/>
          <w:szCs w:val="22"/>
          <w:shd w:val="clear" w:color="auto" w:fill="FFFFFF"/>
          <w:lang w:val="zh-CN"/>
        </w:rPr>
        <w:t>（7）为本标段的代建人；</w:t>
      </w:r>
    </w:p>
    <w:p>
      <w:pPr>
        <w:tabs>
          <w:tab w:val="left" w:pos="1046"/>
        </w:tabs>
        <w:spacing w:line="480" w:lineRule="exact"/>
        <w:ind w:firstLine="440" w:firstLineChars="200"/>
        <w:rPr>
          <w:rFonts w:hint="eastAsia" w:ascii="宋体" w:hAnsi="宋体" w:cs="宋体"/>
          <w:snapToGrid w:val="0"/>
          <w:kern w:val="0"/>
          <w:sz w:val="22"/>
          <w:szCs w:val="22"/>
        </w:rPr>
      </w:pPr>
      <w:r>
        <w:rPr>
          <w:rFonts w:hint="eastAsia" w:ascii="宋体" w:hAnsi="宋体" w:cs="宋体"/>
          <w:snapToGrid w:val="0"/>
          <w:kern w:val="0"/>
          <w:sz w:val="22"/>
          <w:szCs w:val="22"/>
          <w:shd w:val="clear" w:color="auto" w:fill="FFFFFF"/>
          <w:lang w:val="zh-CN"/>
        </w:rPr>
        <w:t>（8）为本标段的招标代理机构；</w:t>
      </w:r>
    </w:p>
    <w:p>
      <w:pPr>
        <w:tabs>
          <w:tab w:val="left" w:pos="1046"/>
        </w:tabs>
        <w:spacing w:line="480" w:lineRule="exact"/>
        <w:ind w:firstLine="440" w:firstLineChars="200"/>
        <w:rPr>
          <w:rFonts w:hint="eastAsia" w:ascii="宋体" w:hAnsi="宋体" w:cs="宋体"/>
          <w:snapToGrid w:val="0"/>
          <w:kern w:val="0"/>
          <w:sz w:val="22"/>
          <w:szCs w:val="22"/>
        </w:rPr>
      </w:pPr>
      <w:r>
        <w:rPr>
          <w:rFonts w:hint="eastAsia" w:ascii="宋体" w:hAnsi="宋体" w:cs="宋体"/>
          <w:snapToGrid w:val="0"/>
          <w:kern w:val="0"/>
          <w:sz w:val="22"/>
          <w:szCs w:val="22"/>
          <w:shd w:val="clear" w:color="auto" w:fill="FFFFFF"/>
          <w:lang w:val="zh-CN"/>
        </w:rPr>
        <w:t>（9）与本标段的监理人或代建人或招标代理机构同为一个法定代表人；</w:t>
      </w:r>
    </w:p>
    <w:p>
      <w:pPr>
        <w:tabs>
          <w:tab w:val="left" w:pos="1169"/>
        </w:tabs>
        <w:spacing w:line="480" w:lineRule="exact"/>
        <w:ind w:firstLine="440" w:firstLineChars="200"/>
        <w:rPr>
          <w:rFonts w:hint="eastAsia" w:ascii="宋体" w:hAnsi="宋体" w:cs="宋体"/>
          <w:snapToGrid w:val="0"/>
          <w:color w:val="000000"/>
          <w:kern w:val="0"/>
          <w:sz w:val="22"/>
          <w:szCs w:val="22"/>
          <w:shd w:val="clear" w:color="auto" w:fill="FFFFFF"/>
          <w:lang w:val="zh-CN"/>
        </w:rPr>
      </w:pPr>
      <w:r>
        <w:rPr>
          <w:rFonts w:hint="eastAsia" w:ascii="宋体" w:hAnsi="宋体" w:cs="宋体"/>
          <w:snapToGrid w:val="0"/>
          <w:color w:val="000000"/>
          <w:kern w:val="0"/>
          <w:sz w:val="22"/>
          <w:szCs w:val="22"/>
          <w:shd w:val="clear" w:color="auto" w:fill="FFFFFF"/>
          <w:lang w:val="zh-CN"/>
        </w:rPr>
        <w:t>（10）与本标段的监理人或代建人或招标代理机构存在控股或参股关系；</w:t>
      </w:r>
    </w:p>
    <w:p>
      <w:pPr>
        <w:tabs>
          <w:tab w:val="left" w:pos="1169"/>
        </w:tabs>
        <w:spacing w:line="480" w:lineRule="exact"/>
        <w:ind w:firstLine="440" w:firstLineChars="200"/>
        <w:rPr>
          <w:rFonts w:hint="eastAsia" w:ascii="宋体" w:hAnsi="宋体" w:cs="宋体"/>
          <w:snapToGrid w:val="0"/>
          <w:color w:val="000000"/>
          <w:kern w:val="0"/>
          <w:sz w:val="22"/>
          <w:szCs w:val="22"/>
        </w:rPr>
      </w:pPr>
      <w:r>
        <w:rPr>
          <w:rFonts w:hint="eastAsia" w:ascii="宋体" w:hAnsi="宋体" w:cs="宋体"/>
          <w:snapToGrid w:val="0"/>
          <w:color w:val="000000"/>
          <w:kern w:val="0"/>
          <w:sz w:val="22"/>
          <w:szCs w:val="22"/>
          <w:shd w:val="clear" w:color="auto" w:fill="FFFFFF"/>
          <w:lang w:val="zh-CN"/>
        </w:rPr>
        <w:t>（11）法律法规或投标人须知前附表规定的其他情形。</w:t>
      </w:r>
    </w:p>
    <w:p>
      <w:pPr>
        <w:tabs>
          <w:tab w:val="left" w:pos="3828"/>
        </w:tabs>
        <w:spacing w:line="480" w:lineRule="exact"/>
        <w:ind w:firstLine="440" w:firstLineChars="200"/>
        <w:rPr>
          <w:rFonts w:hint="eastAsia" w:ascii="宋体" w:hAnsi="宋体" w:cs="宋体"/>
          <w:snapToGrid w:val="0"/>
          <w:color w:val="000000"/>
          <w:kern w:val="0"/>
          <w:sz w:val="22"/>
          <w:szCs w:val="22"/>
        </w:rPr>
      </w:pPr>
      <w:r>
        <w:rPr>
          <w:rFonts w:hint="eastAsia" w:ascii="宋体" w:hAnsi="宋体" w:cs="宋体"/>
          <w:bCs/>
          <w:snapToGrid w:val="0"/>
          <w:color w:val="000000"/>
          <w:kern w:val="0"/>
          <w:sz w:val="22"/>
          <w:szCs w:val="22"/>
        </w:rPr>
        <w:t>1.4.4 投标人（包括联合体各成员）不得存在下列不良状况或不良信用记录：</w:t>
      </w:r>
      <w:r>
        <w:rPr>
          <w:rFonts w:hint="eastAsia" w:ascii="宋体" w:hAnsi="宋体" w:cs="宋体"/>
          <w:snapToGrid w:val="0"/>
          <w:color w:val="000000"/>
          <w:kern w:val="0"/>
          <w:sz w:val="22"/>
          <w:szCs w:val="22"/>
        </w:rPr>
        <w:t xml:space="preserve"> </w:t>
      </w:r>
    </w:p>
    <w:p>
      <w:pPr>
        <w:tabs>
          <w:tab w:val="left" w:pos="1046"/>
        </w:tabs>
        <w:spacing w:line="480" w:lineRule="exact"/>
        <w:ind w:firstLine="440" w:firstLineChars="200"/>
        <w:rPr>
          <w:rFonts w:hint="eastAsia" w:ascii="宋体" w:hAnsi="宋体" w:cs="宋体"/>
          <w:snapToGrid w:val="0"/>
          <w:color w:val="000000"/>
          <w:kern w:val="0"/>
          <w:sz w:val="22"/>
          <w:szCs w:val="22"/>
          <w:shd w:val="clear" w:color="auto" w:fill="FFFFFF"/>
          <w:lang w:val="zh-CN"/>
        </w:rPr>
      </w:pPr>
      <w:r>
        <w:rPr>
          <w:rFonts w:hint="eastAsia" w:ascii="宋体" w:hAnsi="宋体" w:cs="宋体"/>
          <w:snapToGrid w:val="0"/>
          <w:color w:val="000000"/>
          <w:kern w:val="0"/>
          <w:sz w:val="22"/>
          <w:szCs w:val="22"/>
          <w:shd w:val="clear" w:color="auto" w:fill="FFFFFF"/>
          <w:lang w:val="zh-CN"/>
        </w:rPr>
        <w:t>（1）被设区的市级及以上建设行政主管部门/房屋建筑和市政基础设施工程招标投标活动的监</w:t>
      </w:r>
    </w:p>
    <w:p>
      <w:pPr>
        <w:tabs>
          <w:tab w:val="left" w:pos="1046"/>
        </w:tabs>
        <w:spacing w:line="480" w:lineRule="exact"/>
        <w:ind w:firstLine="440" w:firstLineChars="200"/>
        <w:rPr>
          <w:rFonts w:hint="eastAsia" w:ascii="宋体" w:hAnsi="宋体" w:cs="宋体"/>
          <w:snapToGrid w:val="0"/>
          <w:color w:val="000000"/>
          <w:kern w:val="0"/>
          <w:sz w:val="22"/>
          <w:szCs w:val="22"/>
          <w:shd w:val="clear" w:color="auto" w:fill="FFFFFF"/>
          <w:lang w:val="zh-CN"/>
        </w:rPr>
      </w:pPr>
      <w:r>
        <w:rPr>
          <w:rFonts w:hint="eastAsia" w:ascii="宋体" w:hAnsi="宋体" w:cs="宋体"/>
          <w:snapToGrid w:val="0"/>
          <w:color w:val="000000"/>
          <w:kern w:val="0"/>
          <w:sz w:val="22"/>
          <w:szCs w:val="22"/>
          <w:shd w:val="clear" w:color="auto" w:fill="FFFFFF"/>
          <w:lang w:val="zh-CN"/>
        </w:rPr>
        <w:t xml:space="preserve">督部门暂停或取消本次招标项目工程所在地或公共资源交易平台所在地的投标资格或禁止进入安徽合肥公共资源交易平台，且处于有效期内； </w:t>
      </w:r>
    </w:p>
    <w:p>
      <w:pPr>
        <w:tabs>
          <w:tab w:val="left" w:pos="1046"/>
        </w:tabs>
        <w:spacing w:line="480" w:lineRule="exact"/>
        <w:ind w:firstLine="440" w:firstLineChars="200"/>
        <w:rPr>
          <w:rFonts w:hint="eastAsia" w:ascii="宋体" w:hAnsi="宋体" w:cs="宋体"/>
          <w:snapToGrid w:val="0"/>
          <w:color w:val="000000"/>
          <w:kern w:val="0"/>
          <w:sz w:val="22"/>
          <w:szCs w:val="22"/>
          <w:shd w:val="clear" w:color="auto" w:fill="FFFFFF"/>
          <w:lang w:val="zh-CN"/>
        </w:rPr>
      </w:pPr>
      <w:r>
        <w:rPr>
          <w:rFonts w:hint="eastAsia" w:ascii="宋体" w:hAnsi="宋体" w:cs="宋体"/>
          <w:snapToGrid w:val="0"/>
          <w:color w:val="000000"/>
          <w:kern w:val="0"/>
          <w:sz w:val="22"/>
          <w:szCs w:val="22"/>
          <w:shd w:val="clear" w:color="auto" w:fill="FFFFFF"/>
        </w:rPr>
        <w:t xml:space="preserve">    （2）</w:t>
      </w:r>
      <w:r>
        <w:rPr>
          <w:rFonts w:hint="eastAsia" w:ascii="宋体" w:hAnsi="宋体" w:cs="宋体"/>
          <w:snapToGrid w:val="0"/>
          <w:color w:val="000000"/>
          <w:kern w:val="0"/>
          <w:sz w:val="22"/>
          <w:szCs w:val="22"/>
          <w:shd w:val="clear" w:color="auto" w:fill="FFFFFF"/>
          <w:lang w:val="zh-CN"/>
        </w:rPr>
        <w:t xml:space="preserve">被责令停产停业，暂扣或者吊销许可证，暂扣或者吊销执照； </w:t>
      </w:r>
    </w:p>
    <w:p>
      <w:pPr>
        <w:tabs>
          <w:tab w:val="left" w:pos="1046"/>
        </w:tabs>
        <w:spacing w:line="480" w:lineRule="exact"/>
        <w:ind w:firstLine="440" w:firstLineChars="200"/>
        <w:rPr>
          <w:rFonts w:hint="eastAsia" w:ascii="宋体" w:hAnsi="宋体" w:cs="宋体"/>
          <w:snapToGrid w:val="0"/>
          <w:color w:val="000000"/>
          <w:kern w:val="0"/>
          <w:sz w:val="22"/>
          <w:szCs w:val="22"/>
          <w:shd w:val="clear" w:color="auto" w:fill="FFFFFF"/>
          <w:lang w:val="zh-CN"/>
        </w:rPr>
      </w:pPr>
      <w:r>
        <w:rPr>
          <w:rFonts w:hint="eastAsia" w:ascii="宋体" w:hAnsi="宋体" w:cs="宋体"/>
          <w:snapToGrid w:val="0"/>
          <w:color w:val="000000"/>
          <w:kern w:val="0"/>
          <w:sz w:val="22"/>
          <w:szCs w:val="22"/>
          <w:shd w:val="clear" w:color="auto" w:fill="FFFFFF"/>
          <w:lang w:val="zh-CN"/>
        </w:rPr>
        <w:t>（3）进入清算程序，或被宣告破产，或其他丧失履约能力的情形；</w:t>
      </w:r>
    </w:p>
    <w:p>
      <w:pPr>
        <w:tabs>
          <w:tab w:val="left" w:pos="1046"/>
        </w:tabs>
        <w:spacing w:line="480" w:lineRule="exact"/>
        <w:ind w:firstLine="440" w:firstLineChars="200"/>
        <w:rPr>
          <w:rFonts w:hint="eastAsia" w:ascii="宋体" w:hAnsi="宋体" w:cs="宋体"/>
          <w:snapToGrid w:val="0"/>
          <w:color w:val="000000"/>
          <w:kern w:val="0"/>
          <w:sz w:val="22"/>
          <w:szCs w:val="22"/>
          <w:shd w:val="clear" w:color="auto" w:fill="FFFFFF"/>
          <w:lang w:val="zh-CN"/>
        </w:rPr>
      </w:pPr>
      <w:r>
        <w:rPr>
          <w:rFonts w:hint="eastAsia" w:ascii="宋体" w:hAnsi="宋体" w:cs="宋体"/>
          <w:snapToGrid w:val="0"/>
          <w:color w:val="000000"/>
          <w:kern w:val="0"/>
          <w:sz w:val="22"/>
          <w:szCs w:val="22"/>
          <w:shd w:val="clear" w:color="auto" w:fill="FFFFFF"/>
          <w:lang w:val="zh-CN"/>
        </w:rPr>
        <w:t>（4）在近三年内（自投标截止之日向前追溯 3 年，下同）发生重大产品质量问题（以相关行</w:t>
      </w:r>
    </w:p>
    <w:p>
      <w:pPr>
        <w:tabs>
          <w:tab w:val="left" w:pos="1046"/>
        </w:tabs>
        <w:spacing w:line="480" w:lineRule="exact"/>
        <w:ind w:firstLine="440" w:firstLineChars="200"/>
        <w:rPr>
          <w:rFonts w:hint="eastAsia" w:ascii="宋体" w:hAnsi="宋体" w:cs="宋体"/>
          <w:snapToGrid w:val="0"/>
          <w:color w:val="000000"/>
          <w:kern w:val="0"/>
          <w:sz w:val="22"/>
          <w:szCs w:val="22"/>
          <w:shd w:val="clear" w:color="auto" w:fill="FFFFFF"/>
          <w:lang w:val="zh-CN"/>
        </w:rPr>
      </w:pPr>
      <w:r>
        <w:rPr>
          <w:rFonts w:hint="eastAsia" w:ascii="宋体" w:hAnsi="宋体" w:cs="宋体"/>
          <w:snapToGrid w:val="0"/>
          <w:color w:val="000000"/>
          <w:kern w:val="0"/>
          <w:sz w:val="22"/>
          <w:szCs w:val="22"/>
          <w:shd w:val="clear" w:color="auto" w:fill="FFFFFF"/>
          <w:lang w:val="zh-CN"/>
        </w:rPr>
        <w:t>业主管部门的行政处罚决定或司法机关出具的有关法律文书为准），但前述行政处罚已完成信用修</w:t>
      </w:r>
    </w:p>
    <w:p>
      <w:pPr>
        <w:tabs>
          <w:tab w:val="left" w:pos="1046"/>
        </w:tabs>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snapToGrid w:val="0"/>
          <w:color w:val="000000"/>
          <w:kern w:val="0"/>
          <w:sz w:val="22"/>
          <w:szCs w:val="22"/>
          <w:shd w:val="clear" w:color="auto" w:fill="FFFFFF"/>
          <w:lang w:val="zh-CN"/>
        </w:rPr>
        <w:t>复的，自行政处罚作出机关或信用修复主管部门同意修复之日起满一年的，不受三年期限限制；</w:t>
      </w:r>
      <w:r>
        <w:rPr>
          <w:rFonts w:hint="eastAsia" w:ascii="宋体" w:hAnsi="宋体" w:cs="宋体"/>
          <w:bCs/>
          <w:snapToGrid w:val="0"/>
          <w:color w:val="000000"/>
          <w:kern w:val="0"/>
          <w:sz w:val="22"/>
          <w:szCs w:val="22"/>
        </w:rPr>
        <w:t xml:space="preserve"> </w:t>
      </w:r>
    </w:p>
    <w:p>
      <w:pPr>
        <w:tabs>
          <w:tab w:val="left" w:pos="1009"/>
        </w:tabs>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 xml:space="preserve">（5）在国家企业信用信息公示系统（http://www.gsxt.gov.cn/）中被列入严重违法失信企业名单； </w:t>
      </w:r>
    </w:p>
    <w:p>
      <w:pPr>
        <w:tabs>
          <w:tab w:val="left" w:pos="1009"/>
        </w:tabs>
        <w:spacing w:line="480" w:lineRule="exact"/>
        <w:ind w:firstLine="440" w:firstLineChars="200"/>
        <w:rPr>
          <w:rFonts w:hint="eastAsia" w:ascii="宋体" w:hAnsi="宋体" w:cs="宋体"/>
          <w:snapToGrid w:val="0"/>
          <w:color w:val="000000"/>
          <w:kern w:val="0"/>
          <w:sz w:val="22"/>
          <w:szCs w:val="22"/>
        </w:rPr>
      </w:pPr>
      <w:r>
        <w:rPr>
          <w:rFonts w:hint="eastAsia" w:ascii="宋体" w:hAnsi="宋体" w:cs="宋体"/>
          <w:bCs/>
          <w:snapToGrid w:val="0"/>
          <w:color w:val="000000"/>
          <w:kern w:val="0"/>
          <w:sz w:val="22"/>
          <w:szCs w:val="22"/>
        </w:rPr>
        <w:t>（6）在“信用中国”网站（http://www.creditchina.gov.cn/）中被列入失信被执行人名单；</w:t>
      </w:r>
      <w:r>
        <w:rPr>
          <w:rFonts w:hint="eastAsia" w:ascii="宋体" w:hAnsi="宋体" w:cs="宋体"/>
          <w:snapToGrid w:val="0"/>
          <w:color w:val="000000"/>
          <w:kern w:val="0"/>
          <w:sz w:val="22"/>
          <w:szCs w:val="22"/>
        </w:rPr>
        <w:t xml:space="preserve"> </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 xml:space="preserve">（7）在“信用中国”网站（http://www.creditchina.gov.cn/）中被列入重大税收违法案件当事人名单； </w:t>
      </w:r>
    </w:p>
    <w:p>
      <w:pPr>
        <w:tabs>
          <w:tab w:val="left" w:pos="1014"/>
        </w:tabs>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（8）在近三年内投标人或其法定代表人（单位负责人）有行贿犯罪行为的；</w:t>
      </w:r>
      <w:r>
        <w:rPr>
          <w:rFonts w:hint="eastAsia" w:ascii="宋体" w:hAnsi="宋体" w:cs="宋体"/>
          <w:color w:val="000000"/>
          <w:sz w:val="22"/>
          <w:szCs w:val="22"/>
        </w:rPr>
        <w:t xml:space="preserve"> </w:t>
      </w:r>
    </w:p>
    <w:p>
      <w:pPr>
        <w:tabs>
          <w:tab w:val="left" w:pos="1014"/>
        </w:tabs>
        <w:spacing w:line="480" w:lineRule="exact"/>
        <w:ind w:firstLine="440" w:firstLineChars="200"/>
        <w:rPr>
          <w:rFonts w:hint="eastAsia" w:ascii="宋体" w:hAnsi="宋体" w:cs="宋体"/>
          <w:bCs/>
          <w:snapToGrid w:val="0"/>
          <w:kern w:val="0"/>
          <w:sz w:val="22"/>
          <w:szCs w:val="22"/>
        </w:rPr>
      </w:pPr>
      <w:bookmarkStart w:id="62" w:name="_Toc179632552"/>
      <w:bookmarkStart w:id="63" w:name="_Toc144974503"/>
      <w:bookmarkStart w:id="64" w:name="_Toc152045535"/>
      <w:bookmarkStart w:id="65" w:name="_Toc152042311"/>
      <w:r>
        <w:rPr>
          <w:rFonts w:hint="eastAsia" w:ascii="宋体" w:hAnsi="宋体" w:cs="宋体"/>
          <w:sz w:val="22"/>
          <w:szCs w:val="22"/>
        </w:rPr>
        <w:t>（9）法律法规或投标人须知前附表规定的其他情形。</w:t>
      </w:r>
    </w:p>
    <w:p>
      <w:pPr>
        <w:pStyle w:val="4"/>
        <w:spacing w:before="0" w:after="0" w:line="48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1.5 费用承担</w:t>
      </w:r>
      <w:bookmarkEnd w:id="62"/>
      <w:bookmarkEnd w:id="63"/>
      <w:bookmarkEnd w:id="64"/>
      <w:bookmarkEnd w:id="65"/>
    </w:p>
    <w:p>
      <w:pPr>
        <w:spacing w:line="480" w:lineRule="exact"/>
        <w:ind w:firstLine="440" w:firstLineChars="200"/>
        <w:rPr>
          <w:rFonts w:hint="eastAsia" w:ascii="宋体" w:hAnsi="宋体" w:cs="宋体"/>
          <w:sz w:val="22"/>
          <w:szCs w:val="22"/>
        </w:rPr>
      </w:pPr>
      <w:r>
        <w:rPr>
          <w:rFonts w:hint="eastAsia" w:ascii="宋体" w:hAnsi="宋体" w:cs="宋体"/>
          <w:sz w:val="22"/>
          <w:szCs w:val="22"/>
        </w:rPr>
        <w:t>投标人准备和参加投标活动发生的费用自理。</w:t>
      </w:r>
    </w:p>
    <w:p>
      <w:pPr>
        <w:pStyle w:val="4"/>
        <w:spacing w:before="0" w:after="0" w:line="480" w:lineRule="exact"/>
        <w:ind w:firstLine="440" w:firstLineChars="200"/>
        <w:rPr>
          <w:rFonts w:hint="eastAsia" w:ascii="宋体" w:hAnsi="宋体" w:eastAsia="宋体" w:cs="宋体"/>
          <w:sz w:val="22"/>
          <w:szCs w:val="22"/>
        </w:rPr>
      </w:pPr>
      <w:bookmarkStart w:id="66" w:name="_Toc152045536"/>
      <w:bookmarkStart w:id="67" w:name="_Toc144974504"/>
      <w:bookmarkStart w:id="68" w:name="_Toc179632553"/>
      <w:bookmarkStart w:id="69" w:name="_Toc152042312"/>
      <w:r>
        <w:rPr>
          <w:rFonts w:hint="eastAsia" w:ascii="宋体" w:hAnsi="宋体" w:eastAsia="宋体" w:cs="宋体"/>
          <w:sz w:val="22"/>
          <w:szCs w:val="22"/>
        </w:rPr>
        <w:t>1.6 保密</w:t>
      </w:r>
      <w:bookmarkEnd w:id="66"/>
      <w:bookmarkEnd w:id="67"/>
      <w:bookmarkEnd w:id="68"/>
      <w:bookmarkEnd w:id="69"/>
    </w:p>
    <w:p>
      <w:pPr>
        <w:spacing w:line="480" w:lineRule="exact"/>
        <w:ind w:firstLine="440" w:firstLineChars="200"/>
        <w:rPr>
          <w:rFonts w:hint="eastAsia" w:ascii="宋体" w:hAnsi="宋体" w:cs="宋体"/>
          <w:sz w:val="22"/>
          <w:szCs w:val="22"/>
        </w:rPr>
      </w:pPr>
      <w:bookmarkStart w:id="70" w:name="_Toc144974505"/>
      <w:bookmarkStart w:id="71" w:name="_Toc179632554"/>
      <w:bookmarkStart w:id="72" w:name="_Toc152045537"/>
      <w:bookmarkStart w:id="73" w:name="_Toc152042313"/>
      <w:r>
        <w:rPr>
          <w:rFonts w:hint="eastAsia" w:ascii="宋体" w:hAnsi="宋体" w:cs="宋体"/>
          <w:sz w:val="22"/>
          <w:szCs w:val="22"/>
        </w:rPr>
        <w:t>参与招标投标活动的各方应对招标文件和投标文件中的商业和技术等秘密保密，</w:t>
      </w:r>
      <w:r>
        <w:rPr>
          <w:rFonts w:hint="eastAsia" w:ascii="宋体" w:hAnsi="宋体" w:cs="宋体"/>
          <w:bCs/>
          <w:snapToGrid w:val="0"/>
          <w:color w:val="000000"/>
          <w:kern w:val="0"/>
          <w:sz w:val="22"/>
          <w:szCs w:val="22"/>
        </w:rPr>
        <w:t>否则应承担相应的法律责任</w:t>
      </w:r>
      <w:r>
        <w:rPr>
          <w:rFonts w:hint="eastAsia" w:ascii="宋体" w:hAnsi="宋体" w:cs="宋体"/>
          <w:sz w:val="22"/>
          <w:szCs w:val="22"/>
        </w:rPr>
        <w:t>。</w:t>
      </w:r>
    </w:p>
    <w:p>
      <w:pPr>
        <w:pStyle w:val="4"/>
        <w:spacing w:before="0" w:after="0" w:line="48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1.7 语言</w:t>
      </w:r>
      <w:bookmarkEnd w:id="70"/>
      <w:r>
        <w:rPr>
          <w:rFonts w:hint="eastAsia" w:ascii="宋体" w:hAnsi="宋体" w:eastAsia="宋体" w:cs="宋体"/>
          <w:sz w:val="22"/>
          <w:szCs w:val="22"/>
        </w:rPr>
        <w:t>文字</w:t>
      </w:r>
      <w:bookmarkEnd w:id="71"/>
      <w:bookmarkEnd w:id="72"/>
      <w:bookmarkEnd w:id="73"/>
    </w:p>
    <w:p>
      <w:pPr>
        <w:spacing w:line="480" w:lineRule="exact"/>
        <w:ind w:firstLine="440" w:firstLineChars="200"/>
        <w:rPr>
          <w:rFonts w:hint="eastAsia" w:ascii="宋体" w:hAnsi="宋体" w:cs="宋体"/>
          <w:sz w:val="22"/>
          <w:szCs w:val="22"/>
        </w:rPr>
      </w:pPr>
      <w:bookmarkStart w:id="74" w:name="_Toc152042314"/>
      <w:bookmarkStart w:id="75" w:name="_Toc179632555"/>
      <w:bookmarkStart w:id="76" w:name="_Toc152045538"/>
      <w:bookmarkStart w:id="77" w:name="_Toc144974506"/>
      <w:r>
        <w:rPr>
          <w:rFonts w:hint="eastAsia" w:ascii="宋体" w:hAnsi="宋体" w:cs="宋体"/>
          <w:bCs/>
          <w:snapToGrid w:val="0"/>
          <w:color w:val="000000"/>
          <w:kern w:val="0"/>
          <w:sz w:val="22"/>
          <w:szCs w:val="22"/>
        </w:rPr>
        <w:t>招标投标文件使用的语言文字为中文。专用术语使用外文的，应附有中文注释。</w:t>
      </w:r>
    </w:p>
    <w:p>
      <w:pPr>
        <w:pStyle w:val="4"/>
        <w:spacing w:before="0" w:after="0" w:line="48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1.8 计量单位</w:t>
      </w:r>
      <w:bookmarkEnd w:id="74"/>
      <w:bookmarkEnd w:id="75"/>
      <w:bookmarkEnd w:id="76"/>
      <w:bookmarkEnd w:id="77"/>
    </w:p>
    <w:p>
      <w:pPr>
        <w:spacing w:line="480" w:lineRule="exact"/>
        <w:ind w:firstLine="440" w:firstLineChars="200"/>
        <w:rPr>
          <w:rFonts w:hint="eastAsia" w:ascii="宋体" w:hAnsi="宋体" w:cs="宋体"/>
          <w:sz w:val="22"/>
          <w:szCs w:val="22"/>
        </w:rPr>
      </w:pPr>
      <w:r>
        <w:rPr>
          <w:rFonts w:hint="eastAsia" w:ascii="宋体" w:hAnsi="宋体" w:cs="宋体"/>
          <w:sz w:val="22"/>
          <w:szCs w:val="22"/>
        </w:rPr>
        <w:t>所有计量均采用中华人民共和国法定计量单位。</w:t>
      </w:r>
    </w:p>
    <w:p>
      <w:pPr>
        <w:pStyle w:val="4"/>
        <w:spacing w:before="0" w:after="0" w:line="480" w:lineRule="exact"/>
        <w:ind w:firstLine="440" w:firstLineChars="200"/>
        <w:rPr>
          <w:rFonts w:hint="eastAsia" w:ascii="宋体" w:hAnsi="宋体" w:eastAsia="宋体" w:cs="宋体"/>
          <w:sz w:val="22"/>
          <w:szCs w:val="22"/>
        </w:rPr>
      </w:pPr>
      <w:bookmarkStart w:id="78" w:name="_Toc144974507"/>
      <w:bookmarkStart w:id="79" w:name="_Toc152045539"/>
      <w:bookmarkStart w:id="80" w:name="_Toc152042315"/>
      <w:bookmarkStart w:id="81" w:name="_Toc179632556"/>
      <w:r>
        <w:rPr>
          <w:rFonts w:hint="eastAsia" w:ascii="宋体" w:hAnsi="宋体" w:eastAsia="宋体" w:cs="宋体"/>
          <w:sz w:val="22"/>
          <w:szCs w:val="22"/>
        </w:rPr>
        <w:t>1.9 踏勘现场</w:t>
      </w:r>
      <w:bookmarkEnd w:id="78"/>
      <w:bookmarkEnd w:id="79"/>
      <w:bookmarkEnd w:id="80"/>
      <w:bookmarkEnd w:id="81"/>
    </w:p>
    <w:p>
      <w:pPr>
        <w:spacing w:line="480" w:lineRule="exact"/>
        <w:ind w:firstLine="440" w:firstLineChars="200"/>
        <w:rPr>
          <w:rFonts w:hint="eastAsia" w:ascii="宋体" w:hAnsi="宋体" w:cs="宋体"/>
          <w:sz w:val="22"/>
          <w:szCs w:val="22"/>
        </w:rPr>
      </w:pPr>
      <w:r>
        <w:rPr>
          <w:rFonts w:hint="eastAsia" w:ascii="宋体" w:hAnsi="宋体" w:cs="宋体"/>
          <w:sz w:val="22"/>
          <w:szCs w:val="22"/>
        </w:rPr>
        <w:t>1.9.1 投标人须知前附表规定组织踏勘现场的，招标人按投标人须知前附表规定的时间、地点组织投标人踏勘项目现场。</w:t>
      </w:r>
      <w:r>
        <w:rPr>
          <w:rFonts w:hint="eastAsia" w:ascii="宋体" w:hAnsi="宋体" w:cs="宋体"/>
          <w:bCs/>
          <w:snapToGrid w:val="0"/>
          <w:color w:val="000000"/>
          <w:kern w:val="0"/>
          <w:sz w:val="22"/>
          <w:szCs w:val="22"/>
        </w:rPr>
        <w:t>部分投标人未按时参加踏勘现场的，不影响踏勘现场的正常进行。招标人不得组织单个或部分投标人踏勘项目现场。</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1.9.2 投标人踏勘现场发生的费用自理。</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1.9.3 除招标人的原因外，投标人自行负责在踏勘现场中所发生的人员伤亡和财产损失。</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1.9.4 招标人在踏勘现场中介绍的项目场地和相关的周边环境情况，供投标人在编制投标文件时参考，招标人不对投标人据此作出的判断和决策负责。</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1.9.5 无论投标人是否到项目现场实地踏勘，中标后签订合同时和履约过程中，投标人不得以不完全了解现场情况或现场情况与招标文件描述不一致等为由，提出任何形式的增加合同价款或索赔的要求。</w:t>
      </w:r>
    </w:p>
    <w:p>
      <w:pPr>
        <w:pStyle w:val="4"/>
        <w:spacing w:before="0" w:after="0" w:line="480" w:lineRule="exact"/>
        <w:ind w:firstLine="440" w:firstLineChars="200"/>
        <w:rPr>
          <w:rFonts w:hint="eastAsia" w:ascii="宋体" w:hAnsi="宋体" w:eastAsia="宋体" w:cs="宋体"/>
          <w:sz w:val="22"/>
          <w:szCs w:val="22"/>
        </w:rPr>
      </w:pPr>
      <w:bookmarkStart w:id="82" w:name="_Toc179632557"/>
      <w:bookmarkStart w:id="83" w:name="_Toc152045540"/>
      <w:bookmarkStart w:id="84" w:name="_Toc152042316"/>
      <w:bookmarkStart w:id="85" w:name="_Toc144974508"/>
      <w:r>
        <w:rPr>
          <w:rFonts w:hint="eastAsia" w:ascii="宋体" w:hAnsi="宋体" w:eastAsia="宋体" w:cs="宋体"/>
          <w:sz w:val="22"/>
          <w:szCs w:val="22"/>
        </w:rPr>
        <w:t>1.10 投标预备会</w:t>
      </w:r>
      <w:bookmarkEnd w:id="82"/>
      <w:bookmarkEnd w:id="83"/>
      <w:bookmarkEnd w:id="84"/>
      <w:bookmarkEnd w:id="85"/>
    </w:p>
    <w:p>
      <w:pPr>
        <w:spacing w:line="480" w:lineRule="exact"/>
        <w:ind w:firstLine="440" w:firstLineChars="200"/>
        <w:rPr>
          <w:rFonts w:hint="eastAsia" w:ascii="宋体" w:hAnsi="宋体" w:cs="宋体"/>
          <w:sz w:val="22"/>
          <w:szCs w:val="22"/>
        </w:rPr>
      </w:pPr>
      <w:r>
        <w:rPr>
          <w:rFonts w:hint="eastAsia" w:ascii="宋体" w:hAnsi="宋体" w:cs="宋体"/>
          <w:sz w:val="22"/>
          <w:szCs w:val="22"/>
        </w:rPr>
        <w:t>1.10.1 投标人须知前附表规定召开投标预备会的，招标人按投标人须知前附表规定的时间和地点召开投标预备会，澄清投标人提出的问题。</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1.10.2 投标人应按投标人须知前附表规定的时间和形式将提出的问题送达招标人，以便招标人在会议期间澄清。</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1.10.3 投标预备会后，招标人将对投标人所提问题的澄清，按本章第2.2款规定的时间和形式通知所有购买招标文件的投标人。该澄清内容为招标文件的组成部分。</w:t>
      </w:r>
    </w:p>
    <w:p>
      <w:pPr>
        <w:pStyle w:val="4"/>
        <w:spacing w:before="0" w:after="0" w:line="480" w:lineRule="exact"/>
        <w:ind w:firstLine="440" w:firstLineChars="200"/>
        <w:rPr>
          <w:rFonts w:hint="eastAsia" w:ascii="宋体" w:hAnsi="宋体" w:eastAsia="宋体" w:cs="宋体"/>
          <w:sz w:val="22"/>
          <w:szCs w:val="22"/>
        </w:rPr>
      </w:pPr>
      <w:bookmarkStart w:id="86" w:name="_Toc152042317"/>
      <w:bookmarkStart w:id="87" w:name="_Toc152045541"/>
      <w:bookmarkStart w:id="88" w:name="_Toc144974509"/>
      <w:bookmarkStart w:id="89" w:name="_Toc179632558"/>
      <w:r>
        <w:rPr>
          <w:rFonts w:hint="eastAsia" w:ascii="宋体" w:hAnsi="宋体" w:eastAsia="宋体" w:cs="宋体"/>
          <w:sz w:val="22"/>
          <w:szCs w:val="22"/>
        </w:rPr>
        <w:t>1.11 分包</w:t>
      </w:r>
      <w:bookmarkEnd w:id="86"/>
      <w:bookmarkEnd w:id="87"/>
      <w:bookmarkEnd w:id="88"/>
      <w:bookmarkEnd w:id="89"/>
    </w:p>
    <w:p>
      <w:pPr>
        <w:spacing w:line="480" w:lineRule="exact"/>
        <w:ind w:firstLine="440" w:firstLineChars="200"/>
        <w:rPr>
          <w:rFonts w:hint="eastAsia" w:ascii="宋体" w:hAnsi="宋体" w:cs="宋体"/>
          <w:sz w:val="22"/>
          <w:szCs w:val="22"/>
        </w:rPr>
      </w:pPr>
      <w:r>
        <w:rPr>
          <w:rFonts w:hint="eastAsia" w:ascii="宋体" w:hAnsi="宋体" w:cs="宋体"/>
          <w:sz w:val="22"/>
          <w:szCs w:val="22"/>
        </w:rPr>
        <w:t>1.11.1 投标人拟在中标后将中标项目的非主体货物进行分包的，应符合投标人须知前附表规定的分包内容、分包金额和资质要求等限制性条件，除投标人须知前附表规定的非主体货物外，其他工作不得分包。</w:t>
      </w:r>
    </w:p>
    <w:p>
      <w:pPr>
        <w:spacing w:line="480" w:lineRule="exact"/>
        <w:ind w:firstLine="440" w:firstLineChars="200"/>
        <w:rPr>
          <w:rFonts w:hint="eastAsia" w:ascii="宋体" w:hAnsi="宋体" w:cs="宋体"/>
          <w:sz w:val="22"/>
          <w:szCs w:val="22"/>
        </w:rPr>
      </w:pPr>
      <w:r>
        <w:rPr>
          <w:rFonts w:hint="eastAsia" w:ascii="宋体" w:hAnsi="宋体" w:cs="宋体"/>
          <w:bCs/>
          <w:snapToGrid w:val="0"/>
          <w:color w:val="000000"/>
          <w:kern w:val="0"/>
          <w:sz w:val="22"/>
          <w:szCs w:val="22"/>
        </w:rPr>
        <w:t>1.11.2 中标人不得向他人转让中标项目，接受分包的人不得再次分包。中标人应就分包项目向招标人负责，接受分包的人就分包项目承担连带责任。</w:t>
      </w:r>
    </w:p>
    <w:p>
      <w:pPr>
        <w:pStyle w:val="4"/>
        <w:spacing w:before="0" w:after="0" w:line="480" w:lineRule="exact"/>
        <w:ind w:firstLine="440" w:firstLineChars="200"/>
        <w:rPr>
          <w:rFonts w:hint="eastAsia" w:ascii="宋体" w:hAnsi="宋体" w:eastAsia="宋体" w:cs="宋体"/>
          <w:sz w:val="22"/>
          <w:szCs w:val="22"/>
        </w:rPr>
      </w:pPr>
      <w:bookmarkStart w:id="90" w:name="_Toc179632559"/>
      <w:r>
        <w:rPr>
          <w:rFonts w:hint="eastAsia" w:ascii="宋体" w:hAnsi="宋体" w:eastAsia="宋体" w:cs="宋体"/>
          <w:sz w:val="22"/>
          <w:szCs w:val="22"/>
        </w:rPr>
        <w:t xml:space="preserve">1.12 </w:t>
      </w:r>
      <w:bookmarkEnd w:id="90"/>
      <w:r>
        <w:rPr>
          <w:rFonts w:hint="eastAsia" w:ascii="宋体" w:hAnsi="宋体" w:eastAsia="宋体" w:cs="宋体"/>
          <w:sz w:val="22"/>
          <w:szCs w:val="22"/>
        </w:rPr>
        <w:t>响应和偏差</w:t>
      </w:r>
    </w:p>
    <w:p>
      <w:pPr>
        <w:spacing w:line="48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1.12.1投标文件应当对招标文件的实质性要求和条件作出满足性或更有利于招标人的响应，否则，投标人的投标将被否决。实质性要求和条件见投标人须知前附表。</w:t>
      </w:r>
    </w:p>
    <w:p>
      <w:pPr>
        <w:spacing w:line="48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 xml:space="preserve">1.12.2 </w:t>
      </w:r>
      <w:r>
        <w:rPr>
          <w:rFonts w:hint="eastAsia" w:ascii="宋体" w:hAnsi="宋体" w:cs="宋体"/>
          <w:sz w:val="22"/>
          <w:szCs w:val="22"/>
        </w:rPr>
        <w:t>投标人应根据招标文件的要求提供投标货物技术性能指标的详细描述、技术支持资料及技术服务和质保期服务计划等内容以对招标文件作出响应。</w:t>
      </w:r>
    </w:p>
    <w:p>
      <w:pPr>
        <w:spacing w:line="48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1.12.3 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spacing w:line="48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1.12.4 投标人须知前附表规定了可以偏差的范围和最高偏差项数的，偏差应当符合投标人须知前附表规定的偏差范围和最高项数，超出偏差范围和最高偏差项数的投标将被否决。</w:t>
      </w:r>
    </w:p>
    <w:p>
      <w:pPr>
        <w:spacing w:line="480" w:lineRule="exact"/>
        <w:ind w:firstLine="440" w:firstLineChars="200"/>
        <w:rPr>
          <w:rFonts w:hint="eastAsia" w:ascii="宋体" w:hAnsi="宋体" w:cs="宋体"/>
          <w:sz w:val="22"/>
          <w:szCs w:val="22"/>
        </w:rPr>
      </w:pPr>
      <w:r>
        <w:rPr>
          <w:rFonts w:hint="eastAsia" w:ascii="宋体" w:hAnsi="宋体" w:cs="宋体"/>
          <w:color w:val="000000"/>
          <w:sz w:val="22"/>
          <w:szCs w:val="22"/>
        </w:rPr>
        <w:t>1.12.5 投标文件对招标文件的全部偏差，均应在投标文件的</w:t>
      </w:r>
      <w:r>
        <w:rPr>
          <w:rFonts w:hint="eastAsia" w:ascii="宋体" w:hAnsi="宋体" w:cs="宋体"/>
          <w:sz w:val="22"/>
          <w:szCs w:val="22"/>
        </w:rPr>
        <w:t>商务和技术偏差表</w:t>
      </w:r>
      <w:r>
        <w:rPr>
          <w:rFonts w:hint="eastAsia" w:ascii="宋体" w:hAnsi="宋体" w:cs="宋体"/>
          <w:color w:val="000000"/>
          <w:sz w:val="22"/>
          <w:szCs w:val="22"/>
        </w:rPr>
        <w:t>中列明，除</w:t>
      </w:r>
      <w:r>
        <w:rPr>
          <w:rFonts w:hint="eastAsia" w:ascii="宋体" w:hAnsi="宋体" w:cs="宋体"/>
          <w:sz w:val="22"/>
          <w:szCs w:val="22"/>
        </w:rPr>
        <w:t>列明的内容外，视为投标人响应招标文件的全部要求。</w:t>
      </w:r>
    </w:p>
    <w:p>
      <w:pPr>
        <w:pStyle w:val="3"/>
        <w:spacing w:before="0" w:after="0" w:line="480" w:lineRule="exact"/>
        <w:rPr>
          <w:rFonts w:hint="eastAsia" w:ascii="宋体" w:hAnsi="宋体" w:cs="宋体"/>
          <w:bCs w:val="0"/>
          <w:sz w:val="22"/>
          <w:szCs w:val="22"/>
        </w:rPr>
      </w:pPr>
      <w:bookmarkStart w:id="91" w:name="_Toc179632560"/>
      <w:bookmarkStart w:id="92" w:name="_Toc152045542"/>
      <w:bookmarkStart w:id="93" w:name="_Toc152042318"/>
      <w:bookmarkStart w:id="94" w:name="_Toc144974510"/>
      <w:bookmarkStart w:id="95" w:name="_Toc26781054"/>
      <w:r>
        <w:rPr>
          <w:rFonts w:hint="eastAsia" w:ascii="宋体" w:hAnsi="宋体" w:cs="宋体"/>
          <w:bCs w:val="0"/>
          <w:sz w:val="22"/>
          <w:szCs w:val="22"/>
        </w:rPr>
        <w:t>2. 招标文件</w:t>
      </w:r>
      <w:bookmarkEnd w:id="91"/>
      <w:bookmarkEnd w:id="92"/>
      <w:bookmarkEnd w:id="93"/>
      <w:bookmarkEnd w:id="94"/>
      <w:bookmarkEnd w:id="95"/>
    </w:p>
    <w:p>
      <w:pPr>
        <w:pStyle w:val="4"/>
        <w:spacing w:before="0" w:after="0" w:line="480" w:lineRule="exact"/>
        <w:ind w:firstLine="440" w:firstLineChars="200"/>
        <w:rPr>
          <w:rFonts w:hint="eastAsia" w:ascii="宋体" w:hAnsi="宋体" w:eastAsia="宋体" w:cs="宋体"/>
          <w:sz w:val="22"/>
          <w:szCs w:val="22"/>
        </w:rPr>
      </w:pPr>
      <w:bookmarkStart w:id="96" w:name="_Toc152045543"/>
      <w:bookmarkStart w:id="97" w:name="_Toc179632561"/>
      <w:bookmarkStart w:id="98" w:name="_Toc144974511"/>
      <w:bookmarkStart w:id="99" w:name="_Toc152042319"/>
      <w:r>
        <w:rPr>
          <w:rFonts w:hint="eastAsia" w:ascii="宋体" w:hAnsi="宋体" w:eastAsia="宋体" w:cs="宋体"/>
          <w:sz w:val="22"/>
          <w:szCs w:val="22"/>
        </w:rPr>
        <w:t>2.1 招标文件的组成</w:t>
      </w:r>
      <w:bookmarkEnd w:id="96"/>
      <w:bookmarkEnd w:id="97"/>
      <w:bookmarkEnd w:id="98"/>
      <w:bookmarkEnd w:id="99"/>
    </w:p>
    <w:p>
      <w:pPr>
        <w:spacing w:line="480" w:lineRule="exact"/>
        <w:ind w:firstLine="440" w:firstLineChars="200"/>
        <w:rPr>
          <w:rFonts w:hint="eastAsia" w:ascii="宋体" w:hAnsi="宋体" w:cs="宋体"/>
          <w:sz w:val="22"/>
          <w:szCs w:val="22"/>
        </w:rPr>
      </w:pPr>
      <w:r>
        <w:rPr>
          <w:rFonts w:hint="eastAsia" w:ascii="宋体" w:hAnsi="宋体" w:cs="宋体"/>
          <w:sz w:val="22"/>
          <w:szCs w:val="22"/>
        </w:rPr>
        <w:t>本招标文件包括：</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（1）招标公告（或投标邀请书）；</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（2）投标人须知；</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（3）评标办法；</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（4）合同条款及格式；</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（5）供货要求；</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（6）投标文件格式；</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（7）投标人须知前附表规定的其他资料。</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根据本章第1.10款、第2.2款和第2.3款对招标文件所作的澄清、修改，构成招标文件的组成部分。当招标文件、招标文件的澄清或修改等在同一内容的表述上不一致时，以最后发出的文件为准。</w:t>
      </w:r>
    </w:p>
    <w:p>
      <w:pPr>
        <w:pStyle w:val="4"/>
        <w:spacing w:before="0" w:after="0" w:line="480" w:lineRule="exact"/>
        <w:ind w:firstLine="440" w:firstLineChars="200"/>
        <w:rPr>
          <w:rFonts w:hint="eastAsia" w:ascii="宋体" w:hAnsi="宋体" w:eastAsia="宋体" w:cs="宋体"/>
          <w:sz w:val="22"/>
          <w:szCs w:val="22"/>
        </w:rPr>
      </w:pPr>
      <w:bookmarkStart w:id="100" w:name="_Toc179632562"/>
      <w:bookmarkStart w:id="101" w:name="_Toc144974512"/>
      <w:bookmarkStart w:id="102" w:name="_Toc152045544"/>
      <w:bookmarkStart w:id="103" w:name="_Toc152042320"/>
      <w:r>
        <w:rPr>
          <w:rFonts w:hint="eastAsia" w:ascii="宋体" w:hAnsi="宋体" w:eastAsia="宋体" w:cs="宋体"/>
          <w:sz w:val="22"/>
          <w:szCs w:val="22"/>
        </w:rPr>
        <w:t>2.2 招标文件的澄清</w:t>
      </w:r>
      <w:bookmarkEnd w:id="100"/>
      <w:bookmarkEnd w:id="101"/>
      <w:bookmarkEnd w:id="102"/>
      <w:bookmarkEnd w:id="103"/>
    </w:p>
    <w:p>
      <w:pPr>
        <w:spacing w:line="480" w:lineRule="exact"/>
        <w:ind w:firstLine="440" w:firstLineChars="200"/>
        <w:rPr>
          <w:rFonts w:hint="eastAsia" w:ascii="宋体" w:hAnsi="宋体" w:cs="宋体"/>
          <w:sz w:val="22"/>
          <w:szCs w:val="22"/>
        </w:rPr>
      </w:pPr>
      <w:bookmarkStart w:id="104" w:name="_Toc152042321"/>
      <w:bookmarkStart w:id="105" w:name="_Toc152045545"/>
      <w:bookmarkStart w:id="106" w:name="_Toc144974513"/>
      <w:bookmarkStart w:id="107" w:name="_Toc179632563"/>
      <w:r>
        <w:rPr>
          <w:rFonts w:hint="eastAsia" w:ascii="宋体" w:hAnsi="宋体" w:cs="宋体"/>
          <w:sz w:val="22"/>
          <w:szCs w:val="22"/>
        </w:rPr>
        <w:t xml:space="preserve">2.2.1 </w:t>
      </w:r>
      <w:r>
        <w:rPr>
          <w:rFonts w:hint="eastAsia" w:ascii="宋体" w:hAnsi="宋体" w:cs="宋体"/>
          <w:bCs/>
          <w:snapToGrid w:val="0"/>
          <w:color w:val="000000"/>
          <w:kern w:val="0"/>
          <w:sz w:val="22"/>
          <w:szCs w:val="22"/>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 xml:space="preserve">2.2.2 </w:t>
      </w:r>
      <w:r>
        <w:rPr>
          <w:rFonts w:hint="eastAsia" w:ascii="宋体" w:hAnsi="宋体" w:cs="宋体"/>
          <w:bCs/>
          <w:snapToGrid w:val="0"/>
          <w:color w:val="000000"/>
          <w:kern w:val="0"/>
          <w:sz w:val="22"/>
          <w:szCs w:val="22"/>
        </w:rPr>
        <w:t>招标文件的澄清以投标人须知前附表规定的形式发给所有购买招标文件的投标人，但不指明澄清问题的来源。澄清发出的时间距本章第4.2.1项规定的投标截止时间不足15日，且澄清内容可能影响投标文件编制的，将相应延长投标截止时间。</w:t>
      </w:r>
    </w:p>
    <w:p>
      <w:pPr>
        <w:spacing w:line="480" w:lineRule="exact"/>
        <w:ind w:firstLine="440" w:firstLineChars="200"/>
        <w:rPr>
          <w:rFonts w:hint="eastAsia" w:ascii="宋体" w:hAnsi="宋体" w:cs="宋体"/>
          <w:snapToGrid w:val="0"/>
          <w:color w:val="000000"/>
          <w:kern w:val="0"/>
          <w:sz w:val="22"/>
          <w:szCs w:val="22"/>
          <w:shd w:val="clear" w:color="auto" w:fill="FFFFFF"/>
          <w:lang w:val="zh-CN"/>
        </w:rPr>
      </w:pPr>
      <w:r>
        <w:rPr>
          <w:rFonts w:hint="eastAsia" w:ascii="宋体" w:hAnsi="宋体" w:cs="宋体"/>
          <w:sz w:val="22"/>
          <w:szCs w:val="22"/>
        </w:rPr>
        <w:t xml:space="preserve">2.2.3 </w:t>
      </w:r>
      <w:r>
        <w:rPr>
          <w:rFonts w:hint="eastAsia" w:ascii="宋体" w:hAnsi="宋体" w:cs="宋体"/>
          <w:bCs/>
          <w:snapToGrid w:val="0"/>
          <w:color w:val="000000"/>
          <w:kern w:val="0"/>
          <w:sz w:val="22"/>
          <w:szCs w:val="22"/>
        </w:rPr>
        <w:t>投标人在收到澄清后，应按投标人须知前附表规定的时间和形式通知招标人，确认已收到该澄清。</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 xml:space="preserve">2.2.4 </w:t>
      </w:r>
      <w:r>
        <w:rPr>
          <w:rFonts w:hint="eastAsia" w:ascii="宋体" w:hAnsi="宋体" w:cs="宋体"/>
          <w:bCs/>
          <w:snapToGrid w:val="0"/>
          <w:color w:val="000000"/>
          <w:kern w:val="0"/>
          <w:sz w:val="22"/>
          <w:szCs w:val="22"/>
        </w:rPr>
        <w:t>除非招标人认为确有必要答复，否则，招标人有权拒绝回复投标人在本章第2.2.1项规定的时间后提出的任何澄清要求。</w:t>
      </w:r>
    </w:p>
    <w:p>
      <w:pPr>
        <w:pStyle w:val="4"/>
        <w:spacing w:before="0" w:after="0" w:line="48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2.3 招标文件的修改</w:t>
      </w:r>
      <w:bookmarkEnd w:id="104"/>
      <w:bookmarkEnd w:id="105"/>
      <w:bookmarkEnd w:id="106"/>
      <w:bookmarkEnd w:id="107"/>
    </w:p>
    <w:p>
      <w:pPr>
        <w:spacing w:line="480" w:lineRule="exact"/>
        <w:ind w:firstLine="440" w:firstLineChars="200"/>
        <w:rPr>
          <w:rFonts w:hint="eastAsia" w:ascii="宋体" w:hAnsi="宋体" w:cs="宋体"/>
          <w:sz w:val="22"/>
          <w:szCs w:val="22"/>
        </w:rPr>
      </w:pPr>
      <w:r>
        <w:rPr>
          <w:rFonts w:hint="eastAsia" w:ascii="宋体" w:hAnsi="宋体" w:cs="宋体"/>
          <w:sz w:val="22"/>
          <w:szCs w:val="22"/>
        </w:rPr>
        <w:t xml:space="preserve">2.3.1 </w:t>
      </w:r>
      <w:r>
        <w:rPr>
          <w:rFonts w:hint="eastAsia" w:ascii="宋体" w:hAnsi="宋体" w:cs="宋体"/>
          <w:bCs/>
          <w:snapToGrid w:val="0"/>
          <w:color w:val="000000"/>
          <w:kern w:val="0"/>
          <w:sz w:val="22"/>
          <w:szCs w:val="22"/>
        </w:rPr>
        <w:t>招标人以投标人须知前附表规定的形式修改招标文件，并通知所有已购买招标文件的投标人。修改招标文件的时间距本章第4.2.1项规定的投标截止时间不足15日，且修改内容可能影响投标文件编制的，将相应延长投标截止时间。</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sz w:val="22"/>
          <w:szCs w:val="22"/>
        </w:rPr>
        <w:t xml:space="preserve">2.3.2 </w:t>
      </w:r>
      <w:r>
        <w:rPr>
          <w:rFonts w:hint="eastAsia" w:ascii="宋体" w:hAnsi="宋体" w:cs="宋体"/>
          <w:bCs/>
          <w:snapToGrid w:val="0"/>
          <w:color w:val="000000"/>
          <w:kern w:val="0"/>
          <w:sz w:val="22"/>
          <w:szCs w:val="22"/>
        </w:rPr>
        <w:t>投标人收到修改内容后，应按投标人须知前附表规定的时间和形式通知招标人，确认已收到该修改。</w:t>
      </w:r>
    </w:p>
    <w:p>
      <w:pPr>
        <w:pStyle w:val="4"/>
        <w:spacing w:before="0" w:after="0" w:line="48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2.4 招标文件的异议</w:t>
      </w:r>
    </w:p>
    <w:p>
      <w:pPr>
        <w:spacing w:line="480" w:lineRule="exact"/>
        <w:ind w:firstLine="440" w:firstLineChars="200"/>
        <w:rPr>
          <w:rFonts w:hint="eastAsia" w:ascii="宋体" w:hAnsi="宋体" w:cs="宋体"/>
          <w:bCs/>
          <w:snapToGrid w:val="0"/>
          <w:color w:val="000000"/>
          <w:kern w:val="0"/>
          <w:sz w:val="22"/>
          <w:szCs w:val="22"/>
        </w:rPr>
      </w:pPr>
      <w:bookmarkStart w:id="108" w:name="_Toc144974514"/>
      <w:bookmarkStart w:id="109" w:name="_Toc179632564"/>
      <w:bookmarkStart w:id="110" w:name="_Toc152045546"/>
      <w:bookmarkStart w:id="111" w:name="_Toc152042322"/>
      <w:r>
        <w:rPr>
          <w:rFonts w:hint="eastAsia" w:ascii="宋体" w:hAnsi="宋体" w:cs="宋体"/>
          <w:bCs/>
          <w:snapToGrid w:val="0"/>
          <w:color w:val="000000"/>
          <w:kern w:val="0"/>
          <w:sz w:val="22"/>
          <w:szCs w:val="22"/>
        </w:rPr>
        <w:t>投标人或其他利害关系人对招标文件有异议的，应在投标截止时间10日前以书面形式提出。招标人将在收到异议之日起3日内作出答复；作出答复前，将暂停招标投标活动。</w:t>
      </w:r>
    </w:p>
    <w:p>
      <w:pPr>
        <w:pStyle w:val="3"/>
        <w:spacing w:before="0" w:after="0" w:line="480" w:lineRule="exact"/>
        <w:rPr>
          <w:rFonts w:hint="eastAsia" w:ascii="宋体" w:hAnsi="宋体" w:cs="宋体"/>
          <w:bCs w:val="0"/>
          <w:sz w:val="22"/>
          <w:szCs w:val="22"/>
        </w:rPr>
      </w:pPr>
      <w:bookmarkStart w:id="112" w:name="_Toc26781055"/>
      <w:r>
        <w:rPr>
          <w:rFonts w:hint="eastAsia" w:ascii="宋体" w:hAnsi="宋体" w:cs="宋体"/>
          <w:bCs w:val="0"/>
          <w:sz w:val="22"/>
          <w:szCs w:val="22"/>
        </w:rPr>
        <w:t>3. 投标文件</w:t>
      </w:r>
      <w:bookmarkEnd w:id="108"/>
      <w:bookmarkEnd w:id="109"/>
      <w:bookmarkEnd w:id="110"/>
      <w:bookmarkEnd w:id="111"/>
      <w:bookmarkEnd w:id="112"/>
    </w:p>
    <w:p>
      <w:pPr>
        <w:pStyle w:val="4"/>
        <w:spacing w:before="0" w:after="0" w:line="480" w:lineRule="exact"/>
        <w:ind w:firstLine="440" w:firstLineChars="200"/>
        <w:rPr>
          <w:rFonts w:hint="eastAsia" w:ascii="宋体" w:hAnsi="宋体" w:eastAsia="宋体" w:cs="宋体"/>
          <w:sz w:val="22"/>
          <w:szCs w:val="22"/>
        </w:rPr>
      </w:pPr>
      <w:bookmarkStart w:id="113" w:name="_Toc144974515"/>
      <w:bookmarkStart w:id="114" w:name="_Toc179632565"/>
      <w:bookmarkStart w:id="115" w:name="_Toc152045547"/>
      <w:bookmarkStart w:id="116" w:name="_Toc152042323"/>
      <w:r>
        <w:rPr>
          <w:rFonts w:hint="eastAsia" w:ascii="宋体" w:hAnsi="宋体" w:eastAsia="宋体" w:cs="宋体"/>
          <w:sz w:val="22"/>
          <w:szCs w:val="22"/>
        </w:rPr>
        <w:t>3.1 投标文件的组成</w:t>
      </w:r>
      <w:bookmarkEnd w:id="113"/>
      <w:bookmarkEnd w:id="114"/>
      <w:bookmarkEnd w:id="115"/>
      <w:bookmarkEnd w:id="116"/>
    </w:p>
    <w:p>
      <w:pPr>
        <w:spacing w:line="480" w:lineRule="exact"/>
        <w:ind w:firstLine="440" w:firstLineChars="200"/>
        <w:rPr>
          <w:rFonts w:hint="eastAsia" w:ascii="宋体" w:hAnsi="宋体" w:cs="宋体"/>
          <w:sz w:val="22"/>
          <w:szCs w:val="22"/>
        </w:rPr>
      </w:pPr>
      <w:r>
        <w:rPr>
          <w:rFonts w:hint="eastAsia" w:ascii="宋体" w:hAnsi="宋体" w:cs="宋体"/>
          <w:sz w:val="22"/>
          <w:szCs w:val="22"/>
        </w:rPr>
        <w:t>3.1.1 投标文件应包括下列内容：</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商务及技术文件：</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（1）投标函（不含报价）；</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（2）法定代表人（单位负责人）身份证明或授权委托书；</w:t>
      </w:r>
      <w:r>
        <w:rPr>
          <w:rFonts w:hint="eastAsia" w:ascii="宋体" w:hAnsi="宋体" w:cs="宋体"/>
          <w:color w:val="000000"/>
          <w:sz w:val="22"/>
          <w:szCs w:val="22"/>
        </w:rPr>
        <w:t xml:space="preserve"> </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（3）联合体协议书；</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（4）投标保证金；</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（5）商务和技术偏差表；</w:t>
      </w:r>
      <w:r>
        <w:rPr>
          <w:rFonts w:hint="eastAsia" w:ascii="宋体" w:hAnsi="宋体" w:cs="宋体"/>
          <w:color w:val="000000"/>
          <w:sz w:val="22"/>
          <w:szCs w:val="22"/>
        </w:rPr>
        <w:t xml:space="preserve"> </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（6）资格审查资料；</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（7）投标货物技术性能指标的详细描述；</w:t>
      </w:r>
      <w:r>
        <w:rPr>
          <w:rFonts w:hint="eastAsia" w:ascii="宋体" w:hAnsi="宋体" w:cs="宋体"/>
          <w:color w:val="000000"/>
          <w:sz w:val="22"/>
          <w:szCs w:val="22"/>
        </w:rPr>
        <w:t xml:space="preserve"> </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（8）技术支持资料；</w:t>
      </w:r>
      <w:r>
        <w:rPr>
          <w:rFonts w:hint="eastAsia" w:ascii="宋体" w:hAnsi="宋体" w:cs="宋体"/>
          <w:color w:val="000000"/>
          <w:sz w:val="22"/>
          <w:szCs w:val="22"/>
        </w:rPr>
        <w:t xml:space="preserve"> </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（9）技术服务和质保期服务计划；</w:t>
      </w:r>
      <w:r>
        <w:rPr>
          <w:rFonts w:hint="eastAsia" w:ascii="宋体" w:hAnsi="宋体" w:cs="宋体"/>
          <w:color w:val="000000"/>
          <w:sz w:val="22"/>
          <w:szCs w:val="22"/>
        </w:rPr>
        <w:t xml:space="preserve"> </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（10）安装、调试方案；</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（11）投标人须知前附表规定的其他资料。</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报价文件：</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（1）投标函（含报价）；</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（2）分项报价表。</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3.1.2 投标人须知前附表规定不接受联合体投标的，或投标人没有组成联合体的，投标文件不包括本章第3.1.1（3）目所指的联合体协议书。</w:t>
      </w:r>
    </w:p>
    <w:p>
      <w:pPr>
        <w:spacing w:line="480" w:lineRule="exact"/>
        <w:ind w:firstLine="440" w:firstLineChars="200"/>
        <w:rPr>
          <w:rFonts w:hint="eastAsia" w:ascii="宋体" w:hAnsi="宋体" w:cs="宋体"/>
          <w:color w:val="E36C0A"/>
          <w:sz w:val="22"/>
          <w:szCs w:val="22"/>
        </w:rPr>
      </w:pPr>
      <w:r>
        <w:rPr>
          <w:rFonts w:hint="eastAsia" w:ascii="宋体" w:hAnsi="宋体" w:cs="宋体"/>
          <w:sz w:val="22"/>
          <w:szCs w:val="22"/>
        </w:rPr>
        <w:t xml:space="preserve">3.1.3 </w:t>
      </w:r>
      <w:r>
        <w:rPr>
          <w:rFonts w:hint="eastAsia" w:ascii="宋体" w:hAnsi="宋体" w:cs="宋体"/>
          <w:bCs/>
          <w:snapToGrid w:val="0"/>
          <w:color w:val="000000"/>
          <w:kern w:val="0"/>
          <w:sz w:val="22"/>
          <w:szCs w:val="22"/>
        </w:rPr>
        <w:t>投标人须知前附表未要求提交投标保证金的，投标文件不包括本章第3.1.1（4）目所指的投标保证金。</w:t>
      </w:r>
    </w:p>
    <w:p>
      <w:pPr>
        <w:pStyle w:val="4"/>
        <w:spacing w:before="0" w:after="0" w:line="480" w:lineRule="exact"/>
        <w:ind w:firstLine="440" w:firstLineChars="200"/>
        <w:rPr>
          <w:rFonts w:hint="eastAsia" w:ascii="宋体" w:hAnsi="宋体" w:eastAsia="宋体" w:cs="宋体"/>
          <w:sz w:val="22"/>
          <w:szCs w:val="22"/>
        </w:rPr>
      </w:pPr>
      <w:bookmarkStart w:id="117" w:name="_Toc179632566"/>
      <w:bookmarkStart w:id="118" w:name="_Toc144974516"/>
      <w:bookmarkStart w:id="119" w:name="_Toc152045548"/>
      <w:bookmarkStart w:id="120" w:name="_Toc152042324"/>
      <w:r>
        <w:rPr>
          <w:rFonts w:hint="eastAsia" w:ascii="宋体" w:hAnsi="宋体" w:eastAsia="宋体" w:cs="宋体"/>
          <w:sz w:val="22"/>
          <w:szCs w:val="22"/>
        </w:rPr>
        <w:t>3.2 投标报价</w:t>
      </w:r>
      <w:bookmarkEnd w:id="117"/>
      <w:bookmarkEnd w:id="118"/>
      <w:bookmarkEnd w:id="119"/>
      <w:bookmarkEnd w:id="120"/>
    </w:p>
    <w:p>
      <w:pPr>
        <w:spacing w:line="480" w:lineRule="exact"/>
        <w:ind w:firstLine="440" w:firstLineChars="200"/>
        <w:rPr>
          <w:rFonts w:hint="eastAsia" w:ascii="宋体" w:hAnsi="宋体" w:cs="宋体"/>
          <w:bCs/>
          <w:snapToGrid w:val="0"/>
          <w:color w:val="000000"/>
          <w:kern w:val="0"/>
          <w:sz w:val="22"/>
          <w:szCs w:val="22"/>
        </w:rPr>
      </w:pPr>
      <w:bookmarkStart w:id="121" w:name="_Toc144974517"/>
      <w:bookmarkStart w:id="122" w:name="_Toc179632567"/>
      <w:bookmarkStart w:id="123" w:name="_Toc152042325"/>
      <w:bookmarkStart w:id="124" w:name="_Toc152045549"/>
      <w:r>
        <w:rPr>
          <w:rFonts w:hint="eastAsia" w:ascii="宋体" w:hAnsi="宋体" w:cs="宋体"/>
          <w:sz w:val="22"/>
          <w:szCs w:val="22"/>
        </w:rPr>
        <w:t xml:space="preserve">3.2.1 </w:t>
      </w:r>
      <w:r>
        <w:rPr>
          <w:rFonts w:hint="eastAsia" w:ascii="宋体" w:hAnsi="宋体" w:cs="宋体"/>
          <w:bCs/>
          <w:snapToGrid w:val="0"/>
          <w:color w:val="000000"/>
          <w:kern w:val="0"/>
          <w:sz w:val="22"/>
          <w:szCs w:val="22"/>
        </w:rPr>
        <w:t>投标报价应包括国家规定的增值税税金，除投标人须知前附表另有规定外，增值税税金按一般计税方法计算。投标人应按第六章“投标文件格式”的要求在投标函中进行报价并填写分项报价表。</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sz w:val="22"/>
          <w:szCs w:val="22"/>
        </w:rPr>
        <w:t xml:space="preserve">3.2.2 </w:t>
      </w:r>
      <w:r>
        <w:rPr>
          <w:rFonts w:hint="eastAsia" w:ascii="宋体" w:hAnsi="宋体" w:cs="宋体"/>
          <w:bCs/>
          <w:snapToGrid w:val="0"/>
          <w:color w:val="000000"/>
          <w:kern w:val="0"/>
          <w:sz w:val="22"/>
          <w:szCs w:val="22"/>
        </w:rPr>
        <w:t>投标人应充分了解本项目的总体情况以及影响投标报价的其他要素。</w:t>
      </w:r>
    </w:p>
    <w:p>
      <w:pPr>
        <w:spacing w:line="48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3.2.3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分项报价表”中的相应报价。此修改须符合本章第4.3款的有关要求。</w:t>
      </w:r>
    </w:p>
    <w:p>
      <w:pPr>
        <w:spacing w:line="480" w:lineRule="exact"/>
        <w:ind w:firstLine="440" w:firstLineChars="200"/>
        <w:jc w:val="left"/>
        <w:rPr>
          <w:rFonts w:hint="eastAsia" w:ascii="宋体" w:hAnsi="宋体" w:cs="宋体"/>
          <w:bCs/>
          <w:snapToGrid w:val="0"/>
          <w:color w:val="000000"/>
          <w:kern w:val="0"/>
          <w:sz w:val="22"/>
          <w:szCs w:val="22"/>
        </w:rPr>
      </w:pPr>
      <w:r>
        <w:rPr>
          <w:rFonts w:hint="eastAsia" w:ascii="宋体" w:hAnsi="宋体" w:cs="宋体"/>
          <w:sz w:val="22"/>
          <w:szCs w:val="22"/>
        </w:rPr>
        <w:t>3.2.4</w:t>
      </w:r>
      <w:r>
        <w:rPr>
          <w:rFonts w:hint="eastAsia" w:ascii="宋体" w:hAnsi="宋体" w:cs="宋体"/>
          <w:bCs/>
          <w:snapToGrid w:val="0"/>
          <w:color w:val="000000"/>
          <w:kern w:val="0"/>
          <w:sz w:val="22"/>
          <w:szCs w:val="22"/>
        </w:rPr>
        <w:t>招标人设有最高投标限价的，投标人的投标报价不得超过最高投标限价，最高投标限价在投标人须知前附表中载明。</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sz w:val="22"/>
          <w:szCs w:val="22"/>
        </w:rPr>
        <w:t xml:space="preserve">3.2.5 </w:t>
      </w:r>
      <w:r>
        <w:rPr>
          <w:rFonts w:hint="eastAsia" w:ascii="宋体" w:hAnsi="宋体" w:cs="宋体"/>
          <w:bCs/>
          <w:snapToGrid w:val="0"/>
          <w:color w:val="000000"/>
          <w:kern w:val="0"/>
          <w:sz w:val="22"/>
          <w:szCs w:val="22"/>
        </w:rPr>
        <w:t>投标报价的其他要求见投标人须知前附表。</w:t>
      </w:r>
    </w:p>
    <w:p>
      <w:pPr>
        <w:pStyle w:val="4"/>
        <w:spacing w:before="0" w:after="0" w:line="48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3.3 投标有效期</w:t>
      </w:r>
      <w:bookmarkEnd w:id="121"/>
      <w:bookmarkEnd w:id="122"/>
      <w:bookmarkEnd w:id="123"/>
      <w:bookmarkEnd w:id="124"/>
    </w:p>
    <w:p>
      <w:pPr>
        <w:spacing w:line="480" w:lineRule="exact"/>
        <w:ind w:firstLine="440" w:firstLineChars="200"/>
        <w:jc w:val="left"/>
        <w:rPr>
          <w:rFonts w:hint="eastAsia" w:ascii="宋体" w:hAnsi="宋体" w:cs="宋体"/>
          <w:sz w:val="22"/>
          <w:szCs w:val="22"/>
        </w:rPr>
      </w:pPr>
      <w:bookmarkStart w:id="125" w:name="_Toc152045550"/>
      <w:bookmarkStart w:id="126" w:name="_Toc152042326"/>
      <w:bookmarkStart w:id="127" w:name="_Toc179632568"/>
      <w:bookmarkStart w:id="128" w:name="_Toc144974518"/>
      <w:r>
        <w:rPr>
          <w:rFonts w:hint="eastAsia" w:ascii="宋体" w:hAnsi="宋体" w:cs="宋体"/>
          <w:snapToGrid w:val="0"/>
          <w:color w:val="000000"/>
          <w:kern w:val="0"/>
          <w:sz w:val="22"/>
          <w:szCs w:val="22"/>
          <w:shd w:val="clear" w:color="auto" w:fill="FFFFFF"/>
        </w:rPr>
        <w:t>3.3.1</w:t>
      </w:r>
      <w:r>
        <w:rPr>
          <w:rFonts w:hint="eastAsia" w:ascii="宋体" w:hAnsi="宋体" w:cs="宋体"/>
          <w:sz w:val="22"/>
          <w:szCs w:val="22"/>
        </w:rPr>
        <w:t xml:space="preserve"> </w:t>
      </w:r>
      <w:r>
        <w:rPr>
          <w:rFonts w:hint="eastAsia" w:ascii="宋体" w:hAnsi="宋体" w:cs="宋体"/>
          <w:bCs/>
          <w:snapToGrid w:val="0"/>
          <w:color w:val="000000"/>
          <w:kern w:val="0"/>
          <w:sz w:val="22"/>
          <w:szCs w:val="22"/>
        </w:rPr>
        <w:t>除投标人须知前附表另有规定外，投标有效期为90日。</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 xml:space="preserve">3.3.2 </w:t>
      </w:r>
      <w:r>
        <w:rPr>
          <w:rFonts w:hint="eastAsia" w:ascii="宋体" w:hAnsi="宋体" w:cs="宋体"/>
          <w:bCs/>
          <w:snapToGrid w:val="0"/>
          <w:color w:val="000000"/>
          <w:kern w:val="0"/>
          <w:sz w:val="22"/>
          <w:szCs w:val="22"/>
        </w:rPr>
        <w:t>在投标有效期内，投标人撤销投标文件的，应承担招标文件和法律规定的责任。</w:t>
      </w:r>
    </w:p>
    <w:p>
      <w:pPr>
        <w:spacing w:line="480" w:lineRule="exact"/>
        <w:ind w:firstLine="440" w:firstLineChars="200"/>
        <w:jc w:val="left"/>
        <w:rPr>
          <w:rFonts w:hint="eastAsia" w:ascii="宋体" w:hAnsi="宋体" w:cs="宋体"/>
          <w:sz w:val="22"/>
          <w:szCs w:val="22"/>
        </w:rPr>
      </w:pPr>
      <w:r>
        <w:rPr>
          <w:rFonts w:hint="eastAsia" w:ascii="宋体" w:hAnsi="宋体" w:cs="宋体"/>
          <w:sz w:val="22"/>
          <w:szCs w:val="22"/>
        </w:rPr>
        <w:t xml:space="preserve">3.3.3 </w:t>
      </w:r>
      <w:r>
        <w:rPr>
          <w:rFonts w:hint="eastAsia" w:ascii="宋体" w:hAnsi="宋体" w:cs="宋体"/>
          <w:bCs/>
          <w:snapToGrid w:val="0"/>
          <w:color w:val="000000"/>
          <w:kern w:val="0"/>
          <w:sz w:val="22"/>
          <w:szCs w:val="22"/>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支票形式递交的投标保证金的银行同期活期存款利息。</w:t>
      </w:r>
    </w:p>
    <w:p>
      <w:pPr>
        <w:pStyle w:val="4"/>
        <w:spacing w:before="0" w:after="0" w:line="48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3.4 投标保证金</w:t>
      </w:r>
      <w:bookmarkEnd w:id="125"/>
      <w:bookmarkEnd w:id="126"/>
      <w:bookmarkEnd w:id="127"/>
      <w:bookmarkEnd w:id="128"/>
    </w:p>
    <w:p>
      <w:pPr>
        <w:spacing w:line="480" w:lineRule="exact"/>
        <w:ind w:firstLine="440" w:firstLineChars="200"/>
        <w:rPr>
          <w:rFonts w:hint="eastAsia" w:ascii="宋体" w:hAnsi="宋体" w:cs="宋体"/>
          <w:sz w:val="22"/>
          <w:szCs w:val="22"/>
        </w:rPr>
      </w:pPr>
      <w:r>
        <w:rPr>
          <w:rFonts w:hint="eastAsia" w:ascii="宋体" w:hAnsi="宋体" w:cs="宋体"/>
          <w:sz w:val="22"/>
          <w:szCs w:val="22"/>
        </w:rPr>
        <w:t>3.4.1 投标人在递交投标文件的同时，应按投标人须知前附表规定的金额、担保形式和第六章“投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由牵头人递交，并应符合投标人须知前附表的规定。</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无论采取何种形式的投标保证金，投标保证金有效期均应与投标有效期一致。招标人如果按本章第3.3.3项的规定延长了投标有效期，则投标保证金的有效期也相应延长。</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3.4.2 投标人不按本章第3.4.1项要求提交投标保证金的，评标委员会将否决其投标。</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 xml:space="preserve">3.4.3 </w:t>
      </w:r>
      <w:r>
        <w:rPr>
          <w:rFonts w:hint="eastAsia" w:ascii="宋体" w:hAnsi="宋体" w:cs="宋体"/>
          <w:bCs/>
          <w:snapToGrid w:val="0"/>
          <w:color w:val="000000"/>
          <w:kern w:val="0"/>
          <w:sz w:val="22"/>
          <w:szCs w:val="22"/>
        </w:rPr>
        <w:t>招标人最迟将在中标通知书发出后5日内向中标候选人以外的其他投标人退还投标保证金，与中标人签订合同后5日内向中标人和其他中标候选人退还投标保证金。投标保证金以现金或</w:t>
      </w:r>
      <w:bookmarkStart w:id="129" w:name="OLE_LINK2"/>
      <w:bookmarkStart w:id="130" w:name="OLE_LINK1"/>
      <w:r>
        <w:rPr>
          <w:rFonts w:hint="eastAsia" w:ascii="宋体" w:hAnsi="宋体" w:cs="宋体"/>
          <w:bCs/>
          <w:snapToGrid w:val="0"/>
          <w:color w:val="000000"/>
          <w:kern w:val="0"/>
          <w:sz w:val="22"/>
          <w:szCs w:val="22"/>
        </w:rPr>
        <w:t>支票</w:t>
      </w:r>
      <w:bookmarkEnd w:id="129"/>
      <w:bookmarkEnd w:id="130"/>
      <w:r>
        <w:rPr>
          <w:rFonts w:hint="eastAsia" w:ascii="宋体" w:hAnsi="宋体" w:cs="宋体"/>
          <w:bCs/>
          <w:snapToGrid w:val="0"/>
          <w:color w:val="000000"/>
          <w:kern w:val="0"/>
          <w:sz w:val="22"/>
          <w:szCs w:val="22"/>
        </w:rPr>
        <w:t>形式递交的，招标人应同时退还投标保证金的银行同期活期存款利息，且退还至投标人的基本账户。</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sz w:val="22"/>
          <w:szCs w:val="22"/>
        </w:rPr>
        <w:t>3.4.4 有下列情形之一的，投标保证</w:t>
      </w:r>
      <w:r>
        <w:rPr>
          <w:rFonts w:hint="eastAsia" w:ascii="宋体" w:hAnsi="宋体" w:cs="宋体"/>
          <w:bCs/>
          <w:snapToGrid w:val="0"/>
          <w:color w:val="000000"/>
          <w:kern w:val="0"/>
          <w:sz w:val="22"/>
          <w:szCs w:val="22"/>
        </w:rPr>
        <w:t xml:space="preserve">金将不予退还： </w:t>
      </w:r>
    </w:p>
    <w:p>
      <w:pPr>
        <w:spacing w:line="480" w:lineRule="exact"/>
        <w:ind w:firstLine="440" w:firstLineChars="200"/>
        <w:rPr>
          <w:rFonts w:hint="eastAsia" w:ascii="宋体" w:hAnsi="宋体" w:cs="宋体"/>
          <w:bCs/>
          <w:snapToGrid w:val="0"/>
          <w:color w:val="000000"/>
          <w:kern w:val="0"/>
          <w:sz w:val="22"/>
          <w:szCs w:val="22"/>
        </w:rPr>
      </w:pPr>
      <w:bookmarkStart w:id="131" w:name="_Toc152045552"/>
      <w:bookmarkStart w:id="132" w:name="_Toc179632570"/>
      <w:bookmarkStart w:id="133" w:name="_Toc152042328"/>
      <w:bookmarkStart w:id="134" w:name="_Toc144974520"/>
      <w:r>
        <w:rPr>
          <w:rFonts w:hint="eastAsia" w:ascii="宋体" w:hAnsi="宋体" w:cs="宋体"/>
          <w:bCs/>
          <w:snapToGrid w:val="0"/>
          <w:color w:val="000000"/>
          <w:kern w:val="0"/>
          <w:sz w:val="22"/>
          <w:szCs w:val="22"/>
        </w:rPr>
        <w:t xml:space="preserve">（1）投标人在规定的投标有效期内撤销其投标文件； </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 xml:space="preserve">（2）中标人在收到中标通知书后，无正当理由不与招标人订立合同，在签订合同时向招标人 </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 xml:space="preserve">提出附加条件，或不按照招标文件要求提交履约保证金； </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 xml:space="preserve">（3）发生投标人须知前附表规定的其他可以不予退还投标保证金的情形。 </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注：如投标保证金采用第二类、第三</w:t>
      </w:r>
      <w:r>
        <w:rPr>
          <w:rFonts w:hint="eastAsia" w:ascii="宋体" w:hAnsi="宋体" w:cs="宋体"/>
          <w:bCs/>
          <w:snapToGrid w:val="0"/>
          <w:color w:val="000000"/>
          <w:kern w:val="0"/>
          <w:sz w:val="22"/>
          <w:szCs w:val="22"/>
          <w:lang w:eastAsia="zh-CN"/>
        </w:rPr>
        <w:t>类型</w:t>
      </w:r>
      <w:r>
        <w:rPr>
          <w:rFonts w:hint="eastAsia" w:ascii="宋体" w:hAnsi="宋体" w:cs="宋体"/>
          <w:bCs/>
          <w:snapToGrid w:val="0"/>
          <w:color w:val="000000"/>
          <w:kern w:val="0"/>
          <w:sz w:val="22"/>
          <w:szCs w:val="22"/>
        </w:rPr>
        <w:t xml:space="preserve">式，出现以上情形的，由受益人向开立人申请索赔。 </w:t>
      </w:r>
    </w:p>
    <w:p>
      <w:pPr>
        <w:pStyle w:val="4"/>
        <w:spacing w:before="0" w:after="0" w:line="48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3.5 资格审查资料</w:t>
      </w:r>
      <w:bookmarkEnd w:id="131"/>
      <w:bookmarkEnd w:id="132"/>
      <w:bookmarkEnd w:id="133"/>
      <w:bookmarkEnd w:id="134"/>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3.5.1 投标人应按投标人须知前附表附录要求提供资格审查资料，内容及格式见第六章“投标文件格式”要求。</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3.5.2 投标人须知前附表规定接受联合体投标的，资格审查资料应包括联合体各方相关情况。</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3.5.3 招标人有权核查投标人在投标文件中提供的资料，若在评标期间发现投标人提供了虚假资料，其投标将被否决；若在签订合同前发现作为中标候选人的投标人提供了虚假资料，招标人有权取消其中标资格。同时招标人将投标人上述弄虚作假行为上报公共资源交易监督管理部门，作为不良记录记入交易主体信用信息。</w:t>
      </w:r>
    </w:p>
    <w:p>
      <w:pPr>
        <w:pStyle w:val="4"/>
        <w:spacing w:before="0" w:after="0" w:line="480" w:lineRule="exact"/>
        <w:ind w:firstLine="440" w:firstLineChars="200"/>
        <w:rPr>
          <w:rFonts w:hint="eastAsia" w:ascii="宋体" w:hAnsi="宋体" w:eastAsia="宋体" w:cs="宋体"/>
          <w:sz w:val="22"/>
          <w:szCs w:val="22"/>
        </w:rPr>
      </w:pPr>
      <w:bookmarkStart w:id="135" w:name="_Toc144974521"/>
      <w:bookmarkStart w:id="136" w:name="_Toc179632571"/>
      <w:bookmarkStart w:id="137" w:name="_Toc152045553"/>
      <w:bookmarkStart w:id="138" w:name="_Toc152042329"/>
      <w:r>
        <w:rPr>
          <w:rFonts w:hint="eastAsia" w:ascii="宋体" w:hAnsi="宋体" w:eastAsia="宋体" w:cs="宋体"/>
          <w:sz w:val="22"/>
          <w:szCs w:val="22"/>
        </w:rPr>
        <w:t>3.6 备选投标方案</w:t>
      </w:r>
      <w:bookmarkEnd w:id="135"/>
      <w:bookmarkEnd w:id="136"/>
      <w:bookmarkEnd w:id="137"/>
      <w:bookmarkEnd w:id="138"/>
    </w:p>
    <w:p>
      <w:pPr>
        <w:spacing w:line="480" w:lineRule="exact"/>
        <w:ind w:firstLine="440" w:firstLineChars="200"/>
        <w:rPr>
          <w:rFonts w:hint="eastAsia" w:ascii="宋体" w:hAnsi="宋体" w:cs="宋体"/>
          <w:sz w:val="22"/>
          <w:szCs w:val="22"/>
        </w:rPr>
      </w:pPr>
      <w:bookmarkStart w:id="139" w:name="_Toc152042330"/>
      <w:bookmarkStart w:id="140" w:name="_Toc179632572"/>
      <w:bookmarkStart w:id="141" w:name="_Toc144974522"/>
      <w:bookmarkStart w:id="142" w:name="_Toc152045554"/>
      <w:r>
        <w:rPr>
          <w:rFonts w:hint="eastAsia" w:ascii="宋体" w:hAnsi="宋体" w:cs="宋体"/>
          <w:sz w:val="22"/>
          <w:szCs w:val="22"/>
        </w:rPr>
        <w:t xml:space="preserve">3.6.1 </w:t>
      </w:r>
      <w:r>
        <w:rPr>
          <w:rFonts w:hint="eastAsia" w:ascii="宋体" w:hAnsi="宋体" w:cs="宋体"/>
          <w:bCs/>
          <w:snapToGrid w:val="0"/>
          <w:color w:val="000000"/>
          <w:kern w:val="0"/>
          <w:sz w:val="22"/>
          <w:szCs w:val="22"/>
        </w:rPr>
        <w:t>除投标人须知前附表规定允许外，投标人不得递交备选投标方案，否则其投标将被否决。</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 xml:space="preserve">3.6.2 </w:t>
      </w:r>
      <w:r>
        <w:rPr>
          <w:rFonts w:hint="eastAsia" w:ascii="宋体" w:hAnsi="宋体" w:cs="宋体"/>
          <w:bCs/>
          <w:snapToGrid w:val="0"/>
          <w:color w:val="000000"/>
          <w:kern w:val="0"/>
          <w:sz w:val="22"/>
          <w:szCs w:val="22"/>
        </w:rPr>
        <w:t>允许投标人递交备选投标方案的，只有中标人所递交的备选投标方案方可予以考虑。评标委员会认为中标人的备选投标方案优于其按照招标文件要求编制的投标方案的，招标人可以接受该备选投标方案。</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sz w:val="22"/>
          <w:szCs w:val="22"/>
        </w:rPr>
        <w:t xml:space="preserve">3.6.3 </w:t>
      </w:r>
      <w:r>
        <w:rPr>
          <w:rFonts w:hint="eastAsia" w:ascii="宋体" w:hAnsi="宋体" w:cs="宋体"/>
          <w:bCs/>
          <w:snapToGrid w:val="0"/>
          <w:color w:val="000000"/>
          <w:kern w:val="0"/>
          <w:sz w:val="22"/>
          <w:szCs w:val="22"/>
        </w:rPr>
        <w:t>投标人提供两个或两个以上投标报价，或在投标文件中提供一个报价，但同时提供两个或两个以上供货方案的，视为提供备选方案。</w:t>
      </w:r>
    </w:p>
    <w:p>
      <w:pPr>
        <w:pStyle w:val="4"/>
        <w:spacing w:before="0" w:after="0" w:line="48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3.7 投标文件的编制</w:t>
      </w:r>
      <w:bookmarkEnd w:id="139"/>
      <w:bookmarkEnd w:id="140"/>
      <w:bookmarkEnd w:id="141"/>
      <w:bookmarkEnd w:id="142"/>
    </w:p>
    <w:p>
      <w:pPr>
        <w:spacing w:line="48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3.7.1 投标文件应按第六章“投标文件格式”进行编写，如有必要，可以增加附页，作为投标文件的组成部分。</w:t>
      </w:r>
    </w:p>
    <w:p>
      <w:pPr>
        <w:spacing w:line="48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3.7.2 投标文件应当对招标文件有关交货期、投标有效期、供货要求、招标范围等实质性内容作出响应。投标文件在满足招标文件实质性要求的基础上，可以提出比招标文件要求更有利于招标人的承诺。</w:t>
      </w:r>
    </w:p>
    <w:p>
      <w:pPr>
        <w:spacing w:line="480" w:lineRule="exact"/>
        <w:ind w:firstLine="440" w:firstLineChars="200"/>
        <w:rPr>
          <w:rFonts w:hint="eastAsia" w:ascii="宋体" w:hAnsi="宋体" w:cs="宋体"/>
          <w:snapToGrid w:val="0"/>
          <w:color w:val="000000"/>
          <w:kern w:val="0"/>
          <w:sz w:val="22"/>
          <w:szCs w:val="22"/>
          <w:shd w:val="clear" w:color="auto" w:fill="FFFFFF"/>
        </w:rPr>
      </w:pPr>
      <w:r>
        <w:rPr>
          <w:rFonts w:hint="eastAsia" w:ascii="宋体" w:hAnsi="宋体" w:cs="宋体"/>
          <w:snapToGrid w:val="0"/>
          <w:color w:val="000000"/>
          <w:kern w:val="0"/>
          <w:sz w:val="22"/>
          <w:szCs w:val="22"/>
          <w:shd w:val="clear" w:color="auto" w:fill="FFFFFF"/>
        </w:rPr>
        <w:t>3.7.3 投标文件的制作应满足以下规定：</w:t>
      </w:r>
    </w:p>
    <w:p>
      <w:pPr>
        <w:spacing w:line="480" w:lineRule="exact"/>
        <w:ind w:firstLine="440" w:firstLineChars="200"/>
        <w:rPr>
          <w:rFonts w:hint="eastAsia" w:ascii="宋体" w:hAnsi="宋体" w:cs="宋体"/>
          <w:snapToGrid w:val="0"/>
          <w:color w:val="000000"/>
          <w:kern w:val="0"/>
          <w:sz w:val="22"/>
          <w:szCs w:val="22"/>
          <w:shd w:val="clear" w:color="auto" w:fill="FFFFFF"/>
        </w:rPr>
      </w:pPr>
      <w:r>
        <w:rPr>
          <w:rFonts w:hint="eastAsia" w:ascii="宋体" w:hAnsi="宋体" w:cs="宋体"/>
          <w:snapToGrid w:val="0"/>
          <w:color w:val="000000"/>
          <w:kern w:val="0"/>
          <w:sz w:val="22"/>
          <w:szCs w:val="22"/>
          <w:shd w:val="clear" w:color="auto" w:fill="FFFFFF"/>
        </w:rPr>
        <w:t>（1）投标文件由投标人使用电子交易系统提供的“投标文件制作工具”制作生成。“投标文件制作工具”可以通过电子交易系统下载。</w:t>
      </w:r>
    </w:p>
    <w:p>
      <w:pPr>
        <w:spacing w:line="480" w:lineRule="exact"/>
        <w:ind w:firstLine="440" w:firstLineChars="200"/>
        <w:rPr>
          <w:rFonts w:hint="eastAsia" w:ascii="宋体" w:hAnsi="宋体" w:cs="宋体"/>
          <w:snapToGrid w:val="0"/>
          <w:color w:val="000000"/>
          <w:kern w:val="0"/>
          <w:sz w:val="22"/>
          <w:szCs w:val="22"/>
          <w:shd w:val="clear" w:color="auto" w:fill="FFFFFF"/>
        </w:rPr>
      </w:pPr>
      <w:r>
        <w:rPr>
          <w:rFonts w:hint="eastAsia" w:ascii="宋体" w:hAnsi="宋体" w:cs="宋体"/>
          <w:snapToGrid w:val="0"/>
          <w:color w:val="000000"/>
          <w:kern w:val="0"/>
          <w:sz w:val="22"/>
          <w:szCs w:val="22"/>
          <w:shd w:val="clear" w:color="auto" w:fill="FFFFFF"/>
        </w:rPr>
        <w:t>（2）在第六章“投标文件格式”中要求盖单位章和（或）签字处，投标人应加盖投标人单位电子印章和（或）法定代表人的个人电子印章/电子签名章。联合体投标的，除联合体协议书外，投标文件由联合体牵头人按上述规定加盖联合体牵头人单位电子印章和（或）法定代表人的个人电子印章/电子签名章。</w:t>
      </w:r>
    </w:p>
    <w:p>
      <w:pPr>
        <w:spacing w:line="480" w:lineRule="exact"/>
        <w:ind w:firstLine="440" w:firstLineChars="200"/>
        <w:rPr>
          <w:rFonts w:hint="eastAsia" w:ascii="宋体" w:hAnsi="宋体" w:cs="宋体"/>
          <w:snapToGrid w:val="0"/>
          <w:color w:val="000000"/>
          <w:kern w:val="0"/>
          <w:sz w:val="22"/>
          <w:szCs w:val="22"/>
          <w:shd w:val="clear" w:color="auto" w:fill="FFFFFF"/>
        </w:rPr>
      </w:pPr>
      <w:r>
        <w:rPr>
          <w:rFonts w:hint="eastAsia" w:ascii="宋体" w:hAnsi="宋体" w:cs="宋体"/>
          <w:snapToGrid w:val="0"/>
          <w:color w:val="000000"/>
          <w:kern w:val="0"/>
          <w:sz w:val="22"/>
          <w:szCs w:val="22"/>
          <w:shd w:val="clear" w:color="auto" w:fill="FFFFFF"/>
        </w:rPr>
        <w:t>（3）投标文件制作完成后，投标人应对投标文件进行文件加密，形成加密的投标文件。采用数字证书加密的，加密时投标文件的所有内容均只能使用同一</w:t>
      </w:r>
      <w:r>
        <w:rPr>
          <w:rFonts w:hint="eastAsia" w:ascii="宋体" w:hAnsi="宋体" w:cs="宋体"/>
          <w:snapToGrid w:val="0"/>
          <w:color w:val="000000"/>
          <w:kern w:val="0"/>
          <w:sz w:val="22"/>
          <w:szCs w:val="22"/>
          <w:shd w:val="clear" w:color="auto" w:fill="FFFFFF"/>
          <w:lang w:eastAsia="zh-CN"/>
        </w:rPr>
        <w:t>张</w:t>
      </w:r>
      <w:r>
        <w:rPr>
          <w:rFonts w:hint="eastAsia" w:ascii="宋体" w:hAnsi="宋体" w:cs="宋体"/>
          <w:snapToGrid w:val="0"/>
          <w:color w:val="000000"/>
          <w:kern w:val="0"/>
          <w:sz w:val="22"/>
          <w:szCs w:val="22"/>
          <w:shd w:val="clear" w:color="auto" w:fill="FFFFFF"/>
        </w:rPr>
        <w:t>数字证书进行加密，否则引起的解密失败责任由投标人自行承担。</w:t>
      </w:r>
    </w:p>
    <w:p>
      <w:pPr>
        <w:spacing w:line="480" w:lineRule="exact"/>
        <w:ind w:firstLine="440" w:firstLineChars="200"/>
        <w:rPr>
          <w:rFonts w:hint="eastAsia" w:ascii="宋体" w:hAnsi="宋体" w:cs="宋体"/>
          <w:snapToGrid w:val="0"/>
          <w:color w:val="000000"/>
          <w:kern w:val="0"/>
          <w:sz w:val="22"/>
          <w:szCs w:val="22"/>
          <w:shd w:val="clear" w:color="auto" w:fill="FFFFFF"/>
        </w:rPr>
      </w:pPr>
      <w:r>
        <w:rPr>
          <w:rFonts w:hint="eastAsia" w:ascii="宋体" w:hAnsi="宋体" w:cs="宋体"/>
          <w:snapToGrid w:val="0"/>
          <w:color w:val="000000"/>
          <w:kern w:val="0"/>
          <w:sz w:val="22"/>
          <w:szCs w:val="22"/>
          <w:shd w:val="clear" w:color="auto" w:fill="FFFFFF"/>
        </w:rPr>
        <w:t>（4）投标文件制作的具体方法详见“投标文件制作工具”中的帮助文档。</w:t>
      </w:r>
    </w:p>
    <w:p>
      <w:pPr>
        <w:spacing w:line="480" w:lineRule="exact"/>
        <w:ind w:firstLine="440" w:firstLineChars="200"/>
        <w:rPr>
          <w:rFonts w:hint="eastAsia" w:ascii="宋体" w:hAnsi="宋体" w:cs="宋体"/>
          <w:snapToGrid w:val="0"/>
          <w:color w:val="000000"/>
          <w:kern w:val="0"/>
          <w:sz w:val="22"/>
          <w:szCs w:val="22"/>
          <w:shd w:val="clear" w:color="auto" w:fill="FFFFFF"/>
        </w:rPr>
      </w:pPr>
      <w:r>
        <w:rPr>
          <w:rFonts w:hint="eastAsia" w:ascii="宋体" w:hAnsi="宋体" w:cs="宋体"/>
          <w:snapToGrid w:val="0"/>
          <w:color w:val="000000"/>
          <w:kern w:val="0"/>
          <w:sz w:val="22"/>
          <w:szCs w:val="22"/>
          <w:shd w:val="clear" w:color="auto" w:fill="FFFFFF"/>
        </w:rPr>
        <w:t>3.7.4 电子交易系统生成加密投标文件时，同时生成非加密投标文件，作为加密投标文件无法解密、导入时的补救措施。投标人应按投标人须知前附表的要求递交非加密投标文件。</w:t>
      </w:r>
    </w:p>
    <w:p>
      <w:pPr>
        <w:spacing w:line="480" w:lineRule="exact"/>
        <w:ind w:firstLine="440" w:firstLineChars="200"/>
        <w:rPr>
          <w:rFonts w:hint="eastAsia" w:ascii="宋体" w:hAnsi="宋体" w:cs="宋体"/>
          <w:snapToGrid w:val="0"/>
          <w:color w:val="000000"/>
          <w:kern w:val="0"/>
          <w:sz w:val="22"/>
          <w:szCs w:val="22"/>
          <w:shd w:val="clear" w:color="auto" w:fill="FFFFFF"/>
        </w:rPr>
      </w:pPr>
      <w:r>
        <w:rPr>
          <w:rFonts w:hint="eastAsia" w:ascii="宋体" w:hAnsi="宋体" w:cs="宋体"/>
          <w:snapToGrid w:val="0"/>
          <w:color w:val="000000"/>
          <w:kern w:val="0"/>
          <w:sz w:val="22"/>
          <w:szCs w:val="22"/>
          <w:shd w:val="clear" w:color="auto" w:fill="FFFFFF"/>
        </w:rPr>
        <w:t>3.7.5 因投标人自身原因而导致投标文件（指解密后的投标文件或启用补救措施下的非加密投标文件）无法导入电子交易系统电子开标、评标系统，该投标视为无效投标，投标人自行承担由此导致的全部责任。</w:t>
      </w:r>
    </w:p>
    <w:p>
      <w:pPr>
        <w:pStyle w:val="3"/>
        <w:spacing w:before="0" w:after="0" w:line="480" w:lineRule="exact"/>
        <w:rPr>
          <w:rFonts w:hint="eastAsia" w:ascii="宋体" w:hAnsi="宋体" w:cs="宋体"/>
          <w:bCs w:val="0"/>
          <w:sz w:val="22"/>
          <w:szCs w:val="22"/>
        </w:rPr>
      </w:pPr>
      <w:bookmarkStart w:id="143" w:name="_Toc26781056"/>
      <w:bookmarkStart w:id="144" w:name="_Toc152045555"/>
      <w:bookmarkStart w:id="145" w:name="_Toc179632573"/>
      <w:bookmarkStart w:id="146" w:name="_Toc144974523"/>
      <w:bookmarkStart w:id="147" w:name="_Toc152042331"/>
      <w:r>
        <w:rPr>
          <w:rFonts w:hint="eastAsia" w:ascii="宋体" w:hAnsi="宋体" w:cs="宋体"/>
          <w:bCs w:val="0"/>
          <w:sz w:val="22"/>
          <w:szCs w:val="22"/>
        </w:rPr>
        <w:t>4. 投标</w:t>
      </w:r>
      <w:bookmarkEnd w:id="143"/>
      <w:bookmarkEnd w:id="144"/>
      <w:bookmarkEnd w:id="145"/>
      <w:bookmarkEnd w:id="146"/>
      <w:bookmarkEnd w:id="147"/>
    </w:p>
    <w:p>
      <w:pPr>
        <w:pStyle w:val="4"/>
        <w:spacing w:before="0" w:after="0" w:line="480" w:lineRule="exact"/>
        <w:ind w:firstLine="440" w:firstLineChars="200"/>
        <w:rPr>
          <w:rFonts w:hint="eastAsia" w:ascii="宋体" w:hAnsi="宋体" w:eastAsia="宋体" w:cs="宋体"/>
          <w:sz w:val="22"/>
          <w:szCs w:val="22"/>
        </w:rPr>
      </w:pPr>
      <w:bookmarkStart w:id="148" w:name="_Toc152042332"/>
      <w:bookmarkStart w:id="149" w:name="_Toc152045556"/>
      <w:bookmarkStart w:id="150" w:name="_Toc179632574"/>
      <w:bookmarkStart w:id="151" w:name="_Toc144974524"/>
      <w:r>
        <w:rPr>
          <w:rFonts w:hint="eastAsia" w:ascii="宋体" w:hAnsi="宋体" w:eastAsia="宋体" w:cs="宋体"/>
          <w:sz w:val="22"/>
          <w:szCs w:val="22"/>
        </w:rPr>
        <w:t>4.1 投标文件的加密（密封）和标记</w:t>
      </w:r>
      <w:bookmarkEnd w:id="148"/>
      <w:bookmarkEnd w:id="149"/>
      <w:bookmarkEnd w:id="150"/>
      <w:bookmarkEnd w:id="151"/>
    </w:p>
    <w:p>
      <w:pPr>
        <w:spacing w:line="480" w:lineRule="exact"/>
        <w:ind w:firstLine="440" w:firstLineChars="200"/>
        <w:rPr>
          <w:rFonts w:hint="eastAsia" w:ascii="宋体" w:hAnsi="宋体" w:cs="宋体"/>
          <w:sz w:val="22"/>
          <w:szCs w:val="22"/>
        </w:rPr>
      </w:pPr>
      <w:r>
        <w:rPr>
          <w:rFonts w:hint="eastAsia" w:ascii="宋体" w:hAnsi="宋体" w:cs="宋体"/>
          <w:sz w:val="22"/>
          <w:szCs w:val="22"/>
        </w:rPr>
        <w:t xml:space="preserve">4.1.1 </w:t>
      </w:r>
      <w:r>
        <w:rPr>
          <w:rFonts w:hint="eastAsia" w:ascii="宋体" w:hAnsi="宋体" w:cs="宋体"/>
          <w:bCs/>
          <w:snapToGrid w:val="0"/>
          <w:color w:val="000000"/>
          <w:kern w:val="0"/>
          <w:sz w:val="22"/>
          <w:szCs w:val="22"/>
        </w:rPr>
        <w:t>投标文件应按照本章第 3.7.3 项要求制作并加密，未按要求加密的投标文件将被拒绝接收。</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sz w:val="22"/>
          <w:szCs w:val="22"/>
        </w:rPr>
        <w:t xml:space="preserve">4.1.2 </w:t>
      </w:r>
      <w:r>
        <w:rPr>
          <w:rFonts w:hint="eastAsia" w:ascii="宋体" w:hAnsi="宋体" w:cs="宋体"/>
          <w:bCs/>
          <w:snapToGrid w:val="0"/>
          <w:color w:val="000000"/>
          <w:kern w:val="0"/>
          <w:sz w:val="22"/>
          <w:szCs w:val="22"/>
        </w:rPr>
        <w:t>如投标人须知前附表规定接受投标人提供非加密投标文件（与加密的投标文件为同时生成的版本），则非加密投标文件应当单独密封包装在一个封套中。封套的封口处加盖投标人单位章或由投标人的</w:t>
      </w:r>
      <w:r>
        <w:rPr>
          <w:rFonts w:hint="eastAsia" w:ascii="宋体" w:hAnsi="宋体" w:cs="宋体"/>
          <w:bCs/>
          <w:snapToGrid w:val="0"/>
          <w:color w:val="000000"/>
          <w:kern w:val="0"/>
          <w:sz w:val="22"/>
          <w:szCs w:val="22"/>
          <w:lang w:eastAsia="zh-CN"/>
        </w:rPr>
        <w:t>法定代表人</w:t>
      </w:r>
      <w:r>
        <w:rPr>
          <w:rFonts w:hint="eastAsia" w:ascii="宋体" w:hAnsi="宋体" w:cs="宋体"/>
          <w:bCs/>
          <w:snapToGrid w:val="0"/>
          <w:color w:val="000000"/>
          <w:kern w:val="0"/>
          <w:sz w:val="22"/>
          <w:szCs w:val="22"/>
        </w:rPr>
        <w:t>或其授权的代理人签字。</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采用工程保函形式提交投标保证金的，工程保函原件应密封在单独的封套中。</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非加密投标文件及银行保函封套上应写明的内容要求见投标人须知前附表。</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非加密投标文件及银行保函未按规定封装或加写标记，招标人将不承担投标文件未被开启或提前开启的责任。</w:t>
      </w:r>
    </w:p>
    <w:p>
      <w:pPr>
        <w:pStyle w:val="4"/>
        <w:spacing w:before="0" w:after="0" w:line="480" w:lineRule="exact"/>
        <w:ind w:firstLine="440" w:firstLineChars="200"/>
        <w:rPr>
          <w:rFonts w:hint="eastAsia" w:ascii="宋体" w:hAnsi="宋体" w:eastAsia="宋体" w:cs="宋体"/>
          <w:sz w:val="22"/>
          <w:szCs w:val="22"/>
        </w:rPr>
      </w:pPr>
      <w:bookmarkStart w:id="152" w:name="_Toc152045557"/>
      <w:bookmarkStart w:id="153" w:name="_Toc179632575"/>
      <w:bookmarkStart w:id="154" w:name="_Toc144974525"/>
      <w:bookmarkStart w:id="155" w:name="_Toc152042333"/>
      <w:r>
        <w:rPr>
          <w:rFonts w:hint="eastAsia" w:ascii="宋体" w:hAnsi="宋体" w:eastAsia="宋体" w:cs="宋体"/>
          <w:sz w:val="22"/>
          <w:szCs w:val="22"/>
        </w:rPr>
        <w:t>4.2 投标文件的递交</w:t>
      </w:r>
      <w:bookmarkEnd w:id="152"/>
      <w:bookmarkEnd w:id="153"/>
      <w:bookmarkEnd w:id="154"/>
      <w:bookmarkEnd w:id="155"/>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sz w:val="22"/>
          <w:szCs w:val="22"/>
        </w:rPr>
        <w:t xml:space="preserve">4.2.1 </w:t>
      </w:r>
      <w:r>
        <w:rPr>
          <w:rFonts w:hint="eastAsia" w:ascii="宋体" w:hAnsi="宋体" w:cs="宋体"/>
          <w:bCs/>
          <w:snapToGrid w:val="0"/>
          <w:color w:val="000000"/>
          <w:kern w:val="0"/>
          <w:sz w:val="22"/>
          <w:szCs w:val="22"/>
        </w:rPr>
        <w:t>投标人应当在第一章“招标公告”规定的投标截止时间前，将加密投标文件在电子交易系统上传。</w:t>
      </w:r>
    </w:p>
    <w:p>
      <w:pPr>
        <w:spacing w:line="480" w:lineRule="exact"/>
        <w:ind w:firstLine="440" w:firstLineChars="200"/>
        <w:rPr>
          <w:rFonts w:hint="eastAsia" w:ascii="宋体" w:hAnsi="宋体" w:cs="宋体"/>
          <w:sz w:val="22"/>
          <w:szCs w:val="22"/>
        </w:rPr>
      </w:pPr>
      <w:r>
        <w:rPr>
          <w:rFonts w:hint="eastAsia" w:ascii="宋体" w:hAnsi="宋体" w:cs="宋体"/>
          <w:bCs/>
          <w:snapToGrid w:val="0"/>
          <w:color w:val="000000"/>
          <w:kern w:val="0"/>
          <w:sz w:val="22"/>
          <w:szCs w:val="22"/>
        </w:rPr>
        <w:t>4.2.2 投标</w:t>
      </w:r>
      <w:r>
        <w:rPr>
          <w:rFonts w:hint="eastAsia" w:ascii="宋体" w:hAnsi="宋体" w:cs="宋体"/>
          <w:sz w:val="22"/>
          <w:szCs w:val="22"/>
        </w:rPr>
        <w:t>人递交非加密投标文件的地点：见投标人须知前附表。招标人收到非加密投标文件后由投标人代表登记或向投标人出具签收凭证。</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4.2.3 除投标人须知前附表另有规定外，投标人所递交的投标文件不予退还。</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4.2.4</w:t>
      </w:r>
      <w:r>
        <w:rPr>
          <w:rFonts w:hint="eastAsia" w:ascii="宋体" w:hAnsi="宋体" w:cs="宋体"/>
          <w:snapToGrid w:val="0"/>
          <w:color w:val="000000"/>
          <w:kern w:val="0"/>
          <w:sz w:val="22"/>
          <w:szCs w:val="22"/>
        </w:rPr>
        <w:t xml:space="preserve"> 投标人应当在投标截止时间前完成投标文件的传输递交（以接收到电子签收凭证为准），并可以补充、修改或者撤回投标文件。投标截止时间前未完成投标文件传输的，视为撤回投标文件。未按规定加密或投标截止时间后送达的投标文件，电子交易系统应当拒收。</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4.2.5如投标人须知前附表允许递交非加密投标文件，投标人逾期送达的或者未送达指定地点的非加密投标文件，招标人不予接收，但不影响其已按招标文件要求从电子交易系统递交的加密投标文件的有效性。未从电子交易系统递交加密投标文件的，投标人递交的非加密投标文件将被视为无效。</w:t>
      </w:r>
    </w:p>
    <w:p>
      <w:pPr>
        <w:spacing w:line="480" w:lineRule="exact"/>
        <w:ind w:firstLine="440" w:firstLineChars="200"/>
        <w:rPr>
          <w:rFonts w:hint="eastAsia" w:ascii="宋体" w:hAnsi="宋体" w:cs="宋体"/>
          <w:sz w:val="22"/>
          <w:szCs w:val="22"/>
        </w:rPr>
      </w:pPr>
      <w:r>
        <w:rPr>
          <w:rFonts w:hint="eastAsia" w:ascii="宋体" w:hAnsi="宋体" w:cs="宋体"/>
          <w:bCs/>
          <w:snapToGrid w:val="0"/>
          <w:color w:val="000000"/>
          <w:kern w:val="0"/>
          <w:sz w:val="22"/>
          <w:szCs w:val="22"/>
        </w:rPr>
        <w:t>4.2.6投标人在本章第5.2款规定的解密开始规定时间（以电子交易系统解密倒计时为准）内完成投标文件的解密工作，未能成功解密的投标人，如投标人须知前附表允许使用非加密投标文件作为备份，并且投标人在投标截止时间之前到达开标现场并递交非加密投标文件，则可导入非加密投标文件继续开标。若电子交易系统识别出非加密投标文件和加密投标文件识别码不一致，电子交易系统将拒绝导入。</w:t>
      </w:r>
    </w:p>
    <w:p>
      <w:pPr>
        <w:pStyle w:val="4"/>
        <w:spacing w:before="0" w:after="0" w:line="480" w:lineRule="exact"/>
        <w:ind w:firstLine="440" w:firstLineChars="200"/>
        <w:rPr>
          <w:rFonts w:hint="eastAsia" w:ascii="宋体" w:hAnsi="宋体" w:eastAsia="宋体" w:cs="宋体"/>
          <w:sz w:val="22"/>
          <w:szCs w:val="22"/>
        </w:rPr>
      </w:pPr>
      <w:bookmarkStart w:id="156" w:name="_Toc179632576"/>
      <w:bookmarkStart w:id="157" w:name="_Toc152045558"/>
      <w:bookmarkStart w:id="158" w:name="_Toc152042334"/>
      <w:bookmarkStart w:id="159" w:name="_Toc144974526"/>
      <w:r>
        <w:rPr>
          <w:rFonts w:hint="eastAsia" w:ascii="宋体" w:hAnsi="宋体" w:eastAsia="宋体" w:cs="宋体"/>
          <w:sz w:val="22"/>
          <w:szCs w:val="22"/>
        </w:rPr>
        <w:t>4.3 投标文件的修改与撤回</w:t>
      </w:r>
      <w:bookmarkEnd w:id="156"/>
      <w:bookmarkEnd w:id="157"/>
      <w:bookmarkEnd w:id="158"/>
      <w:bookmarkEnd w:id="159"/>
    </w:p>
    <w:p>
      <w:pPr>
        <w:spacing w:line="480" w:lineRule="exact"/>
        <w:ind w:firstLine="440" w:firstLineChars="200"/>
        <w:rPr>
          <w:rFonts w:hint="eastAsia" w:ascii="宋体" w:hAnsi="宋体" w:cs="宋体"/>
          <w:sz w:val="22"/>
          <w:szCs w:val="22"/>
        </w:rPr>
      </w:pPr>
      <w:r>
        <w:rPr>
          <w:rFonts w:hint="eastAsia" w:ascii="宋体" w:hAnsi="宋体" w:cs="宋体"/>
          <w:sz w:val="22"/>
          <w:szCs w:val="22"/>
        </w:rPr>
        <w:t xml:space="preserve">4.3.1 </w:t>
      </w:r>
      <w:r>
        <w:rPr>
          <w:rFonts w:hint="eastAsia" w:ascii="宋体" w:hAnsi="宋体" w:cs="宋体"/>
          <w:bCs/>
          <w:snapToGrid w:val="0"/>
          <w:color w:val="000000"/>
          <w:kern w:val="0"/>
          <w:sz w:val="22"/>
          <w:szCs w:val="22"/>
        </w:rPr>
        <w:t>在本章第4.2.1项规定的投标截止时间前，投标人可以修改或撤回已递交的投标文件。投标人对加密投标文件进行撤回的，应在电子交易系统直接进行撤回操作；投标人对加密投标文件进行修改的，应在投标截止时间前完成上传</w:t>
      </w:r>
      <w:r>
        <w:rPr>
          <w:rFonts w:hint="eastAsia" w:ascii="宋体" w:hAnsi="宋体" w:cs="宋体"/>
          <w:sz w:val="22"/>
          <w:szCs w:val="22"/>
        </w:rPr>
        <w:t>。</w:t>
      </w:r>
      <w:r>
        <w:rPr>
          <w:rFonts w:hint="eastAsia" w:ascii="宋体" w:hAnsi="宋体" w:cs="宋体"/>
          <w:bCs/>
          <w:snapToGrid w:val="0"/>
          <w:color w:val="000000"/>
          <w:kern w:val="0"/>
          <w:sz w:val="22"/>
          <w:szCs w:val="22"/>
        </w:rPr>
        <w:t>投标人修改投标文件的，应使用“投标文件制作工具”制作成完整的投标文件，并按照本章第 3 条、第 4 条规定进行编制、加密和递交。</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4.3.2 投标人修改或撤回已递交的</w:t>
      </w:r>
      <w:r>
        <w:rPr>
          <w:rFonts w:hint="eastAsia" w:ascii="宋体" w:hAnsi="宋体" w:cs="宋体"/>
          <w:bCs/>
          <w:snapToGrid w:val="0"/>
          <w:color w:val="000000"/>
          <w:kern w:val="0"/>
          <w:sz w:val="22"/>
          <w:szCs w:val="22"/>
        </w:rPr>
        <w:t>非加密</w:t>
      </w:r>
      <w:r>
        <w:rPr>
          <w:rFonts w:hint="eastAsia" w:ascii="宋体" w:hAnsi="宋体" w:cs="宋体"/>
          <w:sz w:val="22"/>
          <w:szCs w:val="22"/>
        </w:rPr>
        <w:t>投标文件的，应当以书面形式通知招标人。书面通知应按照本章第3.7.3项的要求签字或盖章。招标人收到书面通知后，向投标人出具签收凭证。</w:t>
      </w:r>
    </w:p>
    <w:p>
      <w:pPr>
        <w:pStyle w:val="3"/>
        <w:spacing w:before="0" w:after="0" w:line="480" w:lineRule="exact"/>
        <w:rPr>
          <w:rFonts w:hint="eastAsia" w:ascii="宋体" w:hAnsi="宋体" w:cs="宋体"/>
          <w:bCs w:val="0"/>
          <w:sz w:val="22"/>
          <w:szCs w:val="22"/>
        </w:rPr>
      </w:pPr>
      <w:bookmarkStart w:id="160" w:name="_Toc26781057"/>
      <w:bookmarkStart w:id="161" w:name="_Toc152045559"/>
      <w:bookmarkStart w:id="162" w:name="_Toc144974527"/>
      <w:bookmarkStart w:id="163" w:name="_Toc152042335"/>
      <w:bookmarkStart w:id="164" w:name="_Toc179632577"/>
      <w:r>
        <w:rPr>
          <w:rFonts w:hint="eastAsia" w:ascii="宋体" w:hAnsi="宋体" w:cs="宋体"/>
          <w:bCs w:val="0"/>
          <w:sz w:val="22"/>
          <w:szCs w:val="22"/>
        </w:rPr>
        <w:t>5. 开标</w:t>
      </w:r>
      <w:bookmarkEnd w:id="160"/>
      <w:bookmarkEnd w:id="161"/>
      <w:bookmarkEnd w:id="162"/>
      <w:bookmarkEnd w:id="163"/>
      <w:bookmarkEnd w:id="164"/>
    </w:p>
    <w:p>
      <w:pPr>
        <w:pStyle w:val="4"/>
        <w:spacing w:before="0" w:after="0" w:line="480" w:lineRule="exact"/>
        <w:ind w:firstLine="440" w:firstLineChars="200"/>
        <w:rPr>
          <w:rFonts w:hint="eastAsia" w:ascii="宋体" w:hAnsi="宋体" w:eastAsia="宋体" w:cs="宋体"/>
          <w:sz w:val="22"/>
          <w:szCs w:val="22"/>
        </w:rPr>
      </w:pPr>
      <w:bookmarkStart w:id="165" w:name="_Toc144974528"/>
      <w:bookmarkStart w:id="166" w:name="_Toc179632578"/>
      <w:bookmarkStart w:id="167" w:name="_Toc152042336"/>
      <w:bookmarkStart w:id="168" w:name="_Toc152045560"/>
      <w:r>
        <w:rPr>
          <w:rFonts w:hint="eastAsia" w:ascii="宋体" w:hAnsi="宋体" w:eastAsia="宋体" w:cs="宋体"/>
          <w:sz w:val="22"/>
          <w:szCs w:val="22"/>
        </w:rPr>
        <w:t>5.1 开标时间和地点</w:t>
      </w:r>
      <w:bookmarkEnd w:id="165"/>
      <w:bookmarkEnd w:id="166"/>
      <w:bookmarkEnd w:id="167"/>
      <w:bookmarkEnd w:id="168"/>
    </w:p>
    <w:p>
      <w:pPr>
        <w:spacing w:line="480" w:lineRule="exact"/>
        <w:ind w:firstLine="440" w:firstLineChars="200"/>
        <w:rPr>
          <w:rFonts w:hint="eastAsia" w:ascii="宋体" w:hAnsi="宋体" w:cs="宋体"/>
          <w:sz w:val="22"/>
          <w:szCs w:val="22"/>
        </w:rPr>
      </w:pPr>
      <w:r>
        <w:rPr>
          <w:rFonts w:hint="eastAsia" w:ascii="宋体" w:hAnsi="宋体" w:cs="宋体"/>
          <w:bCs/>
          <w:snapToGrid w:val="0"/>
          <w:color w:val="000000"/>
          <w:kern w:val="0"/>
          <w:sz w:val="22"/>
          <w:szCs w:val="22"/>
        </w:rPr>
        <w:t>招标人在本章第4.2.1项规定的投标截止时间（开标时间），通过电子交易系统公开开标，所有投标人的法定代表人（单位负责人）或其委托代理人应当准时参加。</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投标人若未派法定代表人（单位负责人）或其委托代理人出席开标活动，视为该投标人默认开标结果。</w:t>
      </w:r>
    </w:p>
    <w:p>
      <w:pPr>
        <w:pStyle w:val="4"/>
        <w:spacing w:before="0" w:after="0" w:line="480" w:lineRule="exact"/>
        <w:ind w:firstLine="440" w:firstLineChars="200"/>
        <w:rPr>
          <w:rFonts w:hint="eastAsia" w:ascii="宋体" w:hAnsi="宋体" w:eastAsia="宋体" w:cs="宋体"/>
          <w:sz w:val="22"/>
          <w:szCs w:val="22"/>
        </w:rPr>
      </w:pPr>
      <w:bookmarkStart w:id="169" w:name="_Toc152042337"/>
      <w:bookmarkStart w:id="170" w:name="_Toc144974529"/>
      <w:bookmarkStart w:id="171" w:name="_Toc179632579"/>
      <w:bookmarkStart w:id="172" w:name="_Toc152045561"/>
      <w:r>
        <w:rPr>
          <w:rFonts w:hint="eastAsia" w:ascii="宋体" w:hAnsi="宋体" w:eastAsia="宋体" w:cs="宋体"/>
          <w:sz w:val="22"/>
          <w:szCs w:val="22"/>
        </w:rPr>
        <w:t>5.2 开标程序</w:t>
      </w:r>
      <w:bookmarkEnd w:id="169"/>
      <w:bookmarkEnd w:id="170"/>
      <w:bookmarkEnd w:id="171"/>
      <w:bookmarkEnd w:id="172"/>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 xml:space="preserve">除投标人须知前附表另有规定外，主持人按下列程序进行开标： </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（1）公布在投标截止时间前通过电子交易系统完成投标文件递交的投标人名称；</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（2）由投标人推选的代表检查非加密投标文件及银行保函原件的密封情况（如有）；</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（3）投标人在投标截止时间后在投标人须知前附表规定的解密时间内完成投标文件的解密工作；</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（4）招标人完成解密工作，导入并读取所有成功解密的投标文件，或招标人成功导入现场递交的非加密投标文件；</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（5）按投标人须知前附表规定公布投标人名称、标段名称、投标报价及其他内容；</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（6）开标结束。</w:t>
      </w:r>
    </w:p>
    <w:p>
      <w:pPr>
        <w:pStyle w:val="4"/>
        <w:spacing w:before="0" w:after="0" w:line="48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5.3 开标异议</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投标人对开标有异议的，应当在开标过程中提出；招标人当场对异议作出答复，并记入开标记录。异议与答复应通过电子交易系统进行。</w:t>
      </w:r>
    </w:p>
    <w:p>
      <w:pPr>
        <w:pStyle w:val="3"/>
        <w:spacing w:before="0" w:after="0" w:line="480" w:lineRule="exact"/>
        <w:rPr>
          <w:rFonts w:hint="eastAsia" w:ascii="宋体" w:hAnsi="宋体" w:cs="宋体"/>
          <w:bCs w:val="0"/>
          <w:sz w:val="22"/>
          <w:szCs w:val="22"/>
        </w:rPr>
      </w:pPr>
      <w:bookmarkStart w:id="173" w:name="_Toc144974530"/>
      <w:bookmarkStart w:id="174" w:name="_Toc152045562"/>
      <w:bookmarkStart w:id="175" w:name="_Toc179632580"/>
      <w:bookmarkStart w:id="176" w:name="_Toc26781058"/>
      <w:bookmarkStart w:id="177" w:name="_Toc152042338"/>
      <w:r>
        <w:rPr>
          <w:rFonts w:hint="eastAsia" w:ascii="宋体" w:hAnsi="宋体" w:cs="宋体"/>
          <w:bCs w:val="0"/>
          <w:sz w:val="22"/>
          <w:szCs w:val="22"/>
        </w:rPr>
        <w:t>6. 评标</w:t>
      </w:r>
      <w:bookmarkEnd w:id="173"/>
      <w:bookmarkEnd w:id="174"/>
      <w:bookmarkEnd w:id="175"/>
      <w:bookmarkEnd w:id="176"/>
      <w:bookmarkEnd w:id="177"/>
    </w:p>
    <w:p>
      <w:pPr>
        <w:pStyle w:val="4"/>
        <w:spacing w:before="0" w:after="0" w:line="480" w:lineRule="exact"/>
        <w:ind w:firstLine="440" w:firstLineChars="200"/>
        <w:rPr>
          <w:rFonts w:hint="eastAsia" w:ascii="宋体" w:hAnsi="宋体" w:eastAsia="宋体" w:cs="宋体"/>
          <w:sz w:val="22"/>
          <w:szCs w:val="22"/>
        </w:rPr>
      </w:pPr>
      <w:bookmarkStart w:id="178" w:name="_Toc179632581"/>
      <w:bookmarkStart w:id="179" w:name="_Toc152042339"/>
      <w:bookmarkStart w:id="180" w:name="_Toc152045563"/>
      <w:bookmarkStart w:id="181" w:name="_Toc144974531"/>
      <w:r>
        <w:rPr>
          <w:rFonts w:hint="eastAsia" w:ascii="宋体" w:hAnsi="宋体" w:eastAsia="宋体" w:cs="宋体"/>
          <w:sz w:val="22"/>
          <w:szCs w:val="22"/>
        </w:rPr>
        <w:t>6.1 评标委员会</w:t>
      </w:r>
      <w:bookmarkEnd w:id="178"/>
      <w:bookmarkEnd w:id="179"/>
      <w:bookmarkEnd w:id="180"/>
      <w:bookmarkEnd w:id="181"/>
    </w:p>
    <w:p>
      <w:pPr>
        <w:spacing w:line="480" w:lineRule="exact"/>
        <w:ind w:firstLine="440" w:firstLineChars="200"/>
        <w:rPr>
          <w:rFonts w:hint="eastAsia" w:ascii="宋体" w:hAnsi="宋体" w:cs="宋体"/>
          <w:sz w:val="22"/>
          <w:szCs w:val="22"/>
        </w:rPr>
      </w:pPr>
      <w:r>
        <w:rPr>
          <w:rFonts w:hint="eastAsia" w:ascii="宋体" w:hAnsi="宋体" w:cs="宋体"/>
          <w:sz w:val="22"/>
          <w:szCs w:val="22"/>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6.1.2 评标委员会成员有下列情形之一的，应当主动提出回避：</w:t>
      </w:r>
    </w:p>
    <w:p>
      <w:pPr>
        <w:spacing w:line="480" w:lineRule="exact"/>
        <w:ind w:firstLine="440" w:firstLineChars="200"/>
        <w:rPr>
          <w:rFonts w:hint="eastAsia" w:ascii="宋体" w:hAnsi="宋体" w:cs="宋体"/>
          <w:sz w:val="22"/>
          <w:szCs w:val="22"/>
        </w:rPr>
      </w:pPr>
      <w:bookmarkStart w:id="182" w:name="_Toc144974532"/>
      <w:bookmarkStart w:id="183" w:name="_Toc152042340"/>
      <w:bookmarkStart w:id="184" w:name="_Toc152045564"/>
      <w:bookmarkStart w:id="185" w:name="_Toc179632582"/>
      <w:r>
        <w:rPr>
          <w:rFonts w:hint="eastAsia" w:ascii="宋体" w:hAnsi="宋体" w:cs="宋体"/>
          <w:sz w:val="22"/>
          <w:szCs w:val="22"/>
        </w:rPr>
        <w:t>（1）</w:t>
      </w:r>
      <w:r>
        <w:rPr>
          <w:rFonts w:hint="eastAsia" w:ascii="宋体" w:hAnsi="宋体" w:cs="宋体"/>
          <w:bCs/>
          <w:snapToGrid w:val="0"/>
          <w:color w:val="000000"/>
          <w:kern w:val="0"/>
          <w:sz w:val="22"/>
          <w:szCs w:val="22"/>
        </w:rPr>
        <w:t>投标人</w:t>
      </w:r>
      <w:r>
        <w:rPr>
          <w:rFonts w:hint="eastAsia" w:ascii="宋体" w:hAnsi="宋体" w:cs="宋体"/>
          <w:sz w:val="22"/>
          <w:szCs w:val="22"/>
        </w:rPr>
        <w:t xml:space="preserve">或投标人的主要负责人的近亲属； </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（2）项目主管部门或者行政监督部门的人员；</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（3）与投标人有经济利益关系，可能影响对投标公正评审的；</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（4）曾因在招标、评标以及其他与招标投标有关活动中从事违法行为而受过行政处罚或刑事处罚的；</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（5）与投标人有其他利害关系。</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sz w:val="22"/>
          <w:szCs w:val="22"/>
        </w:rPr>
        <w:t xml:space="preserve">6.1.3 </w:t>
      </w:r>
      <w:r>
        <w:rPr>
          <w:rFonts w:hint="eastAsia" w:ascii="宋体" w:hAnsi="宋体" w:cs="宋体"/>
          <w:bCs/>
          <w:snapToGrid w:val="0"/>
          <w:color w:val="000000"/>
          <w:kern w:val="0"/>
          <w:sz w:val="22"/>
          <w:szCs w:val="22"/>
        </w:rPr>
        <w:t>评标过程中，评标委员会成员有回避事由、擅离职守或因健康等原因不能继续评标的，招标人有权更换。被更换的评标委员会成员作出的评审结论无效，由更换后的评标委员会成员重新进行评审。</w:t>
      </w:r>
    </w:p>
    <w:p>
      <w:pPr>
        <w:pStyle w:val="4"/>
        <w:spacing w:before="0" w:after="0" w:line="48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6.2 评标原则</w:t>
      </w:r>
      <w:bookmarkEnd w:id="182"/>
      <w:bookmarkEnd w:id="183"/>
      <w:bookmarkEnd w:id="184"/>
      <w:bookmarkEnd w:id="185"/>
    </w:p>
    <w:p>
      <w:pPr>
        <w:spacing w:line="480" w:lineRule="exact"/>
        <w:ind w:firstLine="440" w:firstLineChars="200"/>
        <w:rPr>
          <w:rFonts w:hint="eastAsia" w:ascii="宋体" w:hAnsi="宋体" w:cs="宋体"/>
          <w:sz w:val="22"/>
          <w:szCs w:val="22"/>
        </w:rPr>
      </w:pPr>
      <w:r>
        <w:rPr>
          <w:rFonts w:hint="eastAsia" w:ascii="宋体" w:hAnsi="宋体" w:cs="宋体"/>
          <w:sz w:val="22"/>
          <w:szCs w:val="22"/>
        </w:rPr>
        <w:t>评标活动遵循公平、公正、科学和择优的原则。</w:t>
      </w:r>
    </w:p>
    <w:p>
      <w:pPr>
        <w:pStyle w:val="4"/>
        <w:spacing w:before="0" w:after="0" w:line="480" w:lineRule="exact"/>
        <w:ind w:firstLine="440" w:firstLineChars="200"/>
        <w:rPr>
          <w:rFonts w:hint="eastAsia" w:ascii="宋体" w:hAnsi="宋体" w:eastAsia="宋体" w:cs="宋体"/>
          <w:sz w:val="22"/>
          <w:szCs w:val="22"/>
        </w:rPr>
      </w:pPr>
      <w:bookmarkStart w:id="186" w:name="_Toc144974533"/>
      <w:bookmarkStart w:id="187" w:name="_Toc152042341"/>
      <w:bookmarkStart w:id="188" w:name="_Toc152045565"/>
      <w:bookmarkStart w:id="189" w:name="_Toc179632583"/>
      <w:r>
        <w:rPr>
          <w:rFonts w:hint="eastAsia" w:ascii="宋体" w:hAnsi="宋体" w:eastAsia="宋体" w:cs="宋体"/>
          <w:sz w:val="22"/>
          <w:szCs w:val="22"/>
        </w:rPr>
        <w:t>6.3 评标</w:t>
      </w:r>
      <w:bookmarkEnd w:id="186"/>
      <w:bookmarkEnd w:id="187"/>
      <w:bookmarkEnd w:id="188"/>
      <w:bookmarkEnd w:id="189"/>
    </w:p>
    <w:p>
      <w:pPr>
        <w:spacing w:line="480" w:lineRule="exact"/>
        <w:ind w:firstLine="440" w:firstLineChars="200"/>
        <w:rPr>
          <w:rFonts w:hint="eastAsia" w:ascii="宋体" w:hAnsi="宋体" w:cs="宋体"/>
          <w:sz w:val="22"/>
          <w:szCs w:val="22"/>
        </w:rPr>
      </w:pPr>
      <w:r>
        <w:rPr>
          <w:rFonts w:hint="eastAsia" w:ascii="宋体" w:hAnsi="宋体" w:cs="宋体"/>
          <w:sz w:val="22"/>
          <w:szCs w:val="22"/>
        </w:rPr>
        <w:t>6.3.1 评标委员会按照第三章“评标办法”规定的方法、评审因素、标准和程序对投标文件进行评审。第三章“评标办法”没有规定的方法、评审因素和标准，不作为评标依据。</w:t>
      </w:r>
    </w:p>
    <w:p>
      <w:pPr>
        <w:spacing w:line="480" w:lineRule="exact"/>
        <w:ind w:firstLine="440" w:firstLineChars="200"/>
        <w:rPr>
          <w:rFonts w:hint="eastAsia" w:ascii="宋体" w:hAnsi="宋体" w:cs="宋体"/>
          <w:sz w:val="22"/>
          <w:szCs w:val="22"/>
        </w:rPr>
      </w:pPr>
      <w:bookmarkStart w:id="190" w:name="_Toc144974534"/>
      <w:bookmarkStart w:id="191" w:name="_Toc152042342"/>
      <w:bookmarkStart w:id="192" w:name="_Toc152045566"/>
      <w:bookmarkStart w:id="193" w:name="_Toc179632584"/>
      <w:r>
        <w:rPr>
          <w:rFonts w:hint="eastAsia" w:ascii="宋体" w:hAnsi="宋体" w:cs="宋体"/>
          <w:sz w:val="22"/>
          <w:szCs w:val="22"/>
        </w:rPr>
        <w:t xml:space="preserve">6.3.2 </w:t>
      </w:r>
      <w:r>
        <w:rPr>
          <w:rFonts w:hint="eastAsia" w:ascii="宋体" w:hAnsi="宋体" w:cs="宋体"/>
          <w:bCs/>
          <w:snapToGrid w:val="0"/>
          <w:color w:val="000000"/>
          <w:kern w:val="0"/>
          <w:sz w:val="22"/>
          <w:szCs w:val="22"/>
        </w:rPr>
        <w:t>评标完成后，评标委员会应向招标人提交书面评标报告和中标候选人名单。评标委员会推荐中标候选人的人数见投标人须知前附表。</w:t>
      </w:r>
    </w:p>
    <w:p>
      <w:pPr>
        <w:pStyle w:val="3"/>
        <w:spacing w:before="0" w:after="0" w:line="480" w:lineRule="exact"/>
        <w:rPr>
          <w:rFonts w:hint="eastAsia" w:ascii="宋体" w:hAnsi="宋体" w:cs="宋体"/>
          <w:bCs w:val="0"/>
          <w:sz w:val="22"/>
          <w:szCs w:val="22"/>
        </w:rPr>
      </w:pPr>
      <w:bookmarkStart w:id="194" w:name="_Toc26781059"/>
      <w:r>
        <w:rPr>
          <w:rFonts w:hint="eastAsia" w:ascii="宋体" w:hAnsi="宋体" w:cs="宋体"/>
          <w:bCs w:val="0"/>
          <w:sz w:val="22"/>
          <w:szCs w:val="22"/>
        </w:rPr>
        <w:t>7. 合同授予</w:t>
      </w:r>
      <w:bookmarkEnd w:id="190"/>
      <w:bookmarkEnd w:id="191"/>
      <w:bookmarkEnd w:id="192"/>
      <w:bookmarkEnd w:id="193"/>
      <w:bookmarkEnd w:id="194"/>
    </w:p>
    <w:p>
      <w:pPr>
        <w:pStyle w:val="4"/>
        <w:spacing w:before="0" w:after="0" w:line="480" w:lineRule="exact"/>
        <w:ind w:firstLine="440" w:firstLineChars="200"/>
        <w:rPr>
          <w:rFonts w:hint="eastAsia" w:ascii="宋体" w:hAnsi="宋体" w:eastAsia="宋体" w:cs="宋体"/>
          <w:snapToGrid w:val="0"/>
          <w:sz w:val="22"/>
          <w:szCs w:val="22"/>
        </w:rPr>
      </w:pPr>
      <w:bookmarkStart w:id="195" w:name="_Toc152042343"/>
      <w:bookmarkStart w:id="196" w:name="_Toc144974535"/>
      <w:bookmarkStart w:id="197" w:name="_Toc179632585"/>
      <w:bookmarkStart w:id="198" w:name="_Toc152045567"/>
      <w:r>
        <w:rPr>
          <w:rFonts w:hint="eastAsia" w:ascii="宋体" w:hAnsi="宋体" w:eastAsia="宋体" w:cs="宋体"/>
          <w:snapToGrid w:val="0"/>
          <w:sz w:val="22"/>
          <w:szCs w:val="22"/>
        </w:rPr>
        <w:t>7.1 中标候选人公示</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招标人在收到评标报告之日起3日内，按照投标人须知前附表规定的公示媒介和期限依法公示中标候选人。</w:t>
      </w:r>
    </w:p>
    <w:p>
      <w:pPr>
        <w:pStyle w:val="4"/>
        <w:spacing w:before="0" w:after="0" w:line="480" w:lineRule="exact"/>
        <w:ind w:firstLine="440" w:firstLineChars="200"/>
        <w:rPr>
          <w:rFonts w:hint="eastAsia" w:ascii="宋体" w:hAnsi="宋体" w:eastAsia="宋体" w:cs="宋体"/>
          <w:snapToGrid w:val="0"/>
          <w:sz w:val="22"/>
          <w:szCs w:val="22"/>
        </w:rPr>
      </w:pPr>
      <w:r>
        <w:rPr>
          <w:rFonts w:hint="eastAsia" w:ascii="宋体" w:hAnsi="宋体" w:eastAsia="宋体" w:cs="宋体"/>
          <w:snapToGrid w:val="0"/>
          <w:sz w:val="22"/>
          <w:szCs w:val="22"/>
        </w:rPr>
        <w:t>7.2 评标结果异议</w:t>
      </w:r>
    </w:p>
    <w:p>
      <w:pPr>
        <w:spacing w:line="480" w:lineRule="exact"/>
        <w:ind w:firstLine="440" w:firstLineChars="200"/>
        <w:rPr>
          <w:rFonts w:hint="eastAsia" w:ascii="宋体" w:hAnsi="宋体" w:cs="宋体"/>
          <w:sz w:val="22"/>
          <w:szCs w:val="22"/>
        </w:rPr>
      </w:pPr>
      <w:r>
        <w:rPr>
          <w:rFonts w:hint="eastAsia" w:ascii="宋体" w:hAnsi="宋体" w:cs="宋体"/>
          <w:bCs/>
          <w:snapToGrid w:val="0"/>
          <w:color w:val="000000"/>
          <w:kern w:val="0"/>
          <w:sz w:val="22"/>
          <w:szCs w:val="22"/>
        </w:rPr>
        <w:t>投标人或其他利害关系人对评标结果有异议的，应在中标候选人公示期间提出。招标人将在收到异议之日起3日内作出答复；作出答复前，将暂停招标投标活动。</w:t>
      </w:r>
    </w:p>
    <w:p>
      <w:pPr>
        <w:pStyle w:val="4"/>
        <w:spacing w:before="0" w:after="0" w:line="480" w:lineRule="exact"/>
        <w:ind w:firstLine="440" w:firstLineChars="200"/>
        <w:rPr>
          <w:rFonts w:hint="eastAsia" w:ascii="宋体" w:hAnsi="宋体" w:eastAsia="宋体" w:cs="宋体"/>
          <w:snapToGrid w:val="0"/>
          <w:sz w:val="22"/>
          <w:szCs w:val="22"/>
        </w:rPr>
      </w:pPr>
      <w:r>
        <w:rPr>
          <w:rFonts w:hint="eastAsia" w:ascii="宋体" w:hAnsi="宋体" w:eastAsia="宋体" w:cs="宋体"/>
          <w:snapToGrid w:val="0"/>
          <w:sz w:val="22"/>
          <w:szCs w:val="22"/>
        </w:rPr>
        <w:t>7.3 中标候选人履约能力审查</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中标候选人的经营、财务状况发生较大变化或存在违法行为，招标人认为可能影响其履约能力的，将在发出中标通知书前提请原评标委员会按照招标文件规定的标准和方法进行审查确认。</w:t>
      </w:r>
    </w:p>
    <w:bookmarkEnd w:id="195"/>
    <w:bookmarkEnd w:id="196"/>
    <w:bookmarkEnd w:id="197"/>
    <w:bookmarkEnd w:id="198"/>
    <w:p>
      <w:pPr>
        <w:pStyle w:val="4"/>
        <w:spacing w:before="0" w:after="0" w:line="480" w:lineRule="exact"/>
        <w:ind w:firstLine="440" w:firstLineChars="200"/>
        <w:rPr>
          <w:rFonts w:hint="eastAsia" w:ascii="宋体" w:hAnsi="宋体" w:eastAsia="宋体" w:cs="宋体"/>
          <w:sz w:val="22"/>
          <w:szCs w:val="22"/>
        </w:rPr>
      </w:pPr>
      <w:bookmarkStart w:id="199" w:name="_Toc144974536"/>
      <w:bookmarkStart w:id="200" w:name="_Toc152042344"/>
      <w:bookmarkStart w:id="201" w:name="_Toc152045568"/>
      <w:bookmarkStart w:id="202" w:name="_Toc179632586"/>
      <w:r>
        <w:rPr>
          <w:rFonts w:hint="eastAsia" w:ascii="宋体" w:hAnsi="宋体" w:eastAsia="宋体" w:cs="宋体"/>
          <w:snapToGrid w:val="0"/>
          <w:sz w:val="22"/>
          <w:szCs w:val="22"/>
        </w:rPr>
        <w:t>7.4</w:t>
      </w:r>
      <w:r>
        <w:rPr>
          <w:rFonts w:hint="eastAsia" w:ascii="宋体" w:hAnsi="宋体" w:eastAsia="宋体" w:cs="宋体"/>
          <w:sz w:val="22"/>
          <w:szCs w:val="22"/>
        </w:rPr>
        <w:t xml:space="preserve"> </w:t>
      </w:r>
      <w:r>
        <w:rPr>
          <w:rFonts w:hint="eastAsia" w:ascii="宋体" w:hAnsi="宋体" w:eastAsia="宋体" w:cs="宋体"/>
          <w:color w:val="000000"/>
          <w:sz w:val="22"/>
          <w:szCs w:val="22"/>
        </w:rPr>
        <w:t>定标</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按照投标人须知前附表的规定，招标人或招标人授权的评标委员会依法确定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4"/>
        <w:spacing w:before="0" w:after="0" w:line="480" w:lineRule="exact"/>
        <w:ind w:firstLine="440" w:firstLineChars="200"/>
        <w:rPr>
          <w:rFonts w:hint="eastAsia" w:ascii="宋体" w:hAnsi="宋体" w:eastAsia="宋体" w:cs="宋体"/>
          <w:sz w:val="22"/>
          <w:szCs w:val="22"/>
        </w:rPr>
      </w:pPr>
      <w:r>
        <w:rPr>
          <w:rFonts w:hint="eastAsia" w:ascii="宋体" w:hAnsi="宋体" w:eastAsia="宋体" w:cs="宋体"/>
          <w:snapToGrid w:val="0"/>
          <w:sz w:val="22"/>
          <w:szCs w:val="22"/>
        </w:rPr>
        <w:t xml:space="preserve">7.5 </w:t>
      </w:r>
      <w:r>
        <w:rPr>
          <w:rFonts w:hint="eastAsia" w:ascii="宋体" w:hAnsi="宋体" w:eastAsia="宋体" w:cs="宋体"/>
          <w:sz w:val="22"/>
          <w:szCs w:val="22"/>
        </w:rPr>
        <w:t>中标通知</w:t>
      </w:r>
      <w:bookmarkEnd w:id="199"/>
      <w:bookmarkEnd w:id="200"/>
      <w:bookmarkEnd w:id="201"/>
      <w:bookmarkEnd w:id="202"/>
    </w:p>
    <w:p>
      <w:pPr>
        <w:spacing w:line="480" w:lineRule="exact"/>
        <w:ind w:firstLine="440" w:firstLineChars="200"/>
        <w:rPr>
          <w:rFonts w:hint="eastAsia" w:ascii="宋体" w:hAnsi="宋体" w:cs="宋体"/>
          <w:sz w:val="22"/>
          <w:szCs w:val="22"/>
        </w:rPr>
      </w:pPr>
      <w:r>
        <w:rPr>
          <w:rFonts w:hint="eastAsia" w:ascii="宋体" w:hAnsi="宋体" w:cs="宋体"/>
          <w:sz w:val="22"/>
          <w:szCs w:val="22"/>
        </w:rPr>
        <w:t>在本章第3.3款规定的投标有效期内，招标人以书面形</w:t>
      </w:r>
      <w:r>
        <w:rPr>
          <w:rFonts w:hint="eastAsia" w:ascii="宋体" w:hAnsi="宋体" w:cs="宋体"/>
          <w:snapToGrid w:val="0"/>
          <w:color w:val="000000"/>
          <w:kern w:val="0"/>
          <w:sz w:val="22"/>
          <w:szCs w:val="22"/>
          <w:shd w:val="clear" w:color="auto" w:fill="FFFFFF"/>
          <w:lang w:val="zh-CN"/>
        </w:rPr>
        <w:t>式</w:t>
      </w:r>
      <w:r>
        <w:rPr>
          <w:rFonts w:hint="eastAsia" w:ascii="宋体" w:hAnsi="宋体" w:cs="宋体"/>
          <w:sz w:val="22"/>
          <w:szCs w:val="22"/>
        </w:rPr>
        <w:t>向中标人发出中标通知书，同时将中标结果通知未中标的投标人。</w:t>
      </w:r>
    </w:p>
    <w:p>
      <w:pPr>
        <w:pStyle w:val="4"/>
        <w:spacing w:before="0" w:after="0" w:line="480" w:lineRule="exact"/>
        <w:ind w:firstLine="440" w:firstLineChars="200"/>
        <w:rPr>
          <w:rFonts w:hint="eastAsia" w:ascii="宋体" w:hAnsi="宋体" w:eastAsia="宋体" w:cs="宋体"/>
          <w:sz w:val="22"/>
          <w:szCs w:val="22"/>
        </w:rPr>
      </w:pPr>
      <w:r>
        <w:rPr>
          <w:rFonts w:hint="eastAsia" w:ascii="宋体" w:hAnsi="宋体" w:eastAsia="宋体" w:cs="宋体"/>
          <w:snapToGrid w:val="0"/>
          <w:sz w:val="22"/>
          <w:szCs w:val="22"/>
        </w:rPr>
        <w:t>7.6 中标结果公示</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招标人在确定中标人之日起3日内，按照投标人须知前附表规定的公示媒介和期限依法公示中标结果。</w:t>
      </w:r>
    </w:p>
    <w:p>
      <w:pPr>
        <w:pStyle w:val="4"/>
        <w:spacing w:before="0" w:after="0" w:line="480" w:lineRule="exact"/>
        <w:ind w:firstLine="440" w:firstLineChars="200"/>
        <w:rPr>
          <w:rFonts w:hint="eastAsia" w:ascii="宋体" w:hAnsi="宋体" w:eastAsia="宋体" w:cs="宋体"/>
          <w:sz w:val="22"/>
          <w:szCs w:val="22"/>
        </w:rPr>
      </w:pPr>
      <w:bookmarkStart w:id="203" w:name="_Toc152042345"/>
      <w:bookmarkStart w:id="204" w:name="_Toc179632587"/>
      <w:bookmarkStart w:id="205" w:name="_Toc144974537"/>
      <w:bookmarkStart w:id="206" w:name="_Toc152045569"/>
      <w:r>
        <w:rPr>
          <w:rFonts w:hint="eastAsia" w:ascii="宋体" w:hAnsi="宋体" w:eastAsia="宋体" w:cs="宋体"/>
          <w:snapToGrid w:val="0"/>
          <w:sz w:val="22"/>
          <w:szCs w:val="22"/>
        </w:rPr>
        <w:t>7.7</w:t>
      </w:r>
      <w:r>
        <w:rPr>
          <w:rFonts w:hint="eastAsia" w:ascii="宋体" w:hAnsi="宋体" w:eastAsia="宋体" w:cs="宋体"/>
          <w:sz w:val="22"/>
          <w:szCs w:val="22"/>
        </w:rPr>
        <w:t xml:space="preserve"> 履约</w:t>
      </w:r>
      <w:r>
        <w:rPr>
          <w:rFonts w:hint="eastAsia" w:ascii="宋体" w:hAnsi="宋体" w:eastAsia="宋体" w:cs="宋体"/>
          <w:snapToGrid w:val="0"/>
          <w:sz w:val="22"/>
          <w:szCs w:val="22"/>
        </w:rPr>
        <w:t>保证金</w:t>
      </w:r>
      <w:bookmarkEnd w:id="203"/>
      <w:bookmarkEnd w:id="204"/>
      <w:bookmarkEnd w:id="205"/>
      <w:bookmarkEnd w:id="206"/>
    </w:p>
    <w:p>
      <w:pPr>
        <w:spacing w:line="480" w:lineRule="exact"/>
        <w:ind w:firstLine="440" w:firstLineChars="200"/>
        <w:rPr>
          <w:rFonts w:hint="eastAsia" w:ascii="宋体" w:hAnsi="宋体" w:cs="宋体"/>
          <w:sz w:val="22"/>
          <w:szCs w:val="22"/>
        </w:rPr>
      </w:pPr>
      <w:bookmarkStart w:id="207" w:name="_Toc152045570"/>
      <w:bookmarkStart w:id="208" w:name="_Toc144974538"/>
      <w:bookmarkStart w:id="209" w:name="_Toc152042346"/>
      <w:bookmarkStart w:id="210" w:name="_Toc179632588"/>
      <w:r>
        <w:rPr>
          <w:rFonts w:hint="eastAsia" w:ascii="宋体" w:hAnsi="宋体" w:cs="宋体"/>
          <w:sz w:val="22"/>
          <w:szCs w:val="22"/>
        </w:rPr>
        <w:t>7.7.1</w:t>
      </w:r>
      <w:r>
        <w:rPr>
          <w:rFonts w:hint="eastAsia" w:ascii="宋体" w:hAnsi="宋体" w:cs="宋体"/>
          <w:bCs/>
          <w:snapToGrid w:val="0"/>
          <w:color w:val="000000"/>
          <w:kern w:val="0"/>
          <w:sz w:val="22"/>
          <w:szCs w:val="22"/>
        </w:rPr>
        <w:t>在签订合同前，中标人应按投标人须知前附表规定的金额、担保形式和招标文件第四章“合同条款及格式”规定的或者事先经过招标人书面认可的履约保证金格式向招标人提交履约保证金。除投标人须知前附表另有规定外，</w:t>
      </w:r>
      <w:r>
        <w:rPr>
          <w:rFonts w:hint="eastAsia" w:ascii="宋体" w:hAnsi="宋体" w:cs="宋体"/>
          <w:bCs/>
          <w:snapToGrid w:val="0"/>
          <w:color w:val="000000"/>
          <w:kern w:val="0"/>
          <w:sz w:val="22"/>
          <w:szCs w:val="22"/>
          <w:highlight w:val="yellow"/>
        </w:rPr>
        <w:t>履约保证金为中标合同金额的2%</w:t>
      </w:r>
      <w:r>
        <w:rPr>
          <w:rFonts w:hint="eastAsia" w:ascii="宋体" w:hAnsi="宋体" w:cs="宋体"/>
          <w:bCs/>
          <w:snapToGrid w:val="0"/>
          <w:color w:val="000000"/>
          <w:kern w:val="0"/>
          <w:sz w:val="22"/>
          <w:szCs w:val="22"/>
        </w:rPr>
        <w:t>。联合体中标的，其履约保证金以联合体各方或者联合体中牵头人的名义提交。</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7.7.2 中标人不能按本章第7.7.1项要求提交履约保证金的，视为放弃中标，其投标保证金不予退还，给招标人造成的损失超过投标保证金数额的，中标人还应当对超过部分予以赔偿。</w:t>
      </w:r>
    </w:p>
    <w:p>
      <w:pPr>
        <w:pStyle w:val="4"/>
        <w:spacing w:before="0" w:after="0" w:line="480" w:lineRule="exact"/>
        <w:ind w:firstLine="440" w:firstLineChars="200"/>
        <w:rPr>
          <w:rFonts w:hint="eastAsia" w:ascii="宋体" w:hAnsi="宋体" w:eastAsia="宋体" w:cs="宋体"/>
          <w:sz w:val="22"/>
          <w:szCs w:val="22"/>
        </w:rPr>
      </w:pPr>
      <w:r>
        <w:rPr>
          <w:rFonts w:hint="eastAsia" w:ascii="宋体" w:hAnsi="宋体" w:eastAsia="宋体" w:cs="宋体"/>
          <w:snapToGrid w:val="0"/>
          <w:sz w:val="22"/>
          <w:szCs w:val="22"/>
        </w:rPr>
        <w:t>7.8</w:t>
      </w:r>
      <w:r>
        <w:rPr>
          <w:rFonts w:hint="eastAsia" w:ascii="宋体" w:hAnsi="宋体" w:eastAsia="宋体" w:cs="宋体"/>
          <w:snapToGrid w:val="0"/>
          <w:color w:val="000000"/>
          <w:kern w:val="0"/>
          <w:sz w:val="22"/>
          <w:szCs w:val="22"/>
        </w:rPr>
        <w:t xml:space="preserve"> </w:t>
      </w:r>
      <w:r>
        <w:rPr>
          <w:rFonts w:hint="eastAsia" w:ascii="宋体" w:hAnsi="宋体" w:eastAsia="宋体" w:cs="宋体"/>
          <w:sz w:val="22"/>
          <w:szCs w:val="22"/>
        </w:rPr>
        <w:t>签订合同</w:t>
      </w:r>
      <w:bookmarkEnd w:id="207"/>
      <w:bookmarkEnd w:id="208"/>
      <w:bookmarkEnd w:id="209"/>
      <w:bookmarkEnd w:id="210"/>
    </w:p>
    <w:p>
      <w:pPr>
        <w:spacing w:line="480" w:lineRule="exact"/>
        <w:ind w:firstLine="440" w:firstLineChars="200"/>
        <w:rPr>
          <w:rFonts w:hint="eastAsia" w:ascii="宋体" w:hAnsi="宋体" w:cs="宋体"/>
          <w:sz w:val="22"/>
          <w:szCs w:val="22"/>
        </w:rPr>
      </w:pPr>
      <w:bookmarkStart w:id="211" w:name="_Toc152042347"/>
      <w:bookmarkStart w:id="212" w:name="_Toc152045571"/>
      <w:bookmarkStart w:id="213" w:name="_Toc179632589"/>
      <w:bookmarkStart w:id="214" w:name="_Toc144974539"/>
      <w:r>
        <w:rPr>
          <w:rFonts w:hint="eastAsia" w:ascii="宋体" w:hAnsi="宋体" w:cs="宋体"/>
          <w:sz w:val="22"/>
          <w:szCs w:val="22"/>
        </w:rPr>
        <w:t>7.8.1</w:t>
      </w:r>
      <w:r>
        <w:rPr>
          <w:rFonts w:hint="eastAsia" w:ascii="宋体" w:hAnsi="宋体" w:cs="宋体"/>
          <w:bCs/>
          <w:snapToGrid w:val="0"/>
          <w:color w:val="000000"/>
          <w:kern w:val="0"/>
          <w:sz w:val="22"/>
          <w:szCs w:val="22"/>
        </w:rPr>
        <w:t>中标人和招标人应在投标有效期内以及中标通知书发出之日起30日内，根据招标文件和中标人的投标文件订立书面合同。中标人无正当理由拒签合同，在签订合同时向招标人提出附加条件，或不按照招标文件要求提交履约保证金的，招标人取消其中标资格，其投标保证金不予退还；给招标人造成的损失超过投标保证金数额的，中标人还应对超过部分予以赔偿。</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7.8.2</w:t>
      </w:r>
      <w:r>
        <w:rPr>
          <w:rFonts w:hint="eastAsia" w:ascii="宋体" w:hAnsi="宋体" w:cs="宋体"/>
          <w:bCs/>
          <w:snapToGrid w:val="0"/>
          <w:color w:val="000000"/>
          <w:kern w:val="0"/>
          <w:sz w:val="22"/>
          <w:szCs w:val="22"/>
        </w:rPr>
        <w:t>发出中标通知书后，招标人无正当理由拒签合同，或者在签订合同时向中标人提出附加条件的，招标人向中标人退还投标保证金；给中标人造成损失的，还应当赔偿损失。</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sz w:val="22"/>
          <w:szCs w:val="22"/>
        </w:rPr>
        <w:t>7.8.3</w:t>
      </w:r>
      <w:r>
        <w:rPr>
          <w:rFonts w:hint="eastAsia" w:ascii="宋体" w:hAnsi="宋体" w:cs="宋体"/>
          <w:bCs/>
          <w:snapToGrid w:val="0"/>
          <w:color w:val="000000"/>
          <w:kern w:val="0"/>
          <w:sz w:val="22"/>
          <w:szCs w:val="22"/>
        </w:rPr>
        <w:t>联合体中标的，联合体各方应当共同与招标人签订合同，就中标项目向招标人承担连带责任。</w:t>
      </w:r>
    </w:p>
    <w:p>
      <w:pPr>
        <w:pStyle w:val="3"/>
        <w:spacing w:before="0" w:after="0" w:line="480" w:lineRule="exact"/>
        <w:rPr>
          <w:rFonts w:hint="eastAsia" w:ascii="宋体" w:hAnsi="宋体" w:cs="宋体"/>
          <w:snapToGrid w:val="0"/>
          <w:sz w:val="22"/>
          <w:szCs w:val="22"/>
        </w:rPr>
      </w:pPr>
      <w:bookmarkStart w:id="215" w:name="_Toc26781060"/>
      <w:r>
        <w:rPr>
          <w:rFonts w:hint="eastAsia" w:ascii="宋体" w:hAnsi="宋体" w:cs="宋体"/>
          <w:sz w:val="22"/>
          <w:szCs w:val="22"/>
        </w:rPr>
        <w:t>8.</w:t>
      </w:r>
      <w:r>
        <w:rPr>
          <w:rFonts w:hint="eastAsia" w:ascii="宋体" w:hAnsi="宋体" w:cs="宋体"/>
          <w:snapToGrid w:val="0"/>
          <w:sz w:val="22"/>
          <w:szCs w:val="22"/>
        </w:rPr>
        <w:t xml:space="preserve"> 重新招标和不再招标</w:t>
      </w:r>
      <w:bookmarkEnd w:id="211"/>
      <w:bookmarkEnd w:id="212"/>
      <w:bookmarkEnd w:id="213"/>
      <w:bookmarkEnd w:id="214"/>
      <w:bookmarkEnd w:id="215"/>
    </w:p>
    <w:p>
      <w:pPr>
        <w:pStyle w:val="4"/>
        <w:spacing w:before="0" w:after="0" w:line="480" w:lineRule="exact"/>
        <w:ind w:firstLine="440" w:firstLineChars="200"/>
        <w:rPr>
          <w:rFonts w:hint="eastAsia" w:ascii="宋体" w:hAnsi="宋体" w:eastAsia="宋体" w:cs="宋体"/>
          <w:sz w:val="22"/>
          <w:szCs w:val="22"/>
        </w:rPr>
      </w:pPr>
      <w:bookmarkStart w:id="216" w:name="_Toc179632590"/>
      <w:bookmarkStart w:id="217" w:name="_Toc152042348"/>
      <w:bookmarkStart w:id="218" w:name="_Toc144974540"/>
      <w:bookmarkStart w:id="219" w:name="_Toc152045572"/>
      <w:r>
        <w:rPr>
          <w:rFonts w:hint="eastAsia" w:ascii="宋体" w:hAnsi="宋体" w:eastAsia="宋体" w:cs="宋体"/>
          <w:sz w:val="22"/>
          <w:szCs w:val="22"/>
        </w:rPr>
        <w:t>8.1 重新招标</w:t>
      </w:r>
      <w:bookmarkEnd w:id="216"/>
      <w:bookmarkEnd w:id="217"/>
      <w:bookmarkEnd w:id="218"/>
      <w:bookmarkEnd w:id="219"/>
    </w:p>
    <w:p>
      <w:pPr>
        <w:spacing w:line="480" w:lineRule="exact"/>
        <w:ind w:firstLine="440" w:firstLineChars="200"/>
        <w:rPr>
          <w:rFonts w:hint="eastAsia" w:ascii="宋体" w:hAnsi="宋体" w:cs="宋体"/>
          <w:sz w:val="22"/>
          <w:szCs w:val="22"/>
        </w:rPr>
      </w:pPr>
      <w:r>
        <w:rPr>
          <w:rFonts w:hint="eastAsia" w:ascii="宋体" w:hAnsi="宋体" w:cs="宋体"/>
          <w:sz w:val="22"/>
          <w:szCs w:val="22"/>
        </w:rPr>
        <w:t>依法必须招标的项目有下列情形之一的，招标人将重新招标：</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（1）投标截止时间止，投标人少于3个的；</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（2）经评标委员会评审后否决所有投标的；</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（3）中标候选人均未与招标人签订合同的；</w:t>
      </w:r>
    </w:p>
    <w:p>
      <w:pPr>
        <w:spacing w:line="480" w:lineRule="exact"/>
        <w:ind w:firstLine="440" w:firstLineChars="200"/>
        <w:rPr>
          <w:rFonts w:hint="eastAsia" w:ascii="宋体" w:hAnsi="宋体" w:cs="宋体"/>
          <w:bCs/>
          <w:snapToGrid w:val="0"/>
          <w:color w:val="000000"/>
          <w:kern w:val="0"/>
          <w:sz w:val="22"/>
          <w:szCs w:val="22"/>
        </w:rPr>
      </w:pPr>
      <w:r>
        <w:rPr>
          <w:rFonts w:hint="eastAsia" w:ascii="宋体" w:hAnsi="宋体" w:cs="宋体"/>
          <w:bCs/>
          <w:snapToGrid w:val="0"/>
          <w:color w:val="000000"/>
          <w:kern w:val="0"/>
          <w:sz w:val="22"/>
          <w:szCs w:val="22"/>
        </w:rPr>
        <w:t>（4）</w:t>
      </w:r>
      <w:r>
        <w:rPr>
          <w:rFonts w:hint="eastAsia" w:ascii="宋体" w:hAnsi="宋体" w:cs="宋体"/>
          <w:bCs/>
          <w:snapToGrid w:val="0"/>
          <w:color w:val="000000"/>
          <w:kern w:val="0"/>
          <w:sz w:val="22"/>
          <w:szCs w:val="22"/>
          <w:lang w:eastAsia="zh-CN"/>
        </w:rPr>
        <w:t>法律法规</w:t>
      </w:r>
      <w:r>
        <w:rPr>
          <w:rFonts w:hint="eastAsia" w:ascii="宋体" w:hAnsi="宋体" w:cs="宋体"/>
          <w:bCs/>
          <w:snapToGrid w:val="0"/>
          <w:color w:val="000000"/>
          <w:kern w:val="0"/>
          <w:sz w:val="22"/>
          <w:szCs w:val="22"/>
        </w:rPr>
        <w:t>规定的其他情形。</w:t>
      </w:r>
    </w:p>
    <w:p>
      <w:pPr>
        <w:pStyle w:val="4"/>
        <w:spacing w:before="0" w:after="0" w:line="480" w:lineRule="exact"/>
        <w:ind w:firstLine="440" w:firstLineChars="200"/>
        <w:rPr>
          <w:rFonts w:hint="eastAsia" w:ascii="宋体" w:hAnsi="宋体" w:eastAsia="宋体" w:cs="宋体"/>
          <w:sz w:val="22"/>
          <w:szCs w:val="22"/>
        </w:rPr>
      </w:pPr>
      <w:bookmarkStart w:id="220" w:name="_Toc152042349"/>
      <w:bookmarkStart w:id="221" w:name="_Toc144974541"/>
      <w:bookmarkStart w:id="222" w:name="_Toc152045573"/>
      <w:bookmarkStart w:id="223" w:name="_Toc179632591"/>
      <w:r>
        <w:rPr>
          <w:rFonts w:hint="eastAsia" w:ascii="宋体" w:hAnsi="宋体" w:eastAsia="宋体" w:cs="宋体"/>
          <w:sz w:val="22"/>
          <w:szCs w:val="22"/>
        </w:rPr>
        <w:t>8.2 不再招标</w:t>
      </w:r>
      <w:bookmarkEnd w:id="220"/>
      <w:bookmarkEnd w:id="221"/>
      <w:bookmarkEnd w:id="222"/>
      <w:bookmarkEnd w:id="223"/>
    </w:p>
    <w:p>
      <w:pPr>
        <w:spacing w:line="480" w:lineRule="exact"/>
        <w:ind w:firstLine="440" w:firstLineChars="200"/>
        <w:rPr>
          <w:rFonts w:hint="eastAsia" w:ascii="宋体" w:hAnsi="宋体" w:cs="宋体"/>
          <w:sz w:val="22"/>
          <w:szCs w:val="22"/>
        </w:rPr>
      </w:pPr>
      <w:r>
        <w:rPr>
          <w:rFonts w:hint="eastAsia" w:ascii="宋体" w:hAnsi="宋体" w:cs="宋体"/>
          <w:sz w:val="22"/>
          <w:szCs w:val="22"/>
        </w:rPr>
        <w:t>重新招标后投标人仍少于3个或者所有投标被否决的，属于必须审批或核准的工程建设项目，经原审批或核准部门批准后不再进行招标。</w:t>
      </w:r>
    </w:p>
    <w:p>
      <w:pPr>
        <w:pStyle w:val="3"/>
        <w:spacing w:before="0" w:after="0" w:line="480" w:lineRule="exact"/>
        <w:rPr>
          <w:rFonts w:hint="eastAsia" w:ascii="宋体" w:hAnsi="宋体" w:cs="宋体"/>
          <w:bCs w:val="0"/>
          <w:sz w:val="22"/>
          <w:szCs w:val="22"/>
        </w:rPr>
      </w:pPr>
      <w:bookmarkStart w:id="224" w:name="_Toc179632592"/>
      <w:bookmarkStart w:id="225" w:name="_Toc144974542"/>
      <w:bookmarkStart w:id="226" w:name="_Toc152045574"/>
      <w:bookmarkStart w:id="227" w:name="_Toc26781061"/>
      <w:bookmarkStart w:id="228" w:name="_Toc152042350"/>
      <w:r>
        <w:rPr>
          <w:rFonts w:hint="eastAsia" w:ascii="宋体" w:hAnsi="宋体" w:cs="宋体"/>
          <w:bCs w:val="0"/>
          <w:sz w:val="22"/>
          <w:szCs w:val="22"/>
        </w:rPr>
        <w:t>9. 纪律和监督</w:t>
      </w:r>
      <w:bookmarkEnd w:id="224"/>
      <w:bookmarkEnd w:id="225"/>
      <w:bookmarkEnd w:id="226"/>
      <w:bookmarkEnd w:id="227"/>
      <w:bookmarkEnd w:id="228"/>
    </w:p>
    <w:p>
      <w:pPr>
        <w:pStyle w:val="4"/>
        <w:spacing w:before="0" w:after="0" w:line="480" w:lineRule="exact"/>
        <w:ind w:firstLine="440" w:firstLineChars="200"/>
        <w:rPr>
          <w:rFonts w:hint="eastAsia" w:ascii="宋体" w:hAnsi="宋体" w:eastAsia="宋体" w:cs="宋体"/>
          <w:sz w:val="22"/>
          <w:szCs w:val="22"/>
        </w:rPr>
      </w:pPr>
      <w:bookmarkStart w:id="229" w:name="_Toc179632593"/>
      <w:bookmarkStart w:id="230" w:name="_Toc144974543"/>
      <w:bookmarkStart w:id="231" w:name="_Toc152045575"/>
      <w:bookmarkStart w:id="232" w:name="_Toc152042351"/>
      <w:r>
        <w:rPr>
          <w:rFonts w:hint="eastAsia" w:ascii="宋体" w:hAnsi="宋体" w:eastAsia="宋体" w:cs="宋体"/>
          <w:sz w:val="22"/>
          <w:szCs w:val="22"/>
        </w:rPr>
        <w:t>9.1 对招标人的纪律要求</w:t>
      </w:r>
      <w:bookmarkEnd w:id="229"/>
      <w:bookmarkEnd w:id="230"/>
      <w:bookmarkEnd w:id="231"/>
      <w:bookmarkEnd w:id="232"/>
    </w:p>
    <w:p>
      <w:pPr>
        <w:spacing w:line="480" w:lineRule="exact"/>
        <w:ind w:firstLine="440" w:firstLineChars="200"/>
        <w:rPr>
          <w:rFonts w:hint="eastAsia" w:ascii="宋体" w:hAnsi="宋体" w:cs="宋体"/>
          <w:sz w:val="22"/>
          <w:szCs w:val="22"/>
        </w:rPr>
      </w:pPr>
      <w:r>
        <w:rPr>
          <w:rFonts w:hint="eastAsia" w:ascii="宋体" w:hAnsi="宋体" w:cs="宋体"/>
          <w:sz w:val="22"/>
          <w:szCs w:val="22"/>
        </w:rPr>
        <w:t>招标人不得</w:t>
      </w:r>
      <w:r>
        <w:rPr>
          <w:rFonts w:hint="eastAsia" w:ascii="宋体" w:hAnsi="宋体" w:cs="宋体"/>
          <w:sz w:val="22"/>
          <w:szCs w:val="22"/>
          <w:lang w:eastAsia="zh-CN"/>
        </w:rPr>
        <w:t>泄露</w:t>
      </w:r>
      <w:r>
        <w:rPr>
          <w:rFonts w:hint="eastAsia" w:ascii="宋体" w:hAnsi="宋体" w:cs="宋体"/>
          <w:sz w:val="22"/>
          <w:szCs w:val="22"/>
        </w:rPr>
        <w:t>招标投标活动中应当保密的情况和资料，不得与投标人串通损害国家利益、社会公共利益或者他人合法权益。</w:t>
      </w:r>
    </w:p>
    <w:p>
      <w:pPr>
        <w:pStyle w:val="4"/>
        <w:spacing w:before="0" w:after="0" w:line="480" w:lineRule="exact"/>
        <w:ind w:firstLine="440" w:firstLineChars="200"/>
        <w:rPr>
          <w:rFonts w:hint="eastAsia" w:ascii="宋体" w:hAnsi="宋体" w:eastAsia="宋体" w:cs="宋体"/>
          <w:sz w:val="22"/>
          <w:szCs w:val="22"/>
        </w:rPr>
      </w:pPr>
      <w:bookmarkStart w:id="233" w:name="_Toc179632594"/>
      <w:bookmarkStart w:id="234" w:name="_Toc152045576"/>
      <w:bookmarkStart w:id="235" w:name="_Toc144974544"/>
      <w:bookmarkStart w:id="236" w:name="_Toc152042352"/>
      <w:r>
        <w:rPr>
          <w:rFonts w:hint="eastAsia" w:ascii="宋体" w:hAnsi="宋体" w:eastAsia="宋体" w:cs="宋体"/>
          <w:sz w:val="22"/>
          <w:szCs w:val="22"/>
        </w:rPr>
        <w:t>9.2 对投标人的纪律要求</w:t>
      </w:r>
      <w:bookmarkEnd w:id="233"/>
      <w:bookmarkEnd w:id="234"/>
      <w:bookmarkEnd w:id="235"/>
      <w:bookmarkEnd w:id="236"/>
    </w:p>
    <w:p>
      <w:pPr>
        <w:spacing w:line="480" w:lineRule="exact"/>
        <w:ind w:firstLine="440" w:firstLineChars="200"/>
        <w:rPr>
          <w:rFonts w:hint="eastAsia" w:ascii="宋体" w:hAnsi="宋体" w:cs="宋体"/>
          <w:sz w:val="22"/>
          <w:szCs w:val="22"/>
        </w:rPr>
      </w:pPr>
      <w:r>
        <w:rPr>
          <w:rFonts w:hint="eastAsia" w:ascii="宋体" w:hAnsi="宋体" w:cs="宋体"/>
          <w:sz w:val="22"/>
          <w:szCs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spacing w:before="0" w:after="0" w:line="480" w:lineRule="exact"/>
        <w:ind w:firstLine="440" w:firstLineChars="200"/>
        <w:rPr>
          <w:rFonts w:hint="eastAsia" w:ascii="宋体" w:hAnsi="宋体" w:eastAsia="宋体" w:cs="宋体"/>
          <w:sz w:val="22"/>
          <w:szCs w:val="22"/>
        </w:rPr>
      </w:pPr>
      <w:bookmarkStart w:id="237" w:name="_Toc152042353"/>
      <w:bookmarkStart w:id="238" w:name="_Toc179632595"/>
      <w:bookmarkStart w:id="239" w:name="_Toc144974545"/>
      <w:bookmarkStart w:id="240" w:name="_Toc152045577"/>
      <w:r>
        <w:rPr>
          <w:rFonts w:hint="eastAsia" w:ascii="宋体" w:hAnsi="宋体" w:eastAsia="宋体" w:cs="宋体"/>
          <w:sz w:val="22"/>
          <w:szCs w:val="22"/>
        </w:rPr>
        <w:t>9.3 对评标委员会成员的纪律要求</w:t>
      </w:r>
      <w:bookmarkEnd w:id="237"/>
      <w:bookmarkEnd w:id="238"/>
      <w:bookmarkEnd w:id="239"/>
      <w:bookmarkEnd w:id="240"/>
    </w:p>
    <w:p>
      <w:pPr>
        <w:spacing w:line="480" w:lineRule="exact"/>
        <w:ind w:firstLine="440" w:firstLineChars="200"/>
        <w:rPr>
          <w:rFonts w:hint="eastAsia" w:ascii="宋体" w:hAnsi="宋体" w:cs="宋体"/>
          <w:sz w:val="22"/>
          <w:szCs w:val="22"/>
        </w:rPr>
      </w:pPr>
      <w:r>
        <w:rPr>
          <w:rFonts w:hint="eastAsia" w:ascii="宋体" w:hAnsi="宋体" w:cs="宋体"/>
          <w:sz w:val="22"/>
          <w:szCs w:val="22"/>
        </w:rPr>
        <w:t>评标委员会成员不得收受他人的财物或者其他好处，不得向他人</w:t>
      </w:r>
      <w:r>
        <w:rPr>
          <w:rFonts w:hint="eastAsia" w:ascii="宋体" w:hAnsi="宋体" w:cs="宋体"/>
          <w:sz w:val="22"/>
          <w:szCs w:val="22"/>
          <w:lang w:eastAsia="zh-CN"/>
        </w:rPr>
        <w:t>透露</w:t>
      </w:r>
      <w:r>
        <w:rPr>
          <w:rFonts w:hint="eastAsia" w:ascii="宋体" w:hAnsi="宋体" w:cs="宋体"/>
          <w:sz w:val="22"/>
          <w:szCs w:val="22"/>
        </w:rPr>
        <w:t>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4"/>
        <w:spacing w:before="0" w:after="0" w:line="480" w:lineRule="exact"/>
        <w:ind w:firstLine="440" w:firstLineChars="200"/>
        <w:rPr>
          <w:rFonts w:hint="eastAsia" w:ascii="宋体" w:hAnsi="宋体" w:eastAsia="宋体" w:cs="宋体"/>
          <w:sz w:val="22"/>
          <w:szCs w:val="22"/>
        </w:rPr>
      </w:pPr>
      <w:bookmarkStart w:id="241" w:name="_Toc152042354"/>
      <w:bookmarkStart w:id="242" w:name="_Toc179632596"/>
      <w:bookmarkStart w:id="243" w:name="_Toc152045578"/>
      <w:bookmarkStart w:id="244" w:name="_Toc144974546"/>
      <w:r>
        <w:rPr>
          <w:rFonts w:hint="eastAsia" w:ascii="宋体" w:hAnsi="宋体" w:eastAsia="宋体" w:cs="宋体"/>
          <w:sz w:val="22"/>
          <w:szCs w:val="22"/>
        </w:rPr>
        <w:t>9.4 对与评标活动有关的工作人员的纪律要求</w:t>
      </w:r>
      <w:bookmarkEnd w:id="241"/>
      <w:bookmarkEnd w:id="242"/>
      <w:bookmarkEnd w:id="243"/>
    </w:p>
    <w:p>
      <w:pPr>
        <w:spacing w:line="480" w:lineRule="exact"/>
        <w:ind w:firstLine="440" w:firstLineChars="200"/>
        <w:rPr>
          <w:rFonts w:hint="eastAsia" w:ascii="宋体" w:hAnsi="宋体" w:cs="宋体"/>
          <w:sz w:val="22"/>
          <w:szCs w:val="22"/>
        </w:rPr>
      </w:pPr>
      <w:bookmarkStart w:id="245" w:name="_Toc152042355"/>
      <w:r>
        <w:rPr>
          <w:rFonts w:hint="eastAsia" w:ascii="宋体" w:hAnsi="宋体" w:cs="宋体"/>
          <w:sz w:val="22"/>
          <w:szCs w:val="22"/>
        </w:rPr>
        <w:t>与评标活动有关的工作人员不得收受他人的财物或者其他好处，不得向他人</w:t>
      </w:r>
      <w:r>
        <w:rPr>
          <w:rFonts w:hint="eastAsia" w:ascii="宋体" w:hAnsi="宋体" w:cs="宋体"/>
          <w:sz w:val="22"/>
          <w:szCs w:val="22"/>
          <w:lang w:eastAsia="zh-CN"/>
        </w:rPr>
        <w:t>透露</w:t>
      </w:r>
      <w:r>
        <w:rPr>
          <w:rFonts w:hint="eastAsia" w:ascii="宋体" w:hAnsi="宋体" w:cs="宋体"/>
          <w:sz w:val="22"/>
          <w:szCs w:val="22"/>
        </w:rPr>
        <w:t>对投标文件的评审和比较、中标候选人的推荐情况以及评标有关的其他情况。在评标活动中，与评标活动有关的工作人员不得擅离职守，影响评标程序正常进行。</w:t>
      </w:r>
      <w:bookmarkEnd w:id="245"/>
    </w:p>
    <w:p>
      <w:pPr>
        <w:pStyle w:val="4"/>
        <w:spacing w:before="0" w:after="0" w:line="480" w:lineRule="exact"/>
        <w:ind w:firstLine="440" w:firstLineChars="200"/>
        <w:rPr>
          <w:rFonts w:hint="eastAsia" w:ascii="宋体" w:hAnsi="宋体" w:eastAsia="宋体" w:cs="宋体"/>
          <w:sz w:val="22"/>
          <w:szCs w:val="22"/>
        </w:rPr>
      </w:pPr>
      <w:bookmarkStart w:id="246" w:name="_Toc179632597"/>
      <w:bookmarkStart w:id="247" w:name="_Toc152045579"/>
      <w:bookmarkStart w:id="248" w:name="_Toc152042356"/>
      <w:r>
        <w:rPr>
          <w:rFonts w:hint="eastAsia" w:ascii="宋体" w:hAnsi="宋体" w:eastAsia="宋体" w:cs="宋体"/>
          <w:sz w:val="22"/>
          <w:szCs w:val="22"/>
        </w:rPr>
        <w:t>9.5 投诉</w:t>
      </w:r>
      <w:bookmarkEnd w:id="244"/>
      <w:bookmarkEnd w:id="246"/>
      <w:bookmarkEnd w:id="247"/>
      <w:bookmarkEnd w:id="248"/>
    </w:p>
    <w:p>
      <w:pPr>
        <w:spacing w:line="480" w:lineRule="exact"/>
        <w:ind w:firstLine="440" w:firstLineChars="200"/>
        <w:rPr>
          <w:rFonts w:hint="eastAsia" w:ascii="宋体" w:hAnsi="宋体" w:cs="宋体"/>
          <w:color w:val="000000"/>
          <w:sz w:val="22"/>
          <w:szCs w:val="22"/>
        </w:rPr>
      </w:pPr>
      <w:bookmarkStart w:id="249" w:name="_Toc179632598"/>
      <w:bookmarkStart w:id="250" w:name="_Toc152045580"/>
      <w:bookmarkStart w:id="251" w:name="_Toc144974547"/>
      <w:bookmarkStart w:id="252" w:name="_Toc152042357"/>
      <w:r>
        <w:rPr>
          <w:rFonts w:hint="eastAsia" w:ascii="宋体" w:hAnsi="宋体" w:cs="宋体"/>
          <w:color w:val="000000"/>
          <w:sz w:val="22"/>
          <w:szCs w:val="22"/>
        </w:rPr>
        <w:t xml:space="preserve">9.5.1 </w:t>
      </w:r>
      <w:r>
        <w:rPr>
          <w:rFonts w:hint="eastAsia" w:ascii="宋体" w:hAnsi="宋体" w:cs="宋体"/>
          <w:bCs/>
          <w:snapToGrid w:val="0"/>
          <w:color w:val="000000"/>
          <w:kern w:val="0"/>
          <w:sz w:val="22"/>
          <w:szCs w:val="22"/>
        </w:rPr>
        <w:t>投标人或者其他利害关系人认为招标投标活动不符合法律、行政法规规定的，可以自知道或者应当知道之日起10日内向有关行政监督部门投诉。投诉应当有明确的请求和必要的证明材料。投诉受理方式见投标人须知前附表。</w:t>
      </w:r>
    </w:p>
    <w:p>
      <w:pPr>
        <w:spacing w:line="48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 xml:space="preserve">9.5.2 </w:t>
      </w:r>
      <w:r>
        <w:rPr>
          <w:rFonts w:hint="eastAsia" w:ascii="宋体" w:hAnsi="宋体" w:cs="宋体"/>
          <w:bCs/>
          <w:snapToGrid w:val="0"/>
          <w:color w:val="000000"/>
          <w:kern w:val="0"/>
          <w:sz w:val="22"/>
          <w:szCs w:val="22"/>
        </w:rPr>
        <w:t>投标人或者其他利害关系人对招标文件、开标和评标结果提出投诉的，应当按照投标人须知第2.4款、第5.3款和第7.2款的规定先向招标人提出异议。异议答复期间</w:t>
      </w:r>
      <w:bookmarkStart w:id="253" w:name="_Toc300834993"/>
      <w:bookmarkStart w:id="254" w:name="_Toc352691517"/>
      <w:bookmarkStart w:id="255" w:name="_Toc247513994"/>
      <w:bookmarkStart w:id="256" w:name="_Toc384308255"/>
      <w:bookmarkStart w:id="257" w:name="_Toc369531561"/>
      <w:bookmarkStart w:id="258" w:name="_Toc247527595"/>
      <w:bookmarkStart w:id="259" w:name="_Toc12776"/>
      <w:bookmarkStart w:id="260" w:name="_Toc361508630"/>
      <w:r>
        <w:rPr>
          <w:rFonts w:hint="eastAsia" w:ascii="宋体" w:hAnsi="宋体" w:cs="宋体"/>
          <w:bCs/>
          <w:snapToGrid w:val="0"/>
          <w:color w:val="000000"/>
          <w:kern w:val="0"/>
          <w:sz w:val="22"/>
          <w:szCs w:val="22"/>
        </w:rPr>
        <w:t>不计算在第9.5.</w:t>
      </w:r>
      <w:bookmarkEnd w:id="253"/>
      <w:bookmarkEnd w:id="254"/>
      <w:bookmarkEnd w:id="255"/>
      <w:bookmarkEnd w:id="256"/>
      <w:bookmarkEnd w:id="257"/>
      <w:bookmarkEnd w:id="258"/>
      <w:bookmarkEnd w:id="259"/>
      <w:bookmarkEnd w:id="260"/>
      <w:r>
        <w:rPr>
          <w:rFonts w:hint="eastAsia" w:ascii="宋体" w:hAnsi="宋体" w:cs="宋体"/>
          <w:bCs/>
          <w:snapToGrid w:val="0"/>
          <w:color w:val="000000"/>
          <w:kern w:val="0"/>
          <w:sz w:val="22"/>
          <w:szCs w:val="22"/>
        </w:rPr>
        <w:t>1项规定的期限内。</w:t>
      </w:r>
    </w:p>
    <w:p>
      <w:pPr>
        <w:pStyle w:val="3"/>
        <w:spacing w:before="0" w:after="0" w:line="480" w:lineRule="exact"/>
        <w:rPr>
          <w:rFonts w:hint="eastAsia" w:ascii="宋体" w:hAnsi="宋体" w:cs="宋体"/>
          <w:bCs w:val="0"/>
          <w:sz w:val="22"/>
          <w:szCs w:val="22"/>
        </w:rPr>
      </w:pPr>
      <w:bookmarkStart w:id="261" w:name="_Toc26781062"/>
      <w:r>
        <w:rPr>
          <w:rFonts w:hint="eastAsia" w:ascii="宋体" w:hAnsi="宋体" w:cs="宋体"/>
          <w:bCs w:val="0"/>
          <w:sz w:val="22"/>
          <w:szCs w:val="22"/>
        </w:rPr>
        <w:t>10. 需要补充的其他内容</w:t>
      </w:r>
      <w:bookmarkEnd w:id="249"/>
      <w:bookmarkEnd w:id="250"/>
      <w:bookmarkEnd w:id="251"/>
      <w:bookmarkEnd w:id="252"/>
      <w:bookmarkEnd w:id="261"/>
    </w:p>
    <w:p>
      <w:pPr>
        <w:spacing w:line="480" w:lineRule="exact"/>
        <w:ind w:firstLine="440" w:firstLineChars="200"/>
        <w:rPr>
          <w:rFonts w:hint="eastAsia" w:ascii="宋体" w:hAnsi="宋体" w:cs="宋体"/>
          <w:sz w:val="22"/>
          <w:szCs w:val="22"/>
        </w:rPr>
      </w:pPr>
      <w:r>
        <w:rPr>
          <w:rFonts w:hint="eastAsia" w:ascii="宋体" w:hAnsi="宋体" w:cs="宋体"/>
          <w:sz w:val="22"/>
          <w:szCs w:val="22"/>
        </w:rPr>
        <w:t>需要补充的其他内容：见投标人须知前附表。</w:t>
      </w:r>
    </w:p>
    <w:p>
      <w:pPr>
        <w:pStyle w:val="2"/>
        <w:jc w:val="center"/>
        <w:rPr>
          <w:rFonts w:hint="eastAsia" w:eastAsia="黑体"/>
          <w:b w:val="0"/>
        </w:rPr>
      </w:pPr>
      <w:r>
        <w:rPr>
          <w:color w:val="000000"/>
          <w:sz w:val="24"/>
        </w:rPr>
        <w:br w:type="page"/>
      </w:r>
      <w:bookmarkStart w:id="262" w:name="_Toc26712637"/>
      <w:bookmarkStart w:id="263" w:name="_Toc25053146"/>
      <w:bookmarkStart w:id="264" w:name="_Toc26781063"/>
      <w:bookmarkStart w:id="265" w:name="_Toc26705847"/>
      <w:bookmarkStart w:id="266" w:name="_Toc15656420"/>
      <w:r>
        <w:rPr>
          <w:rFonts w:hint="eastAsia" w:eastAsia="黑体"/>
          <w:b w:val="0"/>
        </w:rPr>
        <w:t>附件：合肥市公共资源交易电子招标投标操作规程</w:t>
      </w:r>
      <w:bookmarkEnd w:id="262"/>
      <w:bookmarkEnd w:id="263"/>
      <w:bookmarkEnd w:id="264"/>
      <w:bookmarkEnd w:id="265"/>
    </w:p>
    <w:p>
      <w:pPr>
        <w:spacing w:line="480" w:lineRule="exact"/>
        <w:ind w:firstLine="442" w:firstLineChars="200"/>
        <w:rPr>
          <w:rFonts w:hint="eastAsia" w:ascii="宋体" w:hAnsi="宋体" w:cs="宋体"/>
          <w:sz w:val="22"/>
          <w:szCs w:val="22"/>
        </w:rPr>
      </w:pPr>
      <w:r>
        <w:rPr>
          <w:rFonts w:hint="eastAsia" w:ascii="宋体" w:hAnsi="宋体" w:cs="宋体"/>
          <w:b/>
          <w:sz w:val="22"/>
          <w:szCs w:val="22"/>
        </w:rPr>
        <w:t>【制定依据】</w:t>
      </w:r>
      <w:r>
        <w:rPr>
          <w:rFonts w:hint="eastAsia" w:ascii="宋体" w:hAnsi="宋体" w:cs="宋体"/>
          <w:sz w:val="22"/>
          <w:szCs w:val="22"/>
        </w:rPr>
        <w:t>第一条 为进一步规范招标投标行为，提高招标投标效率，充分利用信息网络技术，根据《中华人民共和国招标投标法</w:t>
      </w:r>
      <w:r>
        <w:rPr>
          <w:rFonts w:hint="eastAsia" w:ascii="宋体" w:hAnsi="宋体" w:cs="宋体"/>
          <w:sz w:val="22"/>
          <w:szCs w:val="22"/>
          <w:lang w:eastAsia="zh-CN"/>
        </w:rPr>
        <w:t>》《</w:t>
      </w:r>
      <w:r>
        <w:rPr>
          <w:rFonts w:hint="eastAsia" w:ascii="宋体" w:hAnsi="宋体" w:cs="宋体"/>
          <w:sz w:val="22"/>
          <w:szCs w:val="22"/>
        </w:rPr>
        <w:t>中华人民共和国政府采购法</w:t>
      </w:r>
      <w:r>
        <w:rPr>
          <w:rFonts w:hint="eastAsia" w:ascii="宋体" w:hAnsi="宋体" w:cs="宋体"/>
          <w:sz w:val="22"/>
          <w:szCs w:val="22"/>
          <w:lang w:eastAsia="zh-CN"/>
        </w:rPr>
        <w:t>》《</w:t>
      </w:r>
      <w:r>
        <w:rPr>
          <w:rFonts w:hint="eastAsia" w:ascii="宋体" w:hAnsi="宋体" w:cs="宋体"/>
          <w:sz w:val="22"/>
          <w:szCs w:val="22"/>
        </w:rPr>
        <w:t>中华人民共和国电子签名法</w:t>
      </w:r>
      <w:r>
        <w:rPr>
          <w:rFonts w:hint="eastAsia" w:ascii="宋体" w:hAnsi="宋体" w:cs="宋体"/>
          <w:sz w:val="22"/>
          <w:szCs w:val="22"/>
          <w:lang w:eastAsia="zh-CN"/>
        </w:rPr>
        <w:t>》《</w:t>
      </w:r>
      <w:r>
        <w:rPr>
          <w:rFonts w:hint="eastAsia" w:ascii="宋体" w:hAnsi="宋体" w:cs="宋体"/>
          <w:sz w:val="22"/>
          <w:szCs w:val="22"/>
        </w:rPr>
        <w:t>合肥市公共资源交易管理条例》和《电子招标投标办法》（八部委20号令）等有关规定，并结合工作实际，制定本规程。</w:t>
      </w:r>
    </w:p>
    <w:p>
      <w:pPr>
        <w:spacing w:line="480" w:lineRule="exact"/>
        <w:ind w:firstLine="442" w:firstLineChars="200"/>
        <w:rPr>
          <w:rFonts w:hint="eastAsia" w:ascii="宋体" w:hAnsi="宋体" w:cs="宋体"/>
          <w:sz w:val="22"/>
          <w:szCs w:val="22"/>
        </w:rPr>
      </w:pPr>
      <w:r>
        <w:rPr>
          <w:rFonts w:hint="eastAsia" w:ascii="宋体" w:hAnsi="宋体" w:cs="宋体"/>
          <w:b/>
          <w:sz w:val="22"/>
          <w:szCs w:val="22"/>
        </w:rPr>
        <w:t>【电子招标投标】</w:t>
      </w:r>
      <w:r>
        <w:rPr>
          <w:rFonts w:hint="eastAsia" w:ascii="宋体" w:hAnsi="宋体" w:cs="宋体"/>
          <w:sz w:val="22"/>
          <w:szCs w:val="22"/>
        </w:rPr>
        <w:t>第二条 本规程所指的电子招标投标，是指以数据电文形式，依托电子交易系统和安徽合肥公共资源交易中心电子服务系统完成的全部或者部分招标投标交易活动。</w:t>
      </w:r>
    </w:p>
    <w:p>
      <w:pPr>
        <w:spacing w:line="480" w:lineRule="exact"/>
        <w:ind w:firstLine="442" w:firstLineChars="200"/>
        <w:rPr>
          <w:rFonts w:hint="eastAsia" w:ascii="宋体" w:hAnsi="宋体" w:cs="宋体"/>
          <w:sz w:val="22"/>
          <w:szCs w:val="22"/>
        </w:rPr>
      </w:pPr>
      <w:r>
        <w:rPr>
          <w:rFonts w:hint="eastAsia" w:ascii="宋体" w:hAnsi="宋体" w:cs="宋体"/>
          <w:b/>
          <w:sz w:val="22"/>
          <w:szCs w:val="22"/>
        </w:rPr>
        <w:t>【适用范围】</w:t>
      </w:r>
      <w:r>
        <w:rPr>
          <w:rFonts w:hint="eastAsia" w:ascii="宋体" w:hAnsi="宋体" w:cs="宋体"/>
          <w:sz w:val="22"/>
          <w:szCs w:val="22"/>
        </w:rPr>
        <w:t>第三条 本规程适用于《合肥市公共资源集中交易目录》范围内的建设工程和政府采购、资产类项目。</w:t>
      </w:r>
    </w:p>
    <w:p>
      <w:pPr>
        <w:spacing w:line="480" w:lineRule="exact"/>
        <w:ind w:firstLine="442" w:firstLineChars="200"/>
        <w:rPr>
          <w:rFonts w:hint="eastAsia" w:ascii="宋体" w:hAnsi="宋体" w:cs="宋体"/>
          <w:sz w:val="22"/>
          <w:szCs w:val="22"/>
        </w:rPr>
      </w:pPr>
      <w:r>
        <w:rPr>
          <w:rFonts w:hint="eastAsia" w:ascii="宋体" w:hAnsi="宋体" w:cs="宋体"/>
          <w:b/>
          <w:sz w:val="22"/>
          <w:szCs w:val="22"/>
        </w:rPr>
        <w:t>【职责分工】</w:t>
      </w:r>
      <w:r>
        <w:rPr>
          <w:rFonts w:hint="eastAsia" w:ascii="宋体" w:hAnsi="宋体" w:cs="宋体"/>
          <w:sz w:val="22"/>
          <w:szCs w:val="22"/>
        </w:rPr>
        <w:t>第四条 招标人或招标代理机构负责电子招标投标的组织实施，电子交易系统建设单位负责电子交易系统的服务保障，电子服务系统建设单位负责电子服务系统的服务保障。</w:t>
      </w:r>
    </w:p>
    <w:p>
      <w:pPr>
        <w:spacing w:line="480" w:lineRule="exact"/>
        <w:ind w:firstLine="442" w:firstLineChars="200"/>
        <w:rPr>
          <w:rFonts w:hint="eastAsia" w:ascii="宋体" w:hAnsi="宋体" w:cs="宋体"/>
          <w:sz w:val="22"/>
          <w:szCs w:val="22"/>
        </w:rPr>
      </w:pPr>
      <w:r>
        <w:rPr>
          <w:rFonts w:hint="eastAsia" w:ascii="宋体" w:hAnsi="宋体" w:cs="宋体"/>
          <w:b/>
          <w:sz w:val="22"/>
          <w:szCs w:val="22"/>
        </w:rPr>
        <w:t>【电子服务系统】</w:t>
      </w:r>
      <w:r>
        <w:rPr>
          <w:rFonts w:hint="eastAsia" w:ascii="宋体" w:hAnsi="宋体" w:cs="宋体"/>
          <w:sz w:val="22"/>
          <w:szCs w:val="22"/>
        </w:rPr>
        <w:t>第五条 为满足与各电子交易系统之间电子招标投标信息对接交换、资源共享的需要，并为市场主体、行政监督部门和社会公众提供信息交换、整合和发布的系统。电子服务系统具备与各电子交易系统之间招标投标相关信息对接交换、发布、资格信誉和业绩公开、行业统计分析、连接评标专家库、提供行政监督通道等服务功能。</w:t>
      </w:r>
    </w:p>
    <w:p>
      <w:pPr>
        <w:spacing w:line="480" w:lineRule="exact"/>
        <w:ind w:firstLine="442" w:firstLineChars="200"/>
        <w:rPr>
          <w:rFonts w:hint="eastAsia" w:ascii="宋体" w:hAnsi="宋体" w:cs="宋体"/>
          <w:b/>
          <w:sz w:val="22"/>
          <w:szCs w:val="22"/>
        </w:rPr>
      </w:pPr>
      <w:r>
        <w:rPr>
          <w:rFonts w:hint="eastAsia" w:ascii="宋体" w:hAnsi="宋体" w:cs="宋体"/>
          <w:b/>
          <w:sz w:val="22"/>
          <w:szCs w:val="22"/>
        </w:rPr>
        <w:t>【电子交易系统】</w:t>
      </w:r>
      <w:r>
        <w:rPr>
          <w:rFonts w:hint="eastAsia" w:ascii="宋体" w:hAnsi="宋体" w:cs="宋体"/>
          <w:sz w:val="22"/>
          <w:szCs w:val="22"/>
        </w:rPr>
        <w:t>第六条 招标投标当事人</w:t>
      </w:r>
      <w:r>
        <w:rPr>
          <w:rFonts w:hint="eastAsia" w:ascii="宋体" w:hAnsi="宋体" w:cs="宋体"/>
          <w:sz w:val="22"/>
          <w:szCs w:val="22"/>
          <w:lang w:val="zh-CN"/>
        </w:rPr>
        <w:t>通过</w:t>
      </w:r>
      <w:r>
        <w:rPr>
          <w:rFonts w:hint="eastAsia" w:ascii="宋体" w:hAnsi="宋体" w:cs="宋体"/>
          <w:sz w:val="22"/>
          <w:szCs w:val="22"/>
        </w:rPr>
        <w:t>数据电文形式完成招标投标交易活动的系统。电子</w:t>
      </w:r>
      <w:r>
        <w:rPr>
          <w:rFonts w:hint="eastAsia" w:ascii="宋体" w:hAnsi="宋体" w:cs="宋体"/>
          <w:bCs/>
          <w:iCs/>
          <w:sz w:val="22"/>
          <w:szCs w:val="22"/>
        </w:rPr>
        <w:t>交易系统具备用于在线完成招标投标全部交易过程，编辑、生成、对接、交换和发布有关招标投标数据信息功能，为行政监督相关部门依法实施监督、监察和受理投诉提供所需的信息通道。</w:t>
      </w:r>
      <w:r>
        <w:rPr>
          <w:rFonts w:hint="eastAsia" w:ascii="宋体" w:hAnsi="宋体" w:cs="宋体"/>
          <w:b/>
          <w:sz w:val="22"/>
          <w:szCs w:val="22"/>
        </w:rPr>
        <w:t xml:space="preserve">        </w:t>
      </w:r>
    </w:p>
    <w:p>
      <w:pPr>
        <w:spacing w:line="480" w:lineRule="exact"/>
        <w:ind w:firstLine="442" w:firstLineChars="200"/>
        <w:rPr>
          <w:rFonts w:hint="eastAsia" w:ascii="宋体" w:hAnsi="宋体" w:cs="宋体"/>
          <w:sz w:val="22"/>
          <w:szCs w:val="22"/>
        </w:rPr>
      </w:pPr>
      <w:r>
        <w:rPr>
          <w:rFonts w:hint="eastAsia" w:ascii="宋体" w:hAnsi="宋体" w:cs="宋体"/>
          <w:b/>
          <w:sz w:val="22"/>
          <w:szCs w:val="22"/>
        </w:rPr>
        <w:t>【交易主体信息库】</w:t>
      </w:r>
      <w:r>
        <w:rPr>
          <w:rFonts w:hint="eastAsia" w:ascii="宋体" w:hAnsi="宋体" w:cs="宋体"/>
          <w:sz w:val="22"/>
          <w:szCs w:val="22"/>
        </w:rPr>
        <w:t>第七条 安徽合肥公共资源交易中心负责建设和管理合肥区域公共资源交易主体信息库（以下简称主体库），对入库单位提交的资料进行网上公示。</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主体库成员应及时对其注册的信息进行维护，并作出信用承诺，对信息的真实性、准确性和完整性负责。当主体库中填写的文字信息与上传扫描件的信息不一致时，以扫描件为准。</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投标文件引用的主体库资料的有效性在评标时由项目评标委员会负责评审认定。</w:t>
      </w:r>
    </w:p>
    <w:p>
      <w:pPr>
        <w:spacing w:line="480" w:lineRule="exact"/>
        <w:ind w:firstLine="442" w:firstLineChars="200"/>
        <w:rPr>
          <w:rFonts w:hint="eastAsia" w:ascii="宋体" w:hAnsi="宋体" w:cs="宋体"/>
          <w:b/>
          <w:sz w:val="22"/>
          <w:szCs w:val="22"/>
        </w:rPr>
      </w:pPr>
      <w:r>
        <w:rPr>
          <w:rFonts w:hint="eastAsia" w:ascii="宋体" w:hAnsi="宋体" w:cs="宋体"/>
          <w:b/>
          <w:sz w:val="22"/>
          <w:szCs w:val="22"/>
        </w:rPr>
        <w:t>【数字证书】</w:t>
      </w:r>
      <w:r>
        <w:rPr>
          <w:rFonts w:hint="eastAsia" w:ascii="宋体" w:hAnsi="宋体" w:cs="宋体"/>
          <w:sz w:val="22"/>
          <w:szCs w:val="22"/>
        </w:rPr>
        <w:t>第八条 投标人应妥善保管数字证书，由于数字证书遗失、损坏、更换、续期等情况导致投标文件无法上传或解密，由投标人自行承担责任。</w:t>
      </w:r>
    </w:p>
    <w:p>
      <w:pPr>
        <w:spacing w:line="480" w:lineRule="exact"/>
        <w:ind w:firstLine="442" w:firstLineChars="200"/>
        <w:jc w:val="left"/>
        <w:rPr>
          <w:rFonts w:hint="eastAsia" w:ascii="宋体" w:hAnsi="宋体" w:cs="宋体"/>
          <w:sz w:val="22"/>
          <w:szCs w:val="22"/>
        </w:rPr>
      </w:pPr>
      <w:r>
        <w:rPr>
          <w:rFonts w:hint="eastAsia" w:ascii="宋体" w:hAnsi="宋体" w:cs="宋体"/>
          <w:b/>
          <w:sz w:val="22"/>
          <w:szCs w:val="22"/>
        </w:rPr>
        <w:t>【招标文件制作】</w:t>
      </w:r>
      <w:r>
        <w:rPr>
          <w:rFonts w:hint="eastAsia" w:ascii="宋体" w:hAnsi="宋体" w:cs="宋体"/>
          <w:sz w:val="22"/>
          <w:szCs w:val="22"/>
        </w:rPr>
        <w:t xml:space="preserve">第九条 招标人或招标代理机构应在招标公告和招标文件中明确招标项目采取电子招标投标方式，并按相关流程通过电子交易系统制作招标文件。 </w:t>
      </w:r>
    </w:p>
    <w:p>
      <w:pPr>
        <w:spacing w:line="480" w:lineRule="exact"/>
        <w:ind w:firstLine="442" w:firstLineChars="200"/>
        <w:rPr>
          <w:rFonts w:hint="eastAsia" w:ascii="宋体" w:hAnsi="宋体" w:cs="宋体"/>
          <w:sz w:val="22"/>
          <w:szCs w:val="22"/>
        </w:rPr>
      </w:pPr>
      <w:r>
        <w:rPr>
          <w:rFonts w:hint="eastAsia" w:ascii="宋体" w:hAnsi="宋体" w:cs="宋体"/>
          <w:b/>
          <w:sz w:val="22"/>
          <w:szCs w:val="22"/>
        </w:rPr>
        <w:t>【招标文件发布】</w:t>
      </w:r>
      <w:r>
        <w:rPr>
          <w:rFonts w:hint="eastAsia" w:ascii="宋体" w:hAnsi="宋体" w:cs="宋体"/>
          <w:sz w:val="22"/>
          <w:szCs w:val="22"/>
        </w:rPr>
        <w:t>第十条 招标公告、招标文件应由招标人或招标代理机构通过电子服务系统在安徽合肥公共资源交易中心网站发布，其中招标文件须加盖电子签章。</w:t>
      </w:r>
    </w:p>
    <w:p>
      <w:pPr>
        <w:spacing w:line="480" w:lineRule="exact"/>
        <w:ind w:firstLine="442" w:firstLineChars="200"/>
        <w:rPr>
          <w:rFonts w:hint="eastAsia" w:ascii="宋体" w:hAnsi="宋体" w:cs="宋体"/>
          <w:sz w:val="22"/>
          <w:szCs w:val="22"/>
        </w:rPr>
      </w:pPr>
      <w:r>
        <w:rPr>
          <w:rFonts w:hint="eastAsia" w:ascii="宋体" w:hAnsi="宋体" w:cs="宋体"/>
          <w:b/>
          <w:sz w:val="22"/>
          <w:szCs w:val="22"/>
        </w:rPr>
        <w:t>【招标文件获取】</w:t>
      </w:r>
      <w:r>
        <w:rPr>
          <w:rFonts w:hint="eastAsia" w:ascii="宋体" w:hAnsi="宋体" w:cs="宋体"/>
          <w:sz w:val="22"/>
          <w:szCs w:val="22"/>
        </w:rPr>
        <w:t>第十一条 投标人登录安徽合肥公共资源交易中心电子服务系统获取招标文件。</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w:t>
      </w:r>
      <w:r>
        <w:rPr>
          <w:rFonts w:hint="eastAsia" w:ascii="宋体" w:hAnsi="宋体" w:cs="宋体"/>
          <w:b/>
          <w:sz w:val="22"/>
          <w:szCs w:val="22"/>
        </w:rPr>
        <w:t>招标文件澄清、修改</w:t>
      </w:r>
      <w:r>
        <w:rPr>
          <w:rFonts w:hint="eastAsia" w:ascii="宋体" w:hAnsi="宋体" w:cs="宋体"/>
          <w:sz w:val="22"/>
          <w:szCs w:val="22"/>
        </w:rPr>
        <w:t>】第十二条 澄清、修改文件应由招标人或招标代理机构通过电子服务系统在安徽合肥公共资源交易中心网站发布，投标人应及时查阅相关澄清、修改信息。</w:t>
      </w:r>
    </w:p>
    <w:p>
      <w:pPr>
        <w:spacing w:line="480" w:lineRule="exact"/>
        <w:ind w:firstLine="442" w:firstLineChars="200"/>
        <w:rPr>
          <w:rFonts w:hint="eastAsia" w:ascii="宋体" w:hAnsi="宋体" w:cs="宋体"/>
          <w:sz w:val="22"/>
          <w:szCs w:val="22"/>
        </w:rPr>
      </w:pPr>
      <w:r>
        <w:rPr>
          <w:rFonts w:hint="eastAsia" w:ascii="宋体" w:hAnsi="宋体" w:cs="宋体"/>
          <w:b/>
          <w:sz w:val="22"/>
          <w:szCs w:val="22"/>
        </w:rPr>
        <w:t>【投标文件制作】</w:t>
      </w:r>
      <w:r>
        <w:rPr>
          <w:rFonts w:hint="eastAsia" w:ascii="宋体" w:hAnsi="宋体" w:cs="宋体"/>
          <w:sz w:val="22"/>
          <w:szCs w:val="22"/>
        </w:rPr>
        <w:t>第十三条 投标人应使用电子标书制作软件制作投标文件，电子标书制作软件允许投标人离线编制投标文件，并且具备分段或整体加密、解密功能。</w:t>
      </w:r>
    </w:p>
    <w:p>
      <w:pPr>
        <w:spacing w:line="480" w:lineRule="exact"/>
        <w:ind w:firstLine="442" w:firstLineChars="200"/>
        <w:rPr>
          <w:rFonts w:hint="eastAsia" w:ascii="宋体" w:hAnsi="宋体" w:cs="宋体"/>
          <w:sz w:val="22"/>
          <w:szCs w:val="22"/>
        </w:rPr>
      </w:pPr>
      <w:r>
        <w:rPr>
          <w:rFonts w:hint="eastAsia" w:ascii="宋体" w:hAnsi="宋体" w:cs="宋体"/>
          <w:b/>
          <w:sz w:val="22"/>
          <w:szCs w:val="22"/>
        </w:rPr>
        <w:t>【投标文件上传】</w:t>
      </w:r>
      <w:r>
        <w:rPr>
          <w:rFonts w:hint="eastAsia" w:ascii="宋体" w:hAnsi="宋体" w:cs="宋体"/>
          <w:sz w:val="22"/>
          <w:szCs w:val="22"/>
        </w:rPr>
        <w:t>第十四条 投标人必须对投标文件进行电子签章并使用数字证书加密，并于招标文件规定的投标截止时间前通过电子交易系统完成上传。</w:t>
      </w:r>
    </w:p>
    <w:p>
      <w:pPr>
        <w:spacing w:line="480" w:lineRule="exact"/>
        <w:ind w:firstLine="440" w:firstLineChars="200"/>
        <w:rPr>
          <w:rFonts w:hint="eastAsia" w:ascii="宋体" w:hAnsi="宋体" w:cs="宋体"/>
          <w:b/>
          <w:sz w:val="22"/>
          <w:szCs w:val="22"/>
        </w:rPr>
      </w:pPr>
      <w:r>
        <w:rPr>
          <w:rFonts w:hint="eastAsia" w:ascii="宋体" w:hAnsi="宋体" w:cs="宋体"/>
          <w:sz w:val="22"/>
          <w:szCs w:val="22"/>
        </w:rPr>
        <w:t>投标人对加密的投标文件进行撤回的，应通过电子交易系统在投标截止时间前直接进行撤回操作；投标人对加密的投标文件进行修改的，应在投标截止时间前完成上传。</w:t>
      </w:r>
    </w:p>
    <w:p>
      <w:pPr>
        <w:spacing w:line="480" w:lineRule="exact"/>
        <w:ind w:firstLine="442" w:firstLineChars="200"/>
        <w:rPr>
          <w:rFonts w:hint="eastAsia" w:ascii="宋体" w:hAnsi="宋体" w:cs="宋体"/>
          <w:b/>
          <w:sz w:val="22"/>
          <w:szCs w:val="22"/>
        </w:rPr>
      </w:pPr>
      <w:r>
        <w:rPr>
          <w:rFonts w:hint="eastAsia" w:ascii="宋体" w:hAnsi="宋体" w:cs="宋体"/>
          <w:b/>
          <w:sz w:val="22"/>
          <w:szCs w:val="22"/>
        </w:rPr>
        <w:t>【投标截止时间】</w:t>
      </w:r>
      <w:r>
        <w:rPr>
          <w:rFonts w:hint="eastAsia" w:ascii="宋体" w:hAnsi="宋体" w:cs="宋体"/>
          <w:sz w:val="22"/>
          <w:szCs w:val="22"/>
        </w:rPr>
        <w:t>第十五条 投标截止时间以电子交易系统显示的时间为准，逾期系统将自动关闭</w:t>
      </w:r>
      <w:r>
        <w:rPr>
          <w:rFonts w:hint="eastAsia" w:ascii="宋体" w:hAnsi="宋体" w:cs="宋体"/>
          <w:sz w:val="22"/>
          <w:szCs w:val="22"/>
          <w:lang w:eastAsia="zh-CN"/>
        </w:rPr>
        <w:t>，</w:t>
      </w:r>
      <w:r>
        <w:rPr>
          <w:rFonts w:hint="eastAsia" w:ascii="宋体" w:hAnsi="宋体" w:cs="宋体"/>
          <w:sz w:val="22"/>
          <w:szCs w:val="22"/>
        </w:rPr>
        <w:t xml:space="preserve"> 未完成上传的投标文件将被拒绝。</w:t>
      </w:r>
    </w:p>
    <w:p>
      <w:pPr>
        <w:spacing w:line="480" w:lineRule="exact"/>
        <w:ind w:firstLine="442" w:firstLineChars="200"/>
        <w:rPr>
          <w:rFonts w:hint="eastAsia" w:ascii="宋体" w:hAnsi="宋体" w:cs="宋体"/>
          <w:sz w:val="22"/>
          <w:szCs w:val="22"/>
        </w:rPr>
      </w:pPr>
      <w:r>
        <w:rPr>
          <w:rFonts w:hint="eastAsia" w:ascii="宋体" w:hAnsi="宋体" w:cs="宋体"/>
          <w:b/>
          <w:sz w:val="22"/>
          <w:szCs w:val="22"/>
        </w:rPr>
        <w:t>【开标环节】</w:t>
      </w:r>
      <w:r>
        <w:rPr>
          <w:rFonts w:hint="eastAsia" w:ascii="宋体" w:hAnsi="宋体" w:cs="宋体"/>
          <w:sz w:val="22"/>
          <w:szCs w:val="22"/>
        </w:rPr>
        <w:t>第十六条 投标人须按照招标文件的要求在投标截止时间以前登录安徽合肥公共资源交易中心电子服务系统并保持在线，直到项目评审结束。</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招标文件约定须到达现场进行演示、答辩、磋商、谈判的情形，投标人应按照招标（磋商、谈判）文件规定的时间到达现场。</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投标人在投标截止时间后按招标文件规定的解密时间完成投标文件解密，加密和解密须用同一数字证书。投标人未在招标文件规定的时间内完成解密的视为其放弃投标。</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招标人或招标代理机构完成解密，导入并读取所有成功解密的投标文件，系统自动记录开标过程。</w:t>
      </w:r>
    </w:p>
    <w:p>
      <w:pPr>
        <w:spacing w:line="480" w:lineRule="exact"/>
        <w:ind w:firstLine="442" w:firstLineChars="200"/>
        <w:rPr>
          <w:rFonts w:hint="eastAsia" w:ascii="宋体" w:hAnsi="宋体" w:cs="宋体"/>
          <w:b/>
          <w:sz w:val="22"/>
          <w:szCs w:val="22"/>
        </w:rPr>
      </w:pPr>
      <w:r>
        <w:rPr>
          <w:rFonts w:hint="eastAsia" w:ascii="宋体" w:hAnsi="宋体" w:cs="宋体"/>
          <w:b/>
          <w:sz w:val="22"/>
          <w:szCs w:val="22"/>
        </w:rPr>
        <w:t>【解密特殊情形】</w:t>
      </w:r>
      <w:r>
        <w:rPr>
          <w:rFonts w:hint="eastAsia" w:ascii="宋体" w:hAnsi="宋体" w:cs="宋体"/>
          <w:sz w:val="22"/>
          <w:szCs w:val="22"/>
        </w:rPr>
        <w:t>第十七条 未能成功解密的投标人，如招标文件中允许使用电子光盘作为备份，并且投标人在投标截止时间之前到达开标现场并成功递交电子光盘，招标人或招标代理机构可导入电子光盘继续开标。若系统识别出电子光盘中未加密的投标文件和网上递交的加密投标文件识别码不一致，系统将拒绝导入。</w:t>
      </w:r>
    </w:p>
    <w:p>
      <w:pPr>
        <w:spacing w:line="480" w:lineRule="exact"/>
        <w:ind w:firstLine="442" w:firstLineChars="200"/>
        <w:rPr>
          <w:rFonts w:hint="eastAsia" w:ascii="宋体" w:hAnsi="宋体" w:cs="宋体"/>
          <w:sz w:val="22"/>
          <w:szCs w:val="22"/>
        </w:rPr>
      </w:pPr>
      <w:r>
        <w:rPr>
          <w:rFonts w:hint="eastAsia" w:ascii="宋体" w:hAnsi="宋体" w:cs="宋体"/>
          <w:b/>
          <w:sz w:val="22"/>
          <w:szCs w:val="22"/>
        </w:rPr>
        <w:t>【评标环节】</w:t>
      </w:r>
      <w:r>
        <w:rPr>
          <w:rFonts w:hint="eastAsia" w:ascii="宋体" w:hAnsi="宋体" w:cs="宋体"/>
          <w:sz w:val="22"/>
          <w:szCs w:val="22"/>
        </w:rPr>
        <w:t>第十八条 招标人或招标代理机构组织评标，评标委员会依据招标文件规定的评标办法进行电子评标，并对评标结果签字或电子签名确认。</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二次报价应按招标文件的要求提交。</w:t>
      </w:r>
    </w:p>
    <w:p>
      <w:pPr>
        <w:spacing w:line="480" w:lineRule="exact"/>
        <w:ind w:firstLine="442" w:firstLineChars="200"/>
        <w:rPr>
          <w:rFonts w:hint="eastAsia" w:ascii="宋体" w:hAnsi="宋体" w:cs="宋体"/>
          <w:b/>
          <w:sz w:val="22"/>
          <w:szCs w:val="22"/>
        </w:rPr>
      </w:pPr>
      <w:r>
        <w:rPr>
          <w:rFonts w:hint="eastAsia" w:ascii="宋体" w:hAnsi="宋体" w:cs="宋体"/>
          <w:b/>
          <w:sz w:val="22"/>
          <w:szCs w:val="22"/>
        </w:rPr>
        <w:t>【询标环节】</w:t>
      </w:r>
      <w:r>
        <w:rPr>
          <w:rFonts w:hint="eastAsia" w:ascii="宋体" w:hAnsi="宋体" w:cs="宋体"/>
          <w:sz w:val="22"/>
          <w:szCs w:val="22"/>
        </w:rPr>
        <w:t>第十九条 评标委员会通过电子交易系统将需要澄清、说明或补正的内容以询标函的形式发送给投标人，投标人应登录电子交易系统并保持在线状态，以便及时接收评标委员会可能发出的询标函，并在规定时间内回复，若投标人未及时回复，视为放弃澄清。</w:t>
      </w:r>
    </w:p>
    <w:p>
      <w:pPr>
        <w:spacing w:line="480" w:lineRule="exact"/>
        <w:ind w:firstLine="442" w:firstLineChars="200"/>
        <w:rPr>
          <w:rFonts w:hint="eastAsia" w:ascii="宋体" w:hAnsi="宋体" w:cs="宋体"/>
          <w:b/>
          <w:sz w:val="22"/>
          <w:szCs w:val="22"/>
        </w:rPr>
      </w:pPr>
      <w:r>
        <w:rPr>
          <w:rFonts w:hint="eastAsia" w:ascii="宋体" w:hAnsi="宋体" w:cs="宋体"/>
          <w:b/>
          <w:sz w:val="22"/>
          <w:szCs w:val="22"/>
        </w:rPr>
        <w:t>【评标报告】</w:t>
      </w:r>
      <w:r>
        <w:rPr>
          <w:rFonts w:hint="eastAsia" w:ascii="宋体" w:hAnsi="宋体" w:cs="宋体"/>
          <w:sz w:val="22"/>
          <w:szCs w:val="22"/>
        </w:rPr>
        <w:t>第二十条 评标委员会完成评标后，应通过电子交易系统提交评标报告。招标人或招标代理机构将评标报告及时交互至安徽合肥公共资源交易中心电子服务系统。</w:t>
      </w:r>
    </w:p>
    <w:p>
      <w:pPr>
        <w:spacing w:line="480" w:lineRule="exact"/>
        <w:ind w:firstLine="442" w:firstLineChars="200"/>
        <w:rPr>
          <w:rFonts w:hint="eastAsia" w:ascii="宋体" w:hAnsi="宋体" w:cs="宋体"/>
          <w:sz w:val="22"/>
          <w:szCs w:val="22"/>
        </w:rPr>
      </w:pPr>
      <w:r>
        <w:rPr>
          <w:rFonts w:hint="eastAsia" w:ascii="宋体" w:hAnsi="宋体" w:cs="宋体"/>
          <w:b/>
          <w:sz w:val="22"/>
          <w:szCs w:val="22"/>
        </w:rPr>
        <w:t>【结果公示】</w:t>
      </w:r>
      <w:r>
        <w:rPr>
          <w:rFonts w:hint="eastAsia" w:ascii="宋体" w:hAnsi="宋体" w:cs="宋体"/>
          <w:sz w:val="22"/>
          <w:szCs w:val="22"/>
        </w:rPr>
        <w:t>第二十一条 招标人应通过电子服务系统在安徽合肥公共资源交易中心网站公示和公布中标候选人及中标结果。</w:t>
      </w:r>
    </w:p>
    <w:p>
      <w:pPr>
        <w:spacing w:line="480" w:lineRule="exact"/>
        <w:ind w:firstLine="442" w:firstLineChars="200"/>
        <w:rPr>
          <w:rFonts w:hint="eastAsia" w:ascii="宋体" w:hAnsi="宋体" w:cs="宋体"/>
          <w:b/>
          <w:sz w:val="22"/>
          <w:szCs w:val="22"/>
        </w:rPr>
      </w:pPr>
      <w:r>
        <w:rPr>
          <w:rFonts w:hint="eastAsia" w:ascii="宋体" w:hAnsi="宋体" w:cs="宋体"/>
          <w:b/>
          <w:sz w:val="22"/>
          <w:szCs w:val="22"/>
        </w:rPr>
        <w:t>【中标通知书】</w:t>
      </w:r>
      <w:r>
        <w:rPr>
          <w:rFonts w:hint="eastAsia" w:ascii="宋体" w:hAnsi="宋体" w:cs="宋体"/>
          <w:sz w:val="22"/>
          <w:szCs w:val="22"/>
        </w:rPr>
        <w:t>第二十二条</w:t>
      </w:r>
      <w:r>
        <w:rPr>
          <w:rFonts w:hint="eastAsia" w:ascii="宋体" w:hAnsi="宋体" w:cs="宋体"/>
          <w:b/>
          <w:sz w:val="22"/>
          <w:szCs w:val="22"/>
        </w:rPr>
        <w:t xml:space="preserve"> </w:t>
      </w:r>
      <w:r>
        <w:rPr>
          <w:rFonts w:hint="eastAsia" w:ascii="宋体" w:hAnsi="宋体" w:cs="宋体"/>
          <w:sz w:val="22"/>
          <w:szCs w:val="22"/>
        </w:rPr>
        <w:t>招标人确定中标人后，应通过电子交易系统向中标人发出中标通知书，中标通知书发出即视为送达。</w:t>
      </w:r>
      <w:r>
        <w:rPr>
          <w:rFonts w:hint="eastAsia" w:ascii="宋体" w:hAnsi="宋体" w:cs="宋体"/>
          <w:b/>
          <w:sz w:val="22"/>
          <w:szCs w:val="22"/>
        </w:rPr>
        <w:t xml:space="preserve"> </w:t>
      </w:r>
    </w:p>
    <w:p>
      <w:pPr>
        <w:spacing w:line="480" w:lineRule="exact"/>
        <w:ind w:firstLine="442" w:firstLineChars="200"/>
        <w:rPr>
          <w:rFonts w:hint="eastAsia" w:ascii="宋体" w:hAnsi="宋体" w:cs="宋体"/>
          <w:sz w:val="22"/>
          <w:szCs w:val="22"/>
        </w:rPr>
      </w:pPr>
      <w:r>
        <w:rPr>
          <w:rFonts w:hint="eastAsia" w:ascii="宋体" w:hAnsi="宋体" w:cs="宋体"/>
          <w:b/>
          <w:sz w:val="22"/>
          <w:szCs w:val="22"/>
        </w:rPr>
        <w:t>【意外情况】</w:t>
      </w:r>
      <w:r>
        <w:rPr>
          <w:rFonts w:hint="eastAsia" w:ascii="宋体" w:hAnsi="宋体" w:cs="宋体"/>
          <w:sz w:val="22"/>
          <w:szCs w:val="22"/>
        </w:rPr>
        <w:t>第二十三条 出现下列情形导致电子服务系统或电子交易系统无法正常运行，影响</w:t>
      </w:r>
      <w:r>
        <w:rPr>
          <w:rFonts w:hint="eastAsia" w:ascii="宋体" w:hAnsi="宋体" w:cs="宋体"/>
          <w:color w:val="000000"/>
          <w:sz w:val="22"/>
          <w:szCs w:val="22"/>
        </w:rPr>
        <w:t>招投标</w:t>
      </w:r>
      <w:r>
        <w:rPr>
          <w:rFonts w:hint="eastAsia" w:ascii="宋体" w:hAnsi="宋体" w:cs="宋体"/>
          <w:sz w:val="22"/>
          <w:szCs w:val="22"/>
        </w:rPr>
        <w:t>过程的公平、公正和信息安全，经第三方机构认定后，各方当事人免责：</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（一）网络、服务器、数据库发生故障造成无法访问或使用的；</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（二）电力系统发生故障导致电子服务系统或电子交易系统无法运行；</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（三）出现网络攻击、病毒入侵以及电子服务系统或电子交易系统安全漏洞导致无法正常提供服务的；</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（四）其他无法保证招投标过程公平、公正和信息安全的情形。</w:t>
      </w:r>
    </w:p>
    <w:p>
      <w:pPr>
        <w:spacing w:line="480" w:lineRule="exact"/>
        <w:ind w:firstLine="442" w:firstLineChars="200"/>
        <w:rPr>
          <w:rFonts w:hint="eastAsia" w:ascii="宋体" w:hAnsi="宋体" w:cs="宋体"/>
          <w:sz w:val="22"/>
          <w:szCs w:val="22"/>
        </w:rPr>
      </w:pPr>
      <w:r>
        <w:rPr>
          <w:rFonts w:hint="eastAsia" w:ascii="宋体" w:hAnsi="宋体" w:cs="宋体"/>
          <w:b/>
          <w:sz w:val="22"/>
          <w:szCs w:val="22"/>
        </w:rPr>
        <w:t>【处理流程】</w:t>
      </w:r>
      <w:r>
        <w:rPr>
          <w:rFonts w:hint="eastAsia" w:ascii="宋体" w:hAnsi="宋体" w:cs="宋体"/>
          <w:sz w:val="22"/>
          <w:szCs w:val="22"/>
        </w:rPr>
        <w:t>第二十四条 出现上述情形，系统建设方应及时组织相关方查明原因，排除故障。若能保证在开标前恢复系统运行的，招投标程序继续进行；若导致开评标程序无法按时开展，但能在原开标时间后1小时内恢复系统运行的，招投标程序继续进行；若导致开评标程序无法按时开展，在原开标时间后1小时内无法恢复系统运行的，按以下程序操作：</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一）项目中止，中止期限由招标人或招标代理机构根据项目具体情况确定。中止期限届满后中止情形尚未消除的，招标人或代理机构可以根据实际情况决定延长中止期限。决定延长中止期限的，应向投标人发出延长中止期限通知，并在交易中心网站进行公布。</w:t>
      </w:r>
    </w:p>
    <w:p>
      <w:pPr>
        <w:spacing w:line="480" w:lineRule="exact"/>
        <w:ind w:firstLine="440" w:firstLineChars="200"/>
        <w:rPr>
          <w:rFonts w:hint="eastAsia" w:ascii="宋体" w:hAnsi="宋体" w:cs="宋体"/>
          <w:sz w:val="22"/>
          <w:szCs w:val="22"/>
        </w:rPr>
      </w:pPr>
      <w:r>
        <w:rPr>
          <w:rFonts w:hint="eastAsia" w:ascii="宋体" w:hAnsi="宋体" w:cs="宋体"/>
          <w:sz w:val="22"/>
          <w:szCs w:val="22"/>
        </w:rPr>
        <w:t>（二）项目恢复，导致项目中止的情形消除后，招标人或代理机构应当尽快恢复招投标程序，向投标人发出恢复交易通知，并在交易中心网站进行公布；已发出延长中止期限通知的，按通知执行。</w:t>
      </w:r>
    </w:p>
    <w:p>
      <w:pPr>
        <w:spacing w:line="480" w:lineRule="exact"/>
        <w:ind w:firstLine="442" w:firstLineChars="200"/>
        <w:rPr>
          <w:rFonts w:hint="eastAsia" w:ascii="宋体" w:hAnsi="宋体" w:cs="宋体"/>
          <w:sz w:val="22"/>
          <w:szCs w:val="22"/>
        </w:rPr>
      </w:pPr>
      <w:r>
        <w:rPr>
          <w:rFonts w:hint="eastAsia" w:ascii="宋体" w:hAnsi="宋体" w:cs="宋体"/>
          <w:b/>
          <w:sz w:val="22"/>
          <w:szCs w:val="22"/>
        </w:rPr>
        <w:t>【规程解释】</w:t>
      </w:r>
      <w:r>
        <w:rPr>
          <w:rFonts w:hint="eastAsia" w:ascii="宋体" w:hAnsi="宋体" w:cs="宋体"/>
          <w:sz w:val="22"/>
          <w:szCs w:val="22"/>
        </w:rPr>
        <w:t>第二十五条 本规程由合肥市公共资源交易监督管理局负责解释。</w:t>
      </w:r>
    </w:p>
    <w:p>
      <w:pPr>
        <w:spacing w:line="480" w:lineRule="exact"/>
        <w:ind w:firstLine="442" w:firstLineChars="200"/>
        <w:rPr>
          <w:rFonts w:hint="eastAsia" w:ascii="宋体" w:hAnsi="宋体" w:cs="宋体"/>
          <w:b/>
          <w:sz w:val="22"/>
          <w:szCs w:val="22"/>
        </w:rPr>
      </w:pPr>
      <w:r>
        <w:rPr>
          <w:rFonts w:hint="eastAsia" w:ascii="宋体" w:hAnsi="宋体" w:cs="宋体"/>
          <w:b/>
          <w:sz w:val="22"/>
          <w:szCs w:val="22"/>
        </w:rPr>
        <w:t>【施行时间】</w:t>
      </w:r>
      <w:r>
        <w:rPr>
          <w:rFonts w:hint="eastAsia" w:ascii="宋体" w:hAnsi="宋体" w:cs="宋体"/>
          <w:sz w:val="22"/>
          <w:szCs w:val="22"/>
        </w:rPr>
        <w:t>第二十六条 本规程自发布之日起施行，有效期两年。</w:t>
      </w:r>
    </w:p>
    <w:bookmarkEnd w:id="266"/>
    <w:p>
      <w:pPr>
        <w:pStyle w:val="2"/>
        <w:jc w:val="center"/>
        <w:rPr>
          <w:rFonts w:hint="eastAsia" w:eastAsia="黑体"/>
          <w:b w:val="0"/>
        </w:rPr>
      </w:pPr>
      <w:r>
        <w:rPr>
          <w:color w:val="000000"/>
          <w:sz w:val="24"/>
        </w:rPr>
        <w:br w:type="page"/>
      </w:r>
      <w:bookmarkStart w:id="267" w:name="_Toc26781064"/>
      <w:r>
        <w:rPr>
          <w:rFonts w:hint="eastAsia" w:eastAsia="黑体"/>
          <w:b w:val="0"/>
        </w:rPr>
        <w:t>第三章  评标办法</w:t>
      </w:r>
    </w:p>
    <w:p>
      <w:pPr>
        <w:pStyle w:val="2"/>
        <w:jc w:val="center"/>
        <w:rPr>
          <w:rFonts w:hint="eastAsia"/>
        </w:rPr>
      </w:pPr>
      <w:r>
        <w:rPr>
          <w:rFonts w:hint="eastAsia"/>
          <w:sz w:val="28"/>
          <w:szCs w:val="36"/>
        </w:rPr>
        <w:t>综合评估法（一次平均）</w:t>
      </w:r>
      <w:bookmarkEnd w:id="267"/>
    </w:p>
    <w:p>
      <w:pPr>
        <w:keepNext/>
        <w:keepLines/>
        <w:spacing w:before="120" w:after="120" w:line="400" w:lineRule="exact"/>
        <w:jc w:val="center"/>
        <w:outlineLvl w:val="1"/>
        <w:rPr>
          <w:rFonts w:hint="eastAsia" w:eastAsia="黑体" w:cs="宋体"/>
          <w:sz w:val="28"/>
          <w:szCs w:val="20"/>
        </w:rPr>
      </w:pPr>
      <w:bookmarkStart w:id="268" w:name="_Toc26781065"/>
      <w:r>
        <w:rPr>
          <w:rFonts w:hint="eastAsia" w:eastAsia="黑体" w:cs="宋体"/>
          <w:sz w:val="28"/>
          <w:szCs w:val="20"/>
        </w:rPr>
        <w:t>评标办法前附表</w:t>
      </w:r>
      <w:bookmarkEnd w:id="268"/>
    </w:p>
    <w:tbl>
      <w:tblPr>
        <w:tblStyle w:val="55"/>
        <w:tblW w:w="513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72"/>
        <w:gridCol w:w="967"/>
        <w:gridCol w:w="1661"/>
        <w:gridCol w:w="6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67" w:type="pct"/>
            <w:gridSpan w:val="2"/>
            <w:vAlign w:val="center"/>
          </w:tcPr>
          <w:p>
            <w:pPr>
              <w:widowControl/>
              <w:spacing w:line="480" w:lineRule="exact"/>
              <w:jc w:val="center"/>
              <w:rPr>
                <w:kern w:val="0"/>
                <w:sz w:val="22"/>
                <w:szCs w:val="22"/>
              </w:rPr>
            </w:pPr>
            <w:r>
              <w:rPr>
                <w:b/>
                <w:bCs/>
                <w:kern w:val="0"/>
                <w:sz w:val="22"/>
                <w:szCs w:val="22"/>
              </w:rPr>
              <w:t>条款号</w:t>
            </w:r>
          </w:p>
        </w:tc>
        <w:tc>
          <w:tcPr>
            <w:tcW w:w="828" w:type="pct"/>
            <w:vAlign w:val="center"/>
          </w:tcPr>
          <w:p>
            <w:pPr>
              <w:widowControl/>
              <w:spacing w:line="480" w:lineRule="exact"/>
              <w:ind w:firstLine="110" w:firstLineChars="50"/>
              <w:jc w:val="left"/>
              <w:rPr>
                <w:kern w:val="0"/>
                <w:sz w:val="22"/>
                <w:szCs w:val="22"/>
              </w:rPr>
            </w:pPr>
            <w:r>
              <w:rPr>
                <w:b/>
                <w:bCs/>
                <w:kern w:val="0"/>
                <w:sz w:val="22"/>
                <w:szCs w:val="22"/>
              </w:rPr>
              <w:t>评审因素</w:t>
            </w:r>
          </w:p>
        </w:tc>
        <w:tc>
          <w:tcPr>
            <w:tcW w:w="3304" w:type="pct"/>
            <w:vAlign w:val="center"/>
          </w:tcPr>
          <w:p>
            <w:pPr>
              <w:widowControl/>
              <w:spacing w:line="480" w:lineRule="exact"/>
              <w:ind w:firstLine="110" w:firstLineChars="50"/>
              <w:jc w:val="center"/>
              <w:rPr>
                <w:kern w:val="0"/>
                <w:sz w:val="22"/>
                <w:szCs w:val="22"/>
              </w:rPr>
            </w:pPr>
            <w:r>
              <w:rPr>
                <w:b/>
                <w:bCs/>
                <w:kern w:val="0"/>
                <w:sz w:val="22"/>
                <w:szCs w:val="22"/>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85" w:type="pct"/>
            <w:vAlign w:val="center"/>
          </w:tcPr>
          <w:p>
            <w:pPr>
              <w:widowControl/>
              <w:spacing w:line="480" w:lineRule="exact"/>
              <w:jc w:val="center"/>
              <w:rPr>
                <w:bCs/>
                <w:kern w:val="0"/>
                <w:sz w:val="22"/>
                <w:szCs w:val="22"/>
              </w:rPr>
            </w:pPr>
            <w:r>
              <w:rPr>
                <w:rFonts w:hint="eastAsia"/>
                <w:bCs/>
                <w:kern w:val="0"/>
                <w:sz w:val="22"/>
                <w:szCs w:val="22"/>
              </w:rPr>
              <w:t>2.1</w:t>
            </w:r>
          </w:p>
        </w:tc>
        <w:tc>
          <w:tcPr>
            <w:tcW w:w="482" w:type="pct"/>
            <w:vAlign w:val="center"/>
          </w:tcPr>
          <w:p>
            <w:pPr>
              <w:widowControl/>
              <w:spacing w:line="480" w:lineRule="exact"/>
              <w:jc w:val="center"/>
              <w:rPr>
                <w:rFonts w:hint="eastAsia"/>
                <w:bCs/>
                <w:kern w:val="0"/>
                <w:sz w:val="22"/>
                <w:szCs w:val="22"/>
              </w:rPr>
            </w:pPr>
            <w:r>
              <w:rPr>
                <w:rFonts w:hint="eastAsia"/>
                <w:bCs/>
                <w:kern w:val="0"/>
                <w:sz w:val="22"/>
                <w:szCs w:val="22"/>
              </w:rPr>
              <w:t>评标办法</w:t>
            </w:r>
          </w:p>
        </w:tc>
        <w:tc>
          <w:tcPr>
            <w:tcW w:w="828" w:type="pct"/>
            <w:tcMar>
              <w:left w:w="75" w:type="dxa"/>
            </w:tcMar>
            <w:vAlign w:val="center"/>
          </w:tcPr>
          <w:p>
            <w:pPr>
              <w:widowControl/>
              <w:adjustRightInd w:val="0"/>
              <w:snapToGrid w:val="0"/>
              <w:spacing w:line="480" w:lineRule="exact"/>
              <w:jc w:val="center"/>
              <w:rPr>
                <w:rFonts w:hint="eastAsia"/>
                <w:kern w:val="0"/>
                <w:sz w:val="22"/>
                <w:szCs w:val="22"/>
              </w:rPr>
            </w:pPr>
            <w:r>
              <w:rPr>
                <w:rFonts w:hint="eastAsia"/>
                <w:kern w:val="0"/>
                <w:sz w:val="22"/>
                <w:szCs w:val="22"/>
              </w:rPr>
              <w:t>中标候选人排序方法</w:t>
            </w:r>
          </w:p>
        </w:tc>
        <w:tc>
          <w:tcPr>
            <w:tcW w:w="3304" w:type="pct"/>
            <w:tcMar>
              <w:left w:w="75" w:type="dxa"/>
            </w:tcMar>
            <w:vAlign w:val="center"/>
          </w:tcPr>
          <w:p>
            <w:pPr>
              <w:widowControl/>
              <w:spacing w:line="480" w:lineRule="exact"/>
              <w:jc w:val="left"/>
              <w:rPr>
                <w:rFonts w:hint="eastAsia" w:hAnsi="宋体" w:cs="宋体"/>
                <w:sz w:val="22"/>
                <w:szCs w:val="22"/>
              </w:rPr>
            </w:pPr>
            <w:r>
              <w:rPr>
                <w:rFonts w:hint="eastAsia" w:hAnsi="宋体" w:cs="宋体"/>
                <w:sz w:val="22"/>
                <w:szCs w:val="22"/>
              </w:rPr>
              <w:t>按综合得分由高到低的顺序推荐 1-3名中标候选人，综合评分得分相等时，评标委员会依次按照以下优先顺序推荐中标候选人：</w:t>
            </w:r>
          </w:p>
          <w:p>
            <w:pPr>
              <w:widowControl/>
              <w:spacing w:line="480" w:lineRule="exact"/>
              <w:jc w:val="left"/>
              <w:rPr>
                <w:rFonts w:hint="eastAsia" w:hAnsi="宋体" w:cs="宋体"/>
                <w:sz w:val="22"/>
                <w:szCs w:val="22"/>
              </w:rPr>
            </w:pPr>
            <w:r>
              <w:rPr>
                <w:rFonts w:hint="eastAsia" w:hAnsi="宋体" w:cs="宋体"/>
                <w:sz w:val="22"/>
                <w:szCs w:val="22"/>
              </w:rPr>
              <w:t>（1）综合评分相等时，以投标报价低的优先；</w:t>
            </w:r>
          </w:p>
          <w:p>
            <w:pPr>
              <w:widowControl/>
              <w:spacing w:line="480" w:lineRule="exact"/>
              <w:jc w:val="left"/>
              <w:rPr>
                <w:rFonts w:hint="eastAsia" w:hAnsi="宋体" w:cs="宋体"/>
                <w:sz w:val="22"/>
                <w:szCs w:val="22"/>
              </w:rPr>
            </w:pPr>
            <w:r>
              <w:rPr>
                <w:rFonts w:hint="eastAsia" w:hAnsi="宋体" w:cs="宋体"/>
                <w:sz w:val="22"/>
                <w:szCs w:val="22"/>
              </w:rPr>
              <w:t>（2）投标报价也相等的，以技术得分高的优先；</w:t>
            </w:r>
          </w:p>
          <w:p>
            <w:pPr>
              <w:widowControl/>
              <w:spacing w:line="480" w:lineRule="exact"/>
              <w:jc w:val="left"/>
              <w:rPr>
                <w:kern w:val="0"/>
                <w:sz w:val="22"/>
                <w:szCs w:val="22"/>
              </w:rPr>
            </w:pPr>
            <w:r>
              <w:rPr>
                <w:rFonts w:hint="eastAsia" w:hAnsi="宋体" w:cs="宋体"/>
                <w:sz w:val="22"/>
                <w:szCs w:val="22"/>
              </w:rPr>
              <w:t>（3）技术得分也相等的，在监督人员监督下，由评标委员会现场确定。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771" w:type="dxa"/>
            <w:vAlign w:val="center"/>
          </w:tcPr>
          <w:p>
            <w:pPr>
              <w:snapToGrid w:val="0"/>
              <w:spacing w:line="480" w:lineRule="exact"/>
              <w:jc w:val="center"/>
              <w:rPr>
                <w:rFonts w:hint="eastAsia"/>
                <w:bCs/>
                <w:kern w:val="0"/>
                <w:sz w:val="22"/>
                <w:szCs w:val="22"/>
              </w:rPr>
            </w:pPr>
            <w:r>
              <w:rPr>
                <w:rFonts w:hint="eastAsia" w:ascii="宋体" w:hAnsi="宋体"/>
                <w:bCs/>
                <w:sz w:val="22"/>
                <w:szCs w:val="22"/>
              </w:rPr>
              <w:t>2.2.1</w:t>
            </w:r>
          </w:p>
        </w:tc>
        <w:tc>
          <w:tcPr>
            <w:tcW w:w="967" w:type="dxa"/>
            <w:vAlign w:val="center"/>
          </w:tcPr>
          <w:p>
            <w:pPr>
              <w:snapToGrid w:val="0"/>
              <w:spacing w:line="480" w:lineRule="exact"/>
              <w:jc w:val="center"/>
              <w:rPr>
                <w:rFonts w:hint="eastAsia"/>
                <w:bCs/>
                <w:kern w:val="0"/>
                <w:sz w:val="22"/>
                <w:szCs w:val="22"/>
              </w:rPr>
            </w:pPr>
            <w:r>
              <w:rPr>
                <w:rFonts w:hint="eastAsia" w:ascii="宋体" w:hAnsi="宋体"/>
                <w:sz w:val="22"/>
                <w:szCs w:val="22"/>
              </w:rPr>
              <w:t>分值构成</w:t>
            </w:r>
          </w:p>
        </w:tc>
        <w:tc>
          <w:tcPr>
            <w:tcW w:w="1658" w:type="dxa"/>
            <w:tcMar>
              <w:left w:w="75" w:type="dxa"/>
            </w:tcMar>
            <w:vAlign w:val="center"/>
          </w:tcPr>
          <w:p>
            <w:pPr>
              <w:spacing w:line="480" w:lineRule="exact"/>
              <w:jc w:val="center"/>
              <w:rPr>
                <w:rFonts w:ascii="宋体" w:hAnsi="宋体"/>
                <w:sz w:val="22"/>
                <w:szCs w:val="22"/>
              </w:rPr>
            </w:pPr>
            <w:r>
              <w:rPr>
                <w:rFonts w:hint="eastAsia" w:ascii="宋体" w:hAnsi="宋体"/>
                <w:sz w:val="22"/>
                <w:szCs w:val="22"/>
              </w:rPr>
              <w:t>分值构成</w:t>
            </w:r>
          </w:p>
          <w:p>
            <w:pPr>
              <w:spacing w:line="480" w:lineRule="exact"/>
              <w:jc w:val="center"/>
              <w:rPr>
                <w:rFonts w:hint="eastAsia"/>
                <w:kern w:val="0"/>
                <w:sz w:val="22"/>
                <w:szCs w:val="22"/>
              </w:rPr>
            </w:pPr>
            <w:r>
              <w:rPr>
                <w:rFonts w:hint="eastAsia" w:ascii="宋体" w:hAnsi="宋体"/>
                <w:sz w:val="22"/>
                <w:szCs w:val="22"/>
              </w:rPr>
              <w:t>（总分</w:t>
            </w:r>
            <w:r>
              <w:rPr>
                <w:rFonts w:hint="eastAsia" w:ascii="宋体" w:hAnsi="宋体"/>
                <w:sz w:val="22"/>
                <w:szCs w:val="22"/>
                <w:u w:val="single"/>
              </w:rPr>
              <w:t>100</w:t>
            </w:r>
            <w:r>
              <w:rPr>
                <w:rFonts w:hint="eastAsia" w:ascii="宋体" w:hAnsi="宋体"/>
                <w:sz w:val="22"/>
                <w:szCs w:val="22"/>
              </w:rPr>
              <w:t>分）</w:t>
            </w:r>
          </w:p>
        </w:tc>
        <w:tc>
          <w:tcPr>
            <w:tcW w:w="6616" w:type="dxa"/>
            <w:tcMar>
              <w:left w:w="75" w:type="dxa"/>
            </w:tcMar>
            <w:vAlign w:val="center"/>
          </w:tcPr>
          <w:p>
            <w:pPr>
              <w:numPr>
                <w:ilvl w:val="0"/>
                <w:numId w:val="5"/>
              </w:numPr>
              <w:spacing w:line="480" w:lineRule="exact"/>
              <w:rPr>
                <w:rFonts w:hint="eastAsia" w:ascii="宋体" w:hAnsi="宋体"/>
                <w:sz w:val="22"/>
                <w:szCs w:val="22"/>
              </w:rPr>
            </w:pPr>
            <w:r>
              <w:rPr>
                <w:rFonts w:hint="eastAsia" w:ascii="宋体" w:hAnsi="宋体"/>
                <w:sz w:val="22"/>
                <w:szCs w:val="22"/>
              </w:rPr>
              <w:t>商务部分：17分</w:t>
            </w:r>
          </w:p>
          <w:p>
            <w:pPr>
              <w:numPr>
                <w:ilvl w:val="0"/>
                <w:numId w:val="5"/>
              </w:numPr>
              <w:spacing w:line="480" w:lineRule="exact"/>
              <w:rPr>
                <w:rFonts w:ascii="宋体" w:hAnsi="宋体"/>
                <w:sz w:val="22"/>
                <w:szCs w:val="22"/>
              </w:rPr>
            </w:pPr>
            <w:r>
              <w:rPr>
                <w:rFonts w:hint="eastAsia" w:ascii="宋体" w:hAnsi="宋体"/>
                <w:sz w:val="22"/>
                <w:szCs w:val="22"/>
              </w:rPr>
              <w:t>技术部分：33分</w:t>
            </w:r>
          </w:p>
          <w:p>
            <w:pPr>
              <w:spacing w:line="480" w:lineRule="exact"/>
              <w:rPr>
                <w:rFonts w:hint="eastAsia" w:hAnsi="宋体" w:cs="宋体"/>
                <w:sz w:val="22"/>
                <w:szCs w:val="22"/>
              </w:rPr>
            </w:pPr>
            <w:r>
              <w:rPr>
                <w:rFonts w:hint="eastAsia" w:ascii="宋体" w:hAnsi="宋体"/>
                <w:sz w:val="22"/>
                <w:szCs w:val="22"/>
              </w:rPr>
              <w:t>（3）投标报价：50分。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0" w:hRule="atLeast"/>
        </w:trPr>
        <w:tc>
          <w:tcPr>
            <w:tcW w:w="771" w:type="dxa"/>
            <w:vAlign w:val="center"/>
          </w:tcPr>
          <w:p>
            <w:pPr>
              <w:snapToGrid w:val="0"/>
              <w:spacing w:line="480" w:lineRule="exact"/>
              <w:jc w:val="center"/>
              <w:rPr>
                <w:sz w:val="22"/>
                <w:szCs w:val="22"/>
              </w:rPr>
            </w:pPr>
            <w:r>
              <w:rPr>
                <w:rFonts w:hint="eastAsia"/>
                <w:sz w:val="22"/>
                <w:szCs w:val="22"/>
              </w:rPr>
              <w:t>2.2.2</w:t>
            </w:r>
          </w:p>
        </w:tc>
        <w:tc>
          <w:tcPr>
            <w:tcW w:w="967" w:type="dxa"/>
            <w:vAlign w:val="center"/>
          </w:tcPr>
          <w:p>
            <w:pPr>
              <w:spacing w:line="480" w:lineRule="exact"/>
              <w:jc w:val="center"/>
              <w:rPr>
                <w:rFonts w:hint="eastAsia" w:ascii="宋体" w:hAnsi="宋体"/>
                <w:sz w:val="22"/>
                <w:szCs w:val="22"/>
              </w:rPr>
            </w:pPr>
            <w:r>
              <w:rPr>
                <w:rFonts w:hint="eastAsia" w:ascii="宋体" w:hAnsi="宋体"/>
                <w:sz w:val="22"/>
                <w:szCs w:val="22"/>
              </w:rPr>
              <w:t>评标基准价计算</w:t>
            </w:r>
          </w:p>
        </w:tc>
        <w:tc>
          <w:tcPr>
            <w:tcW w:w="1658" w:type="dxa"/>
            <w:tcMar>
              <w:left w:w="75" w:type="dxa"/>
            </w:tcMar>
            <w:vAlign w:val="center"/>
          </w:tcPr>
          <w:p>
            <w:pPr>
              <w:spacing w:line="480" w:lineRule="exact"/>
              <w:jc w:val="center"/>
              <w:rPr>
                <w:rFonts w:ascii="宋体" w:hAnsi="宋体"/>
                <w:sz w:val="22"/>
                <w:szCs w:val="22"/>
              </w:rPr>
            </w:pPr>
            <w:r>
              <w:rPr>
                <w:rFonts w:hint="eastAsia" w:ascii="宋体" w:hAnsi="宋体"/>
                <w:sz w:val="22"/>
                <w:szCs w:val="22"/>
              </w:rPr>
              <w:t>评标基准价</w:t>
            </w:r>
          </w:p>
          <w:p>
            <w:pPr>
              <w:spacing w:line="480" w:lineRule="exact"/>
              <w:jc w:val="center"/>
              <w:rPr>
                <w:rFonts w:ascii="宋体" w:hAnsi="宋体"/>
                <w:sz w:val="22"/>
                <w:szCs w:val="22"/>
              </w:rPr>
            </w:pPr>
          </w:p>
          <w:p>
            <w:pPr>
              <w:spacing w:line="480" w:lineRule="exact"/>
              <w:jc w:val="center"/>
              <w:rPr>
                <w:rFonts w:hint="eastAsia" w:ascii="宋体" w:hAnsi="宋体"/>
                <w:sz w:val="22"/>
                <w:szCs w:val="22"/>
              </w:rPr>
            </w:pPr>
            <w:r>
              <w:rPr>
                <w:rFonts w:hint="eastAsia" w:ascii="宋体" w:hAnsi="宋体"/>
                <w:sz w:val="22"/>
                <w:szCs w:val="22"/>
              </w:rPr>
              <w:t>计算方法</w:t>
            </w:r>
          </w:p>
        </w:tc>
        <w:tc>
          <w:tcPr>
            <w:tcW w:w="6616" w:type="dxa"/>
            <w:tcMar>
              <w:left w:w="75" w:type="dxa"/>
            </w:tcMar>
            <w:vAlign w:val="center"/>
          </w:tcPr>
          <w:p>
            <w:pPr>
              <w:spacing w:line="480" w:lineRule="exact"/>
              <w:rPr>
                <w:rFonts w:ascii="宋体" w:hAnsi="宋体"/>
                <w:sz w:val="22"/>
                <w:szCs w:val="22"/>
              </w:rPr>
            </w:pPr>
            <w:r>
              <w:rPr>
                <w:rFonts w:hint="eastAsia" w:ascii="宋体" w:hAnsi="宋体"/>
                <w:sz w:val="22"/>
                <w:szCs w:val="22"/>
              </w:rPr>
              <w:t>（1）确定评标价</w:t>
            </w:r>
          </w:p>
          <w:p>
            <w:pPr>
              <w:spacing w:line="480" w:lineRule="exact"/>
              <w:rPr>
                <w:rFonts w:ascii="宋体" w:hAnsi="宋体"/>
                <w:sz w:val="22"/>
                <w:szCs w:val="22"/>
              </w:rPr>
            </w:pPr>
            <w:r>
              <w:rPr>
                <w:rFonts w:hint="eastAsia" w:ascii="宋体" w:hAnsi="宋体"/>
                <w:sz w:val="22"/>
                <w:szCs w:val="22"/>
              </w:rPr>
              <w:t>评标价=投标函文字报价</w:t>
            </w:r>
          </w:p>
          <w:p>
            <w:pPr>
              <w:spacing w:line="480" w:lineRule="exact"/>
              <w:rPr>
                <w:rFonts w:ascii="宋体" w:hAnsi="宋体"/>
                <w:sz w:val="22"/>
                <w:szCs w:val="22"/>
              </w:rPr>
            </w:pPr>
            <w:r>
              <w:rPr>
                <w:rFonts w:hint="eastAsia" w:ascii="宋体" w:hAnsi="宋体"/>
                <w:sz w:val="22"/>
                <w:szCs w:val="22"/>
              </w:rPr>
              <w:t>（2）确定评标价平均值</w:t>
            </w:r>
          </w:p>
          <w:p>
            <w:pPr>
              <w:spacing w:line="480" w:lineRule="exact"/>
              <w:rPr>
                <w:rFonts w:ascii="宋体" w:hAnsi="宋体"/>
                <w:sz w:val="22"/>
                <w:szCs w:val="22"/>
              </w:rPr>
            </w:pPr>
            <w:r>
              <w:rPr>
                <w:rFonts w:hint="eastAsia" w:ascii="宋体" w:hAnsi="宋体"/>
                <w:sz w:val="22"/>
                <w:szCs w:val="22"/>
              </w:rPr>
              <w:t>对</w:t>
            </w:r>
            <w:r>
              <w:rPr>
                <w:rFonts w:hint="eastAsia" w:ascii="宋体" w:hAnsi="宋体"/>
                <w:color w:val="FF0000"/>
                <w:sz w:val="22"/>
                <w:szCs w:val="22"/>
              </w:rPr>
              <w:t>所有通过报价文件初步评审</w:t>
            </w:r>
            <w:r>
              <w:rPr>
                <w:rFonts w:hint="eastAsia" w:ascii="宋体" w:hAnsi="宋体"/>
                <w:sz w:val="22"/>
                <w:szCs w:val="22"/>
              </w:rPr>
              <w:t>的投标人投标函文字报价按照由低到高进行排序，</w:t>
            </w:r>
            <w:r>
              <w:rPr>
                <w:rFonts w:hint="eastAsia" w:ascii="宋体" w:hAnsi="宋体"/>
                <w:color w:val="FF0000"/>
                <w:sz w:val="22"/>
                <w:szCs w:val="22"/>
              </w:rPr>
              <w:t>去除n个较高投标函文字报价和n个较低投标函文字报价后，取其他投标函文字报价进行算术平均得出平均值。</w:t>
            </w:r>
            <w:r>
              <w:rPr>
                <w:rFonts w:hint="eastAsia" w:ascii="宋体" w:hAnsi="宋体"/>
                <w:sz w:val="22"/>
                <w:szCs w:val="22"/>
              </w:rPr>
              <w:t>设通过报价文件初步评审的投标人数量为X，n按照以下规定取值：</w:t>
            </w:r>
          </w:p>
          <w:p>
            <w:pPr>
              <w:spacing w:line="480" w:lineRule="exact"/>
              <w:rPr>
                <w:rFonts w:ascii="宋体" w:hAnsi="宋体"/>
                <w:sz w:val="22"/>
                <w:szCs w:val="22"/>
              </w:rPr>
            </w:pPr>
            <w:r>
              <w:rPr>
                <w:rFonts w:hint="eastAsia" w:ascii="宋体" w:hAnsi="宋体"/>
                <w:sz w:val="22"/>
                <w:szCs w:val="22"/>
              </w:rPr>
              <w:t>①当X≤5，n=0；</w:t>
            </w:r>
          </w:p>
          <w:p>
            <w:pPr>
              <w:spacing w:line="480" w:lineRule="exact"/>
              <w:rPr>
                <w:rFonts w:ascii="宋体" w:hAnsi="宋体"/>
                <w:sz w:val="22"/>
                <w:szCs w:val="22"/>
              </w:rPr>
            </w:pPr>
            <w:r>
              <w:rPr>
                <w:rFonts w:hint="eastAsia" w:ascii="宋体" w:hAnsi="宋体"/>
                <w:sz w:val="22"/>
                <w:szCs w:val="22"/>
              </w:rPr>
              <w:t>②当5＜X≤10，n=1；</w:t>
            </w:r>
          </w:p>
          <w:p>
            <w:pPr>
              <w:spacing w:line="480" w:lineRule="exact"/>
              <w:rPr>
                <w:rFonts w:ascii="宋体" w:hAnsi="宋体"/>
                <w:sz w:val="22"/>
                <w:szCs w:val="22"/>
              </w:rPr>
            </w:pPr>
            <w:r>
              <w:rPr>
                <w:rFonts w:hint="eastAsia" w:ascii="宋体" w:hAnsi="宋体"/>
                <w:sz w:val="22"/>
                <w:szCs w:val="22"/>
              </w:rPr>
              <w:t>③当10＜X≤20，n=2；</w:t>
            </w:r>
          </w:p>
          <w:p>
            <w:pPr>
              <w:spacing w:line="480" w:lineRule="exact"/>
              <w:rPr>
                <w:rFonts w:ascii="宋体" w:hAnsi="宋体"/>
                <w:sz w:val="22"/>
                <w:szCs w:val="22"/>
              </w:rPr>
            </w:pPr>
            <w:r>
              <w:rPr>
                <w:rFonts w:hint="eastAsia" w:ascii="宋体" w:hAnsi="宋体"/>
                <w:sz w:val="22"/>
                <w:szCs w:val="22"/>
              </w:rPr>
              <w:t>④当20＜X≤30，n=3；以此类推。</w:t>
            </w:r>
          </w:p>
          <w:p>
            <w:pPr>
              <w:spacing w:line="480" w:lineRule="exact"/>
              <w:rPr>
                <w:rFonts w:hint="eastAsia" w:ascii="宋体" w:hAnsi="宋体"/>
                <w:sz w:val="22"/>
                <w:szCs w:val="22"/>
              </w:rPr>
            </w:pPr>
            <w:r>
              <w:rPr>
                <w:rFonts w:hint="eastAsia" w:ascii="宋体" w:hAnsi="宋体"/>
                <w:sz w:val="22"/>
                <w:szCs w:val="22"/>
              </w:rPr>
              <w:t>（3）确定评标基准价</w:t>
            </w:r>
          </w:p>
          <w:p>
            <w:pPr>
              <w:spacing w:line="480" w:lineRule="exact"/>
              <w:rPr>
                <w:rFonts w:hint="eastAsia" w:ascii="宋体" w:hAnsi="宋体"/>
                <w:color w:val="FF0000"/>
                <w:sz w:val="22"/>
                <w:szCs w:val="22"/>
              </w:rPr>
            </w:pPr>
            <w:r>
              <w:rPr>
                <w:rFonts w:hint="eastAsia" w:ascii="宋体" w:hAnsi="宋体"/>
                <w:color w:val="FF0000"/>
                <w:sz w:val="22"/>
                <w:szCs w:val="22"/>
              </w:rPr>
              <w:t>评标基准价=评标价平均值*C值</w:t>
            </w:r>
          </w:p>
          <w:p>
            <w:pPr>
              <w:spacing w:line="480" w:lineRule="exact"/>
              <w:rPr>
                <w:rFonts w:hint="eastAsia" w:ascii="宋体" w:hAnsi="宋体"/>
                <w:sz w:val="22"/>
                <w:szCs w:val="22"/>
              </w:rPr>
            </w:pPr>
            <w:r>
              <w:rPr>
                <w:rFonts w:hint="eastAsia" w:ascii="宋体" w:hAnsi="宋体"/>
                <w:sz w:val="22"/>
                <w:szCs w:val="22"/>
              </w:rPr>
              <w:t>C值确定如下：</w:t>
            </w:r>
          </w:p>
          <w:p>
            <w:pPr>
              <w:spacing w:line="480" w:lineRule="exact"/>
              <w:rPr>
                <w:rFonts w:hint="eastAsia" w:ascii="宋体" w:hAnsi="宋体"/>
                <w:sz w:val="22"/>
                <w:szCs w:val="22"/>
              </w:rPr>
            </w:pPr>
            <w:r>
              <w:rPr>
                <w:rFonts w:hint="eastAsia" w:ascii="宋体" w:hAnsi="宋体"/>
                <w:sz w:val="22"/>
                <w:szCs w:val="22"/>
              </w:rPr>
              <w:t>将在</w:t>
            </w:r>
            <w:r>
              <w:rPr>
                <w:rFonts w:hint="eastAsia" w:ascii="宋体" w:hAnsi="宋体"/>
                <w:color w:val="FF0000"/>
                <w:sz w:val="22"/>
                <w:szCs w:val="22"/>
              </w:rPr>
              <w:t>投标截止时间后系统成功接收投标文件的投标人总数（无论是否成功解密）除以5，</w:t>
            </w:r>
            <w:r>
              <w:rPr>
                <w:rFonts w:hint="eastAsia" w:ascii="宋体" w:hAnsi="宋体"/>
                <w:sz w:val="22"/>
                <w:szCs w:val="22"/>
              </w:rPr>
              <w:t>根据余数对应取C值，见下表（多标段按各自标段在投标截止时间后系统成功接收投标文件的投标人总数（无论是否成功解密）计算选取）</w:t>
            </w:r>
          </w:p>
          <w:p>
            <w:pPr>
              <w:spacing w:line="480" w:lineRule="exact"/>
              <w:rPr>
                <w:rFonts w:hint="eastAsia" w:ascii="宋体" w:hAnsi="宋体"/>
                <w:sz w:val="22"/>
                <w:szCs w:val="22"/>
              </w:rPr>
            </w:pPr>
          </w:p>
          <w:tbl>
            <w:tblPr>
              <w:tblStyle w:val="55"/>
              <w:tblW w:w="437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94"/>
              <w:gridCol w:w="3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jc w:val="center"/>
              </w:trPr>
              <w:tc>
                <w:tcPr>
                  <w:tcW w:w="2093" w:type="pct"/>
                  <w:tcBorders>
                    <w:top w:val="single" w:color="000000" w:sz="4" w:space="0"/>
                    <w:left w:val="single" w:color="000000" w:sz="4" w:space="0"/>
                    <w:bottom w:val="single" w:color="000000" w:sz="4" w:space="0"/>
                    <w:right w:val="single" w:color="000000" w:sz="4" w:space="0"/>
                    <w:tl2br w:val="single" w:color="auto" w:sz="4" w:space="0"/>
                  </w:tcBorders>
                  <w:vAlign w:val="center"/>
                </w:tcPr>
                <w:p>
                  <w:pPr>
                    <w:spacing w:line="480" w:lineRule="exact"/>
                    <w:ind w:firstLine="1100" w:firstLineChars="500"/>
                    <w:rPr>
                      <w:rFonts w:hint="eastAsia" w:ascii="宋体" w:hAnsi="宋体"/>
                      <w:sz w:val="22"/>
                      <w:szCs w:val="22"/>
                    </w:rPr>
                  </w:pPr>
                  <w:r>
                    <w:rPr>
                      <w:rFonts w:hint="eastAsia" w:ascii="宋体" w:hAnsi="宋体"/>
                      <w:sz w:val="22"/>
                      <w:szCs w:val="22"/>
                    </w:rPr>
                    <w:t>对应的C值</w:t>
                  </w:r>
                </w:p>
                <w:p>
                  <w:pPr>
                    <w:spacing w:line="480" w:lineRule="exact"/>
                    <w:rPr>
                      <w:rFonts w:hint="eastAsia" w:ascii="宋体" w:hAnsi="宋体"/>
                      <w:sz w:val="22"/>
                      <w:szCs w:val="22"/>
                    </w:rPr>
                  </w:pPr>
                  <w:r>
                    <w:rPr>
                      <w:rFonts w:hint="eastAsia" w:ascii="宋体" w:hAnsi="宋体"/>
                      <w:sz w:val="22"/>
                      <w:szCs w:val="22"/>
                    </w:rPr>
                    <w:t>余数</w:t>
                  </w:r>
                </w:p>
              </w:tc>
              <w:tc>
                <w:tcPr>
                  <w:tcW w:w="2907" w:type="pct"/>
                  <w:tcBorders>
                    <w:top w:val="single" w:color="000000" w:sz="4" w:space="0"/>
                    <w:left w:val="single" w:color="auto" w:sz="4" w:space="0"/>
                    <w:bottom w:val="single" w:color="000000" w:sz="4" w:space="0"/>
                    <w:right w:val="single" w:color="000000" w:sz="4" w:space="0"/>
                  </w:tcBorders>
                  <w:vAlign w:val="center"/>
                </w:tcPr>
                <w:p>
                  <w:pPr>
                    <w:spacing w:line="480" w:lineRule="exact"/>
                    <w:rPr>
                      <w:rFonts w:hint="eastAsia" w:ascii="宋体" w:hAnsi="宋体"/>
                      <w:sz w:val="22"/>
                      <w:szCs w:val="22"/>
                    </w:rPr>
                  </w:pPr>
                  <w:r>
                    <w:rPr>
                      <w:rFonts w:hint="eastAsia" w:ascii="宋体" w:hAnsi="宋体"/>
                      <w:sz w:val="22"/>
                      <w:szCs w:val="22"/>
                    </w:rPr>
                    <w:t>C值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2093" w:type="pct"/>
                  <w:tcBorders>
                    <w:top w:val="single" w:color="000000" w:sz="4" w:space="0"/>
                    <w:left w:val="single" w:color="000000" w:sz="4" w:space="0"/>
                    <w:bottom w:val="single" w:color="000000" w:sz="4" w:space="0"/>
                    <w:right w:val="single" w:color="000000" w:sz="4" w:space="0"/>
                  </w:tcBorders>
                  <w:vAlign w:val="center"/>
                </w:tcPr>
                <w:p>
                  <w:pPr>
                    <w:spacing w:line="480" w:lineRule="exact"/>
                    <w:rPr>
                      <w:rFonts w:hint="eastAsia" w:ascii="宋体" w:hAnsi="宋体"/>
                      <w:sz w:val="22"/>
                      <w:szCs w:val="22"/>
                    </w:rPr>
                  </w:pPr>
                  <w:r>
                    <w:rPr>
                      <w:rFonts w:hint="eastAsia" w:ascii="宋体" w:hAnsi="宋体"/>
                      <w:sz w:val="22"/>
                      <w:szCs w:val="22"/>
                    </w:rPr>
                    <w:t>0</w:t>
                  </w:r>
                </w:p>
              </w:tc>
              <w:tc>
                <w:tcPr>
                  <w:tcW w:w="2907" w:type="pct"/>
                  <w:tcBorders>
                    <w:top w:val="single" w:color="000000" w:sz="4" w:space="0"/>
                    <w:left w:val="single" w:color="auto" w:sz="4" w:space="0"/>
                    <w:bottom w:val="single" w:color="000000" w:sz="4" w:space="0"/>
                    <w:right w:val="single" w:color="000000" w:sz="4" w:space="0"/>
                  </w:tcBorders>
                  <w:vAlign w:val="center"/>
                </w:tcPr>
                <w:p>
                  <w:pPr>
                    <w:spacing w:line="480" w:lineRule="exact"/>
                    <w:rPr>
                      <w:rFonts w:hint="eastAsia" w:ascii="宋体" w:hAnsi="宋体"/>
                      <w:sz w:val="22"/>
                      <w:szCs w:val="22"/>
                    </w:rPr>
                  </w:pPr>
                  <w:r>
                    <w:rPr>
                      <w:rFonts w:hint="eastAsia" w:ascii="宋体" w:hAnsi="宋体"/>
                      <w:sz w:val="22"/>
                      <w:szCs w:val="22"/>
                    </w:rPr>
                    <w:t>0.95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93" w:type="pct"/>
                  <w:tcBorders>
                    <w:top w:val="single" w:color="000000" w:sz="4" w:space="0"/>
                    <w:left w:val="single" w:color="000000" w:sz="4" w:space="0"/>
                    <w:bottom w:val="single" w:color="000000" w:sz="4" w:space="0"/>
                    <w:right w:val="single" w:color="000000" w:sz="4" w:space="0"/>
                  </w:tcBorders>
                  <w:vAlign w:val="center"/>
                </w:tcPr>
                <w:p>
                  <w:pPr>
                    <w:spacing w:line="480" w:lineRule="exact"/>
                    <w:rPr>
                      <w:rFonts w:hint="eastAsia" w:ascii="宋体" w:hAnsi="宋体"/>
                      <w:sz w:val="22"/>
                      <w:szCs w:val="22"/>
                    </w:rPr>
                  </w:pPr>
                  <w:r>
                    <w:rPr>
                      <w:rFonts w:hint="eastAsia" w:ascii="宋体" w:hAnsi="宋体"/>
                      <w:sz w:val="22"/>
                      <w:szCs w:val="22"/>
                    </w:rPr>
                    <w:t>1</w:t>
                  </w:r>
                </w:p>
              </w:tc>
              <w:tc>
                <w:tcPr>
                  <w:tcW w:w="2907" w:type="pct"/>
                  <w:tcBorders>
                    <w:top w:val="single" w:color="000000" w:sz="4" w:space="0"/>
                    <w:left w:val="single" w:color="auto" w:sz="4" w:space="0"/>
                    <w:bottom w:val="single" w:color="000000" w:sz="4" w:space="0"/>
                    <w:right w:val="single" w:color="000000" w:sz="4" w:space="0"/>
                  </w:tcBorders>
                  <w:vAlign w:val="center"/>
                </w:tcPr>
                <w:p>
                  <w:pPr>
                    <w:spacing w:line="480" w:lineRule="exact"/>
                    <w:rPr>
                      <w:rFonts w:hint="eastAsia" w:ascii="宋体" w:hAnsi="宋体"/>
                      <w:sz w:val="22"/>
                      <w:szCs w:val="22"/>
                    </w:rPr>
                  </w:pPr>
                  <w:r>
                    <w:rPr>
                      <w:rFonts w:hint="eastAsia" w:ascii="宋体" w:hAnsi="宋体"/>
                      <w:sz w:val="22"/>
                      <w:szCs w:val="22"/>
                    </w:rPr>
                    <w:t>0.96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93" w:type="pct"/>
                  <w:tcBorders>
                    <w:top w:val="single" w:color="000000" w:sz="4" w:space="0"/>
                    <w:left w:val="single" w:color="000000" w:sz="4" w:space="0"/>
                    <w:bottom w:val="single" w:color="000000" w:sz="4" w:space="0"/>
                    <w:right w:val="single" w:color="000000" w:sz="4" w:space="0"/>
                  </w:tcBorders>
                  <w:vAlign w:val="center"/>
                </w:tcPr>
                <w:p>
                  <w:pPr>
                    <w:spacing w:line="480" w:lineRule="exact"/>
                    <w:rPr>
                      <w:rFonts w:hint="eastAsia" w:ascii="宋体" w:hAnsi="宋体"/>
                      <w:sz w:val="22"/>
                      <w:szCs w:val="22"/>
                    </w:rPr>
                  </w:pPr>
                  <w:r>
                    <w:rPr>
                      <w:rFonts w:hint="eastAsia" w:ascii="宋体" w:hAnsi="宋体"/>
                      <w:sz w:val="22"/>
                      <w:szCs w:val="22"/>
                    </w:rPr>
                    <w:t>2</w:t>
                  </w:r>
                </w:p>
              </w:tc>
              <w:tc>
                <w:tcPr>
                  <w:tcW w:w="2907" w:type="pct"/>
                  <w:tcBorders>
                    <w:top w:val="single" w:color="000000" w:sz="4" w:space="0"/>
                    <w:left w:val="single" w:color="auto" w:sz="4" w:space="0"/>
                    <w:bottom w:val="single" w:color="000000" w:sz="4" w:space="0"/>
                    <w:right w:val="single" w:color="000000" w:sz="4" w:space="0"/>
                  </w:tcBorders>
                  <w:vAlign w:val="center"/>
                </w:tcPr>
                <w:p>
                  <w:pPr>
                    <w:spacing w:line="480" w:lineRule="exact"/>
                    <w:rPr>
                      <w:rFonts w:hint="eastAsia" w:ascii="宋体" w:hAnsi="宋体"/>
                      <w:sz w:val="22"/>
                      <w:szCs w:val="22"/>
                    </w:rPr>
                  </w:pPr>
                  <w:r>
                    <w:rPr>
                      <w:rFonts w:hint="eastAsia" w:ascii="宋体" w:hAnsi="宋体"/>
                      <w:sz w:val="22"/>
                      <w:szCs w:val="22"/>
                    </w:rPr>
                    <w:t>0.97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93" w:type="pct"/>
                  <w:tcBorders>
                    <w:top w:val="single" w:color="000000" w:sz="4" w:space="0"/>
                    <w:left w:val="single" w:color="000000" w:sz="4" w:space="0"/>
                    <w:bottom w:val="single" w:color="000000" w:sz="4" w:space="0"/>
                    <w:right w:val="single" w:color="000000" w:sz="4" w:space="0"/>
                  </w:tcBorders>
                  <w:vAlign w:val="center"/>
                </w:tcPr>
                <w:p>
                  <w:pPr>
                    <w:spacing w:line="480" w:lineRule="exact"/>
                    <w:rPr>
                      <w:rFonts w:hint="eastAsia" w:ascii="宋体" w:hAnsi="宋体"/>
                      <w:sz w:val="22"/>
                      <w:szCs w:val="22"/>
                    </w:rPr>
                  </w:pPr>
                  <w:r>
                    <w:rPr>
                      <w:rFonts w:hint="eastAsia" w:ascii="宋体" w:hAnsi="宋体"/>
                      <w:sz w:val="22"/>
                      <w:szCs w:val="22"/>
                    </w:rPr>
                    <w:t>3</w:t>
                  </w:r>
                </w:p>
              </w:tc>
              <w:tc>
                <w:tcPr>
                  <w:tcW w:w="2907" w:type="pct"/>
                  <w:tcBorders>
                    <w:top w:val="single" w:color="000000" w:sz="4" w:space="0"/>
                    <w:left w:val="single" w:color="auto" w:sz="4" w:space="0"/>
                    <w:bottom w:val="single" w:color="000000" w:sz="4" w:space="0"/>
                    <w:right w:val="single" w:color="000000" w:sz="4" w:space="0"/>
                  </w:tcBorders>
                  <w:vAlign w:val="center"/>
                </w:tcPr>
                <w:p>
                  <w:pPr>
                    <w:spacing w:line="480" w:lineRule="exact"/>
                    <w:rPr>
                      <w:rFonts w:hint="eastAsia" w:ascii="宋体" w:hAnsi="宋体"/>
                      <w:sz w:val="22"/>
                      <w:szCs w:val="22"/>
                    </w:rPr>
                  </w:pPr>
                  <w:r>
                    <w:rPr>
                      <w:rFonts w:hint="eastAsia" w:ascii="宋体" w:hAnsi="宋体"/>
                      <w:sz w:val="22"/>
                      <w:szCs w:val="22"/>
                    </w:rPr>
                    <w:t>0.98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93" w:type="pct"/>
                  <w:tcBorders>
                    <w:top w:val="single" w:color="000000" w:sz="4" w:space="0"/>
                    <w:left w:val="single" w:color="000000" w:sz="4" w:space="0"/>
                    <w:bottom w:val="single" w:color="000000" w:sz="4" w:space="0"/>
                    <w:right w:val="single" w:color="000000" w:sz="4" w:space="0"/>
                  </w:tcBorders>
                  <w:vAlign w:val="center"/>
                </w:tcPr>
                <w:p>
                  <w:pPr>
                    <w:spacing w:line="480" w:lineRule="exact"/>
                    <w:rPr>
                      <w:rFonts w:hint="eastAsia" w:ascii="宋体" w:hAnsi="宋体"/>
                      <w:sz w:val="22"/>
                      <w:szCs w:val="22"/>
                    </w:rPr>
                  </w:pPr>
                  <w:r>
                    <w:rPr>
                      <w:rFonts w:hint="eastAsia" w:ascii="宋体" w:hAnsi="宋体"/>
                      <w:sz w:val="22"/>
                      <w:szCs w:val="22"/>
                    </w:rPr>
                    <w:t>4</w:t>
                  </w:r>
                </w:p>
              </w:tc>
              <w:tc>
                <w:tcPr>
                  <w:tcW w:w="2907" w:type="pct"/>
                  <w:tcBorders>
                    <w:top w:val="single" w:color="000000" w:sz="4" w:space="0"/>
                    <w:left w:val="single" w:color="auto" w:sz="4" w:space="0"/>
                    <w:bottom w:val="single" w:color="000000" w:sz="4" w:space="0"/>
                    <w:right w:val="single" w:color="000000" w:sz="4" w:space="0"/>
                  </w:tcBorders>
                  <w:vAlign w:val="center"/>
                </w:tcPr>
                <w:p>
                  <w:pPr>
                    <w:spacing w:line="480" w:lineRule="exact"/>
                    <w:rPr>
                      <w:rFonts w:hint="eastAsia" w:ascii="宋体" w:hAnsi="宋体"/>
                      <w:sz w:val="22"/>
                      <w:szCs w:val="22"/>
                    </w:rPr>
                  </w:pPr>
                  <w:r>
                    <w:rPr>
                      <w:rFonts w:hint="eastAsia" w:ascii="宋体" w:hAnsi="宋体"/>
                      <w:sz w:val="22"/>
                      <w:szCs w:val="22"/>
                    </w:rPr>
                    <w:t>0.99</w:t>
                  </w:r>
                </w:p>
              </w:tc>
            </w:tr>
          </w:tbl>
          <w:p>
            <w:pPr>
              <w:spacing w:line="480" w:lineRule="exact"/>
              <w:rPr>
                <w:rFonts w:hint="eastAsia" w:ascii="宋体" w:hAnsi="宋体"/>
                <w:sz w:val="22"/>
                <w:szCs w:val="22"/>
              </w:rPr>
            </w:pPr>
            <w:r>
              <w:rPr>
                <w:rFonts w:hint="eastAsia" w:ascii="宋体" w:hAnsi="宋体"/>
                <w:sz w:val="22"/>
                <w:szCs w:val="22"/>
              </w:rPr>
              <w:t>在评标过程中，评标委员会应对评标基准价进行复核，存在计算错误的应予以修正并在评标报告中作出说明。除此之外，评标基准价在整个评标期间保持不变，不随任何因素发生变化。</w:t>
            </w:r>
          </w:p>
        </w:tc>
      </w:tr>
    </w:tbl>
    <w:p>
      <w:pPr>
        <w:keepNext/>
        <w:keepLines/>
        <w:spacing w:before="120" w:after="120" w:line="360" w:lineRule="auto"/>
        <w:jc w:val="center"/>
        <w:outlineLvl w:val="2"/>
        <w:rPr>
          <w:rFonts w:hint="eastAsia" w:eastAsia="黑体"/>
          <w:bCs/>
          <w:sz w:val="24"/>
        </w:rPr>
        <w:sectPr>
          <w:footnotePr>
            <w:numFmt w:val="decimalEnclosedCircleChinese"/>
            <w:numRestart w:val="eachPage"/>
          </w:footnotePr>
          <w:pgSz w:w="11907" w:h="16840"/>
          <w:pgMar w:top="1440" w:right="1080" w:bottom="1440" w:left="1080" w:header="799" w:footer="907" w:gutter="0"/>
          <w:cols w:space="720" w:num="1"/>
          <w:titlePg/>
          <w:docGrid w:linePitch="286" w:charSpace="0"/>
        </w:sectPr>
      </w:pPr>
    </w:p>
    <w:p>
      <w:pPr>
        <w:keepNext/>
        <w:keepLines/>
        <w:spacing w:before="120" w:after="120" w:line="360" w:lineRule="auto"/>
        <w:jc w:val="center"/>
        <w:outlineLvl w:val="2"/>
        <w:rPr>
          <w:rFonts w:hint="eastAsia" w:eastAsia="黑体"/>
          <w:bCs/>
          <w:sz w:val="24"/>
        </w:rPr>
      </w:pPr>
      <w:r>
        <w:rPr>
          <w:rFonts w:hint="eastAsia" w:eastAsia="黑体"/>
          <w:bCs/>
          <w:sz w:val="24"/>
        </w:rPr>
        <w:t>商务及技术文件评审标准</w:t>
      </w:r>
    </w:p>
    <w:tbl>
      <w:tblPr>
        <w:tblStyle w:val="55"/>
        <w:tblW w:w="51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69"/>
        <w:gridCol w:w="769"/>
        <w:gridCol w:w="1864"/>
        <w:gridCol w:w="6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66" w:type="pct"/>
            <w:gridSpan w:val="2"/>
            <w:vAlign w:val="center"/>
          </w:tcPr>
          <w:p>
            <w:pPr>
              <w:widowControl/>
              <w:spacing w:line="480" w:lineRule="exact"/>
              <w:jc w:val="center"/>
              <w:rPr>
                <w:kern w:val="0"/>
                <w:szCs w:val="21"/>
                <w:lang w:val="en-US" w:eastAsia="zh-CN" w:bidi="ar-SA"/>
              </w:rPr>
            </w:pPr>
            <w:r>
              <w:rPr>
                <w:b/>
                <w:bCs/>
                <w:kern w:val="0"/>
                <w:szCs w:val="21"/>
                <w:lang w:val="en-US" w:eastAsia="zh-CN" w:bidi="ar-SA"/>
              </w:rPr>
              <w:t>条款号</w:t>
            </w:r>
          </w:p>
        </w:tc>
        <w:tc>
          <w:tcPr>
            <w:tcW w:w="928" w:type="pct"/>
            <w:vAlign w:val="center"/>
          </w:tcPr>
          <w:p>
            <w:pPr>
              <w:widowControl/>
              <w:spacing w:line="480" w:lineRule="exact"/>
              <w:ind w:firstLine="105" w:firstLineChars="50"/>
              <w:jc w:val="center"/>
              <w:rPr>
                <w:kern w:val="0"/>
                <w:szCs w:val="21"/>
                <w:lang w:val="en-US" w:eastAsia="zh-CN" w:bidi="ar-SA"/>
              </w:rPr>
            </w:pPr>
            <w:r>
              <w:rPr>
                <w:b/>
                <w:bCs/>
                <w:kern w:val="0"/>
                <w:szCs w:val="21"/>
                <w:lang w:val="en-US" w:eastAsia="zh-CN" w:bidi="ar-SA"/>
              </w:rPr>
              <w:t>评审因素</w:t>
            </w:r>
          </w:p>
        </w:tc>
        <w:tc>
          <w:tcPr>
            <w:tcW w:w="3304" w:type="pct"/>
            <w:vAlign w:val="center"/>
          </w:tcPr>
          <w:p>
            <w:pPr>
              <w:widowControl/>
              <w:spacing w:line="480" w:lineRule="exact"/>
              <w:ind w:firstLine="105" w:firstLineChars="50"/>
              <w:jc w:val="center"/>
              <w:rPr>
                <w:kern w:val="0"/>
                <w:szCs w:val="21"/>
                <w:lang w:val="en-US" w:eastAsia="zh-CN" w:bidi="ar-SA"/>
              </w:rPr>
            </w:pPr>
            <w:r>
              <w:rPr>
                <w:b/>
                <w:bCs/>
                <w:kern w:val="0"/>
                <w:szCs w:val="21"/>
                <w:lang w:val="en-US" w:eastAsia="zh-CN" w:bidi="ar-S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restart"/>
            <w:vAlign w:val="center"/>
          </w:tcPr>
          <w:p>
            <w:pPr>
              <w:widowControl/>
              <w:spacing w:line="480" w:lineRule="exact"/>
              <w:jc w:val="center"/>
              <w:rPr>
                <w:rFonts w:hint="eastAsia"/>
                <w:bCs/>
                <w:kern w:val="0"/>
                <w:szCs w:val="21"/>
                <w:lang w:val="en-US" w:eastAsia="zh-CN" w:bidi="ar-SA"/>
              </w:rPr>
            </w:pPr>
            <w:r>
              <w:rPr>
                <w:bCs/>
                <w:kern w:val="0"/>
                <w:szCs w:val="21"/>
                <w:lang w:val="en-US" w:eastAsia="zh-CN" w:bidi="ar-SA"/>
              </w:rPr>
              <w:t>2.1</w:t>
            </w:r>
            <w:r>
              <w:rPr>
                <w:rFonts w:hint="eastAsia"/>
                <w:bCs/>
                <w:kern w:val="0"/>
                <w:szCs w:val="21"/>
                <w:lang w:val="en-US" w:eastAsia="zh-CN" w:bidi="ar-SA"/>
              </w:rPr>
              <w:t>.1</w:t>
            </w:r>
          </w:p>
        </w:tc>
        <w:tc>
          <w:tcPr>
            <w:tcW w:w="382" w:type="pct"/>
            <w:vMerge w:val="restart"/>
            <w:vAlign w:val="center"/>
          </w:tcPr>
          <w:p>
            <w:pPr>
              <w:widowControl/>
              <w:spacing w:line="480" w:lineRule="exact"/>
              <w:jc w:val="center"/>
              <w:rPr>
                <w:rFonts w:hint="eastAsia"/>
                <w:bCs/>
                <w:kern w:val="0"/>
                <w:szCs w:val="21"/>
                <w:lang w:val="en-US" w:eastAsia="zh-CN" w:bidi="ar-SA"/>
              </w:rPr>
            </w:pPr>
            <w:r>
              <w:rPr>
                <w:bCs/>
                <w:kern w:val="0"/>
                <w:szCs w:val="21"/>
                <w:lang w:val="en-US" w:eastAsia="zh-CN" w:bidi="ar-SA"/>
              </w:rPr>
              <w:t>形式评审标准</w:t>
            </w:r>
          </w:p>
        </w:tc>
        <w:tc>
          <w:tcPr>
            <w:tcW w:w="928" w:type="pct"/>
            <w:tcMar>
              <w:left w:w="75" w:type="dxa"/>
            </w:tcMar>
            <w:vAlign w:val="center"/>
          </w:tcPr>
          <w:p>
            <w:pPr>
              <w:spacing w:line="480" w:lineRule="exact"/>
              <w:jc w:val="center"/>
              <w:rPr>
                <w:color w:val="000000"/>
              </w:rPr>
            </w:pPr>
            <w:r>
              <w:rPr>
                <w:color w:val="000000"/>
              </w:rPr>
              <w:t>投标人名称</w:t>
            </w:r>
          </w:p>
        </w:tc>
        <w:tc>
          <w:tcPr>
            <w:tcW w:w="3304" w:type="pct"/>
            <w:tcMar>
              <w:left w:w="75" w:type="dxa"/>
            </w:tcMar>
            <w:vAlign w:val="center"/>
          </w:tcPr>
          <w:p>
            <w:pPr>
              <w:spacing w:line="480" w:lineRule="exact"/>
              <w:rPr>
                <w:rFonts w:hint="eastAsia"/>
                <w:color w:val="000000"/>
              </w:rPr>
            </w:pPr>
            <w:r>
              <w:rPr>
                <w:color w:val="000000"/>
              </w:rPr>
              <w:t>与营业执照</w:t>
            </w:r>
            <w:r>
              <w:rPr>
                <w:rFonts w:hint="eastAsia"/>
                <w:color w:val="000000"/>
              </w:rPr>
              <w:t>（</w:t>
            </w:r>
            <w:r>
              <w:rPr>
                <w:color w:val="000000"/>
              </w:rPr>
              <w:t>事业单位法人证书</w:t>
            </w:r>
            <w:r>
              <w:rPr>
                <w:rFonts w:hint="eastAsia"/>
                <w:color w:val="000000"/>
              </w:rPr>
              <w:t>）</w:t>
            </w:r>
            <w:r>
              <w:rPr>
                <w:color w:val="000000"/>
              </w:rPr>
              <w:t>、资质证书一致</w:t>
            </w:r>
            <w:r>
              <w:rPr>
                <w:rFonts w:hint="eastAsia"/>
                <w:color w:val="000000"/>
              </w:rPr>
              <w:t>。名称变更的，应当提供证书颁发等单位提供的变更说明。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vAlign w:val="center"/>
          </w:tcPr>
          <w:p>
            <w:pPr>
              <w:widowControl/>
              <w:spacing w:line="480" w:lineRule="exact"/>
              <w:jc w:val="center"/>
              <w:rPr>
                <w:rFonts w:hint="eastAsia"/>
                <w:bCs/>
                <w:kern w:val="0"/>
                <w:szCs w:val="21"/>
                <w:lang w:val="en-US" w:eastAsia="zh-CN" w:bidi="ar-SA"/>
              </w:rPr>
            </w:pPr>
          </w:p>
        </w:tc>
        <w:tc>
          <w:tcPr>
            <w:tcW w:w="382" w:type="pct"/>
            <w:vMerge w:val="continue"/>
            <w:vAlign w:val="center"/>
          </w:tcPr>
          <w:p>
            <w:pPr>
              <w:widowControl/>
              <w:spacing w:line="480" w:lineRule="exact"/>
              <w:jc w:val="center"/>
              <w:rPr>
                <w:rFonts w:hint="eastAsia"/>
                <w:bCs/>
                <w:kern w:val="0"/>
                <w:szCs w:val="21"/>
                <w:lang w:val="en-US" w:eastAsia="zh-CN" w:bidi="ar-SA"/>
              </w:rPr>
            </w:pPr>
          </w:p>
        </w:tc>
        <w:tc>
          <w:tcPr>
            <w:tcW w:w="928" w:type="pct"/>
            <w:tcMar>
              <w:left w:w="75" w:type="dxa"/>
            </w:tcMar>
            <w:vAlign w:val="center"/>
          </w:tcPr>
          <w:p>
            <w:pPr>
              <w:spacing w:line="480" w:lineRule="exact"/>
              <w:jc w:val="center"/>
              <w:rPr>
                <w:color w:val="000000"/>
              </w:rPr>
            </w:pPr>
            <w:r>
              <w:rPr>
                <w:rFonts w:hint="eastAsia"/>
                <w:kern w:val="0"/>
                <w:szCs w:val="21"/>
                <w:lang w:val="en-US" w:eastAsia="zh-CN" w:bidi="ar-SA"/>
              </w:rPr>
              <w:t>签字盖章</w:t>
            </w:r>
          </w:p>
        </w:tc>
        <w:tc>
          <w:tcPr>
            <w:tcW w:w="3304" w:type="pct"/>
            <w:tcMar>
              <w:left w:w="75" w:type="dxa"/>
            </w:tcMar>
            <w:vAlign w:val="center"/>
          </w:tcPr>
          <w:p>
            <w:pPr>
              <w:spacing w:line="480" w:lineRule="exact"/>
              <w:rPr>
                <w:rFonts w:hint="eastAsia"/>
                <w:color w:val="000000"/>
              </w:rPr>
            </w:pPr>
            <w:r>
              <w:rPr>
                <w:rFonts w:hint="eastAsia"/>
                <w:kern w:val="0"/>
                <w:szCs w:val="21"/>
                <w:lang w:val="en-US" w:eastAsia="zh-CN" w:bidi="ar-SA"/>
              </w:rPr>
              <w:t>符合第二章“投标人须知”第3.7.3项规定</w:t>
            </w:r>
            <w:r>
              <w:rPr>
                <w:rFonts w:hint="eastAsia"/>
                <w:kern w:val="0"/>
                <w:szCs w:val="21"/>
                <w:lang w:val="en-US"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vAlign w:val="center"/>
          </w:tcPr>
          <w:p>
            <w:pPr>
              <w:widowControl/>
              <w:spacing w:line="480" w:lineRule="exact"/>
              <w:jc w:val="center"/>
              <w:rPr>
                <w:rFonts w:hint="eastAsia"/>
                <w:bCs/>
                <w:kern w:val="0"/>
                <w:szCs w:val="21"/>
                <w:lang w:val="en-US" w:eastAsia="zh-CN" w:bidi="ar-SA"/>
              </w:rPr>
            </w:pPr>
          </w:p>
        </w:tc>
        <w:tc>
          <w:tcPr>
            <w:tcW w:w="382" w:type="pct"/>
            <w:vMerge w:val="continue"/>
            <w:vAlign w:val="center"/>
          </w:tcPr>
          <w:p>
            <w:pPr>
              <w:widowControl/>
              <w:spacing w:line="480" w:lineRule="exact"/>
              <w:jc w:val="center"/>
              <w:rPr>
                <w:rFonts w:hint="eastAsia"/>
                <w:bCs/>
                <w:kern w:val="0"/>
                <w:szCs w:val="21"/>
                <w:lang w:val="en-US" w:eastAsia="zh-CN" w:bidi="ar-SA"/>
              </w:rPr>
            </w:pPr>
          </w:p>
        </w:tc>
        <w:tc>
          <w:tcPr>
            <w:tcW w:w="928" w:type="pct"/>
            <w:tcMar>
              <w:left w:w="75" w:type="dxa"/>
            </w:tcMar>
            <w:vAlign w:val="center"/>
          </w:tcPr>
          <w:p>
            <w:pPr>
              <w:spacing w:line="480" w:lineRule="exact"/>
              <w:jc w:val="center"/>
              <w:rPr>
                <w:color w:val="000000"/>
              </w:rPr>
            </w:pPr>
            <w:r>
              <w:rPr>
                <w:color w:val="000000"/>
              </w:rPr>
              <w:t>投标文件格式</w:t>
            </w:r>
          </w:p>
        </w:tc>
        <w:tc>
          <w:tcPr>
            <w:tcW w:w="3304" w:type="pct"/>
            <w:tcMar>
              <w:left w:w="75" w:type="dxa"/>
            </w:tcMar>
            <w:vAlign w:val="center"/>
          </w:tcPr>
          <w:p>
            <w:pPr>
              <w:spacing w:line="480" w:lineRule="exact"/>
              <w:rPr>
                <w:rFonts w:hint="eastAsia"/>
                <w:color w:val="000000"/>
              </w:rPr>
            </w:pPr>
            <w:r>
              <w:rPr>
                <w:color w:val="000000"/>
              </w:rPr>
              <w:t>符合第六章</w:t>
            </w:r>
            <w:r>
              <w:rPr>
                <w:rFonts w:hint="eastAsia"/>
                <w:color w:val="000000"/>
              </w:rPr>
              <w:t>“</w:t>
            </w:r>
            <w:r>
              <w:rPr>
                <w:color w:val="000000"/>
              </w:rPr>
              <w:t>投标文件格式</w:t>
            </w:r>
            <w:r>
              <w:rPr>
                <w:rFonts w:hint="eastAsia"/>
                <w:color w:val="000000"/>
              </w:rPr>
              <w:t>”</w:t>
            </w:r>
            <w:r>
              <w:rPr>
                <w:color w:val="000000"/>
              </w:rPr>
              <w:t>的规定</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vAlign w:val="center"/>
          </w:tcPr>
          <w:p>
            <w:pPr>
              <w:widowControl/>
              <w:spacing w:line="480" w:lineRule="exact"/>
              <w:jc w:val="center"/>
              <w:rPr>
                <w:rFonts w:hint="eastAsia"/>
                <w:bCs/>
                <w:kern w:val="0"/>
                <w:szCs w:val="21"/>
                <w:lang w:val="en-US" w:eastAsia="zh-CN" w:bidi="ar-SA"/>
              </w:rPr>
            </w:pPr>
          </w:p>
        </w:tc>
        <w:tc>
          <w:tcPr>
            <w:tcW w:w="382" w:type="pct"/>
            <w:vMerge w:val="continue"/>
            <w:vAlign w:val="center"/>
          </w:tcPr>
          <w:p>
            <w:pPr>
              <w:widowControl/>
              <w:spacing w:line="480" w:lineRule="exact"/>
              <w:jc w:val="center"/>
              <w:rPr>
                <w:rFonts w:hint="eastAsia"/>
                <w:bCs/>
                <w:kern w:val="0"/>
                <w:szCs w:val="21"/>
                <w:lang w:val="en-US" w:eastAsia="zh-CN" w:bidi="ar-SA"/>
              </w:rPr>
            </w:pPr>
          </w:p>
        </w:tc>
        <w:tc>
          <w:tcPr>
            <w:tcW w:w="928" w:type="pct"/>
            <w:tcMar>
              <w:left w:w="75" w:type="dxa"/>
            </w:tcMar>
            <w:vAlign w:val="center"/>
          </w:tcPr>
          <w:p>
            <w:pPr>
              <w:spacing w:line="480" w:lineRule="exact"/>
              <w:jc w:val="center"/>
              <w:rPr>
                <w:color w:val="000000"/>
              </w:rPr>
            </w:pPr>
            <w:r>
              <w:rPr>
                <w:color w:val="000000"/>
              </w:rPr>
              <w:t>联合体投标人</w:t>
            </w:r>
          </w:p>
        </w:tc>
        <w:tc>
          <w:tcPr>
            <w:tcW w:w="3304" w:type="pct"/>
            <w:tcMar>
              <w:left w:w="75" w:type="dxa"/>
            </w:tcMar>
            <w:vAlign w:val="center"/>
          </w:tcPr>
          <w:p>
            <w:pPr>
              <w:spacing w:line="480" w:lineRule="exact"/>
              <w:rPr>
                <w:rFonts w:hint="eastAsia"/>
                <w:color w:val="000000"/>
              </w:rPr>
            </w:pPr>
            <w:r>
              <w:rPr>
                <w:color w:val="000000"/>
              </w:rPr>
              <w:t>提交符合招标文件要求的联合体协议书，明确各方承担连带责任，并明确联合体牵头人</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vAlign w:val="center"/>
          </w:tcPr>
          <w:p>
            <w:pPr>
              <w:widowControl/>
              <w:spacing w:line="480" w:lineRule="exact"/>
              <w:jc w:val="center"/>
              <w:rPr>
                <w:rFonts w:hint="eastAsia"/>
                <w:bCs/>
                <w:kern w:val="0"/>
                <w:szCs w:val="21"/>
                <w:lang w:val="en-US" w:eastAsia="zh-CN" w:bidi="ar-SA"/>
              </w:rPr>
            </w:pPr>
          </w:p>
        </w:tc>
        <w:tc>
          <w:tcPr>
            <w:tcW w:w="382" w:type="pct"/>
            <w:vMerge w:val="continue"/>
            <w:vAlign w:val="center"/>
          </w:tcPr>
          <w:p>
            <w:pPr>
              <w:widowControl/>
              <w:spacing w:line="480" w:lineRule="exact"/>
              <w:jc w:val="center"/>
              <w:rPr>
                <w:rFonts w:hint="eastAsia"/>
                <w:bCs/>
                <w:kern w:val="0"/>
                <w:szCs w:val="21"/>
                <w:lang w:val="en-US" w:eastAsia="zh-CN" w:bidi="ar-SA"/>
              </w:rPr>
            </w:pPr>
          </w:p>
        </w:tc>
        <w:tc>
          <w:tcPr>
            <w:tcW w:w="928" w:type="pct"/>
            <w:tcMar>
              <w:left w:w="75" w:type="dxa"/>
            </w:tcMar>
            <w:vAlign w:val="center"/>
          </w:tcPr>
          <w:p>
            <w:pPr>
              <w:spacing w:line="480" w:lineRule="exact"/>
              <w:jc w:val="center"/>
              <w:rPr>
                <w:color w:val="000000"/>
              </w:rPr>
            </w:pPr>
            <w:r>
              <w:rPr>
                <w:rFonts w:hint="eastAsia"/>
                <w:kern w:val="0"/>
                <w:szCs w:val="21"/>
                <w:lang w:val="en-US" w:eastAsia="zh-CN" w:bidi="ar-SA"/>
              </w:rPr>
              <w:t>备选投标方案</w:t>
            </w:r>
          </w:p>
        </w:tc>
        <w:tc>
          <w:tcPr>
            <w:tcW w:w="3304" w:type="pct"/>
            <w:tcMar>
              <w:left w:w="75" w:type="dxa"/>
            </w:tcMar>
            <w:vAlign w:val="center"/>
          </w:tcPr>
          <w:p>
            <w:pPr>
              <w:spacing w:line="480" w:lineRule="exact"/>
              <w:rPr>
                <w:rFonts w:hint="eastAsia"/>
                <w:color w:val="000000"/>
              </w:rPr>
            </w:pPr>
            <w:r>
              <w:rPr>
                <w:rFonts w:hint="eastAsia"/>
                <w:color w:val="000000"/>
                <w:lang w:val="en-US" w:eastAsia="zh-CN"/>
              </w:rPr>
              <w:t>除招标文件明确允许备选投标方案外，投标人不得提交备选投标方案</w:t>
            </w:r>
            <w:r>
              <w:rPr>
                <w:rFonts w:hint="eastAsia"/>
                <w:color w:val="00000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vAlign w:val="center"/>
          </w:tcPr>
          <w:p>
            <w:pPr>
              <w:widowControl/>
              <w:spacing w:line="480" w:lineRule="exact"/>
              <w:jc w:val="center"/>
              <w:rPr>
                <w:rFonts w:hint="eastAsia"/>
                <w:bCs/>
                <w:kern w:val="0"/>
                <w:szCs w:val="21"/>
                <w:lang w:val="en-US" w:eastAsia="zh-CN" w:bidi="ar-SA"/>
              </w:rPr>
            </w:pPr>
          </w:p>
        </w:tc>
        <w:tc>
          <w:tcPr>
            <w:tcW w:w="382" w:type="pct"/>
            <w:vMerge w:val="continue"/>
            <w:vAlign w:val="center"/>
          </w:tcPr>
          <w:p>
            <w:pPr>
              <w:widowControl/>
              <w:spacing w:line="480" w:lineRule="exact"/>
              <w:jc w:val="center"/>
              <w:rPr>
                <w:rFonts w:hint="eastAsia"/>
                <w:bCs/>
                <w:kern w:val="0"/>
                <w:szCs w:val="21"/>
                <w:lang w:val="en-US" w:eastAsia="zh-CN" w:bidi="ar-SA"/>
              </w:rPr>
            </w:pPr>
          </w:p>
        </w:tc>
        <w:tc>
          <w:tcPr>
            <w:tcW w:w="928" w:type="pct"/>
            <w:tcMar>
              <w:left w:w="75" w:type="dxa"/>
            </w:tcMar>
            <w:vAlign w:val="center"/>
          </w:tcPr>
          <w:p>
            <w:pPr>
              <w:widowControl/>
              <w:spacing w:line="480" w:lineRule="exact"/>
              <w:jc w:val="center"/>
              <w:rPr>
                <w:rFonts w:hint="eastAsia"/>
                <w:kern w:val="0"/>
                <w:szCs w:val="21"/>
                <w:lang w:val="en-US" w:eastAsia="zh-CN" w:bidi="ar-SA"/>
              </w:rPr>
            </w:pPr>
            <w:r>
              <w:rPr>
                <w:rFonts w:hint="eastAsia"/>
                <w:kern w:val="0"/>
                <w:szCs w:val="21"/>
                <w:lang w:val="en-US" w:eastAsia="zh-CN" w:bidi="ar-SA"/>
              </w:rPr>
              <w:t>未出现异常情形</w:t>
            </w:r>
          </w:p>
        </w:tc>
        <w:tc>
          <w:tcPr>
            <w:tcW w:w="3304" w:type="pct"/>
            <w:tcMar>
              <w:left w:w="75" w:type="dxa"/>
            </w:tcMar>
            <w:vAlign w:val="center"/>
          </w:tcPr>
          <w:p>
            <w:pPr>
              <w:spacing w:line="480" w:lineRule="exact"/>
              <w:rPr>
                <w:rFonts w:hint="eastAsia"/>
                <w:color w:val="000000"/>
                <w:lang w:val="en-US"/>
              </w:rPr>
            </w:pPr>
            <w:r>
              <w:rPr>
                <w:rFonts w:hint="eastAsia"/>
                <w:color w:val="000000"/>
              </w:rPr>
              <w:t>不同投标人未出现使用相同的机器识别码进行投标的情形。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restart"/>
            <w:vAlign w:val="center"/>
          </w:tcPr>
          <w:p>
            <w:pPr>
              <w:widowControl/>
              <w:spacing w:line="480" w:lineRule="exact"/>
              <w:jc w:val="center"/>
              <w:rPr>
                <w:rFonts w:hint="eastAsia"/>
                <w:bCs/>
                <w:kern w:val="0"/>
                <w:szCs w:val="21"/>
                <w:lang w:val="en-US" w:eastAsia="zh-CN" w:bidi="ar-SA"/>
              </w:rPr>
            </w:pPr>
            <w:r>
              <w:rPr>
                <w:rFonts w:hint="eastAsia"/>
                <w:bCs/>
                <w:kern w:val="0"/>
                <w:szCs w:val="21"/>
                <w:lang w:val="en-US" w:eastAsia="zh-CN" w:bidi="ar-SA"/>
              </w:rPr>
              <w:t>2.1.2</w:t>
            </w:r>
          </w:p>
        </w:tc>
        <w:tc>
          <w:tcPr>
            <w:tcW w:w="382" w:type="pct"/>
            <w:vMerge w:val="restart"/>
            <w:vAlign w:val="center"/>
          </w:tcPr>
          <w:p>
            <w:pPr>
              <w:widowControl/>
              <w:spacing w:line="480" w:lineRule="exact"/>
              <w:jc w:val="center"/>
              <w:rPr>
                <w:kern w:val="0"/>
                <w:szCs w:val="21"/>
                <w:lang w:val="en-US" w:eastAsia="zh-CN" w:bidi="ar-SA"/>
              </w:rPr>
            </w:pPr>
            <w:r>
              <w:rPr>
                <w:rFonts w:hint="eastAsia"/>
                <w:bCs/>
                <w:kern w:val="0"/>
                <w:szCs w:val="21"/>
                <w:lang w:val="en-US" w:eastAsia="zh-CN" w:bidi="ar-SA"/>
              </w:rPr>
              <w:t>资格</w:t>
            </w:r>
            <w:r>
              <w:rPr>
                <w:bCs/>
                <w:kern w:val="0"/>
                <w:szCs w:val="21"/>
                <w:lang w:val="en-US" w:eastAsia="zh-CN" w:bidi="ar-SA"/>
              </w:rPr>
              <w:t>评审标准</w:t>
            </w:r>
          </w:p>
        </w:tc>
        <w:tc>
          <w:tcPr>
            <w:tcW w:w="928" w:type="pct"/>
            <w:tcMar>
              <w:left w:w="75" w:type="dxa"/>
            </w:tcMar>
            <w:vAlign w:val="center"/>
          </w:tcPr>
          <w:p>
            <w:pPr>
              <w:spacing w:line="480" w:lineRule="exact"/>
              <w:jc w:val="center"/>
              <w:rPr>
                <w:rFonts w:hint="eastAsia"/>
                <w:kern w:val="0"/>
                <w:szCs w:val="21"/>
              </w:rPr>
            </w:pPr>
            <w:r>
              <w:rPr>
                <w:rFonts w:hint="eastAsia"/>
                <w:kern w:val="0"/>
                <w:szCs w:val="21"/>
              </w:rPr>
              <w:t>营业执照（事业单位法人证书）</w:t>
            </w:r>
          </w:p>
        </w:tc>
        <w:tc>
          <w:tcPr>
            <w:tcW w:w="3304" w:type="pct"/>
            <w:tcMar>
              <w:left w:w="75" w:type="dxa"/>
            </w:tcMar>
            <w:vAlign w:val="center"/>
          </w:tcPr>
          <w:p>
            <w:pPr>
              <w:spacing w:line="480" w:lineRule="exact"/>
              <w:rPr>
                <w:rFonts w:hint="eastAsia"/>
                <w:color w:val="000000"/>
                <w:lang w:val="en-US"/>
              </w:rPr>
            </w:pPr>
            <w:r>
              <w:rPr>
                <w:color w:val="000000"/>
              </w:rPr>
              <w:t>符合第二章</w:t>
            </w:r>
            <w:r>
              <w:rPr>
                <w:rFonts w:hint="eastAsia"/>
                <w:color w:val="000000"/>
                <w:lang w:val="en-US" w:eastAsia="zh-CN"/>
              </w:rPr>
              <w:t>“投标人须知”</w:t>
            </w:r>
            <w:r>
              <w:rPr>
                <w:color w:val="000000"/>
              </w:rPr>
              <w:t>第3.5.1项规定，具备有效的营业执照</w:t>
            </w:r>
            <w:r>
              <w:rPr>
                <w:rFonts w:hint="eastAsia"/>
                <w:color w:val="000000"/>
              </w:rPr>
              <w:t>（</w:t>
            </w:r>
            <w:r>
              <w:rPr>
                <w:color w:val="000000"/>
              </w:rPr>
              <w:t>事业单位法人证书</w:t>
            </w:r>
            <w:r>
              <w:rPr>
                <w:rFonts w:hint="eastAsia"/>
                <w:color w:val="000000"/>
              </w:rPr>
              <w:t>）</w:t>
            </w:r>
            <w:r>
              <w:rPr>
                <w:color w:val="000000"/>
                <w:lang w:val="en-US" w:eastAsia="zh-CN"/>
              </w:rPr>
              <w:t>，如</w:t>
            </w:r>
            <w:r>
              <w:rPr>
                <w:rFonts w:hint="eastAsia"/>
                <w:color w:val="000000"/>
                <w:lang w:val="en-US" w:eastAsia="zh-CN"/>
              </w:rPr>
              <w:t>为</w:t>
            </w:r>
            <w:r>
              <w:rPr>
                <w:color w:val="000000"/>
                <w:lang w:val="en-US" w:eastAsia="zh-CN"/>
              </w:rPr>
              <w:t>联合体投标，联合体各方均须提供</w:t>
            </w:r>
            <w:r>
              <w:rPr>
                <w:rFonts w:hint="eastAsia"/>
                <w:color w:val="00000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vAlign w:val="center"/>
          </w:tcPr>
          <w:p>
            <w:pPr>
              <w:widowControl/>
              <w:spacing w:line="480" w:lineRule="exact"/>
              <w:jc w:val="left"/>
              <w:rPr>
                <w:kern w:val="0"/>
                <w:szCs w:val="21"/>
                <w:lang w:val="en-US" w:eastAsia="zh-CN" w:bidi="ar-SA"/>
              </w:rPr>
            </w:pPr>
          </w:p>
        </w:tc>
        <w:tc>
          <w:tcPr>
            <w:tcW w:w="382" w:type="pct"/>
            <w:vMerge w:val="continue"/>
            <w:vAlign w:val="center"/>
          </w:tcPr>
          <w:p>
            <w:pPr>
              <w:widowControl/>
              <w:spacing w:line="480" w:lineRule="exact"/>
              <w:jc w:val="left"/>
              <w:rPr>
                <w:kern w:val="0"/>
                <w:szCs w:val="21"/>
                <w:lang w:val="en-US" w:eastAsia="zh-CN" w:bidi="ar-SA"/>
              </w:rPr>
            </w:pPr>
          </w:p>
        </w:tc>
        <w:tc>
          <w:tcPr>
            <w:tcW w:w="928" w:type="pct"/>
            <w:tcMar>
              <w:left w:w="75" w:type="dxa"/>
            </w:tcMar>
            <w:vAlign w:val="center"/>
          </w:tcPr>
          <w:p>
            <w:pPr>
              <w:spacing w:line="480" w:lineRule="exact"/>
              <w:jc w:val="center"/>
              <w:rPr>
                <w:rFonts w:hint="eastAsia"/>
                <w:kern w:val="0"/>
                <w:szCs w:val="21"/>
              </w:rPr>
            </w:pPr>
            <w:r>
              <w:rPr>
                <w:rFonts w:hint="eastAsia"/>
                <w:kern w:val="0"/>
                <w:szCs w:val="21"/>
              </w:rPr>
              <w:t>资质要求</w:t>
            </w:r>
          </w:p>
        </w:tc>
        <w:tc>
          <w:tcPr>
            <w:tcW w:w="3304" w:type="pct"/>
            <w:tcMar>
              <w:left w:w="75" w:type="dxa"/>
            </w:tcMar>
            <w:vAlign w:val="center"/>
          </w:tcPr>
          <w:p>
            <w:pPr>
              <w:spacing w:line="480" w:lineRule="exact"/>
              <w:rPr>
                <w:rFonts w:hint="eastAsia"/>
                <w:color w:val="000000"/>
              </w:rPr>
            </w:pPr>
            <w:r>
              <w:rPr>
                <w:color w:val="000000"/>
              </w:rPr>
              <w:t>符合第二章</w:t>
            </w:r>
            <w:r>
              <w:rPr>
                <w:rFonts w:hint="eastAsia"/>
                <w:kern w:val="0"/>
                <w:szCs w:val="21"/>
                <w:lang w:val="en-US" w:eastAsia="zh-CN" w:bidi="ar-SA"/>
              </w:rPr>
              <w:t>“投标人须知”</w:t>
            </w:r>
            <w:r>
              <w:rPr>
                <w:color w:val="000000"/>
              </w:rPr>
              <w:t>第1.4.1项规定</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vAlign w:val="center"/>
          </w:tcPr>
          <w:p>
            <w:pPr>
              <w:widowControl/>
              <w:spacing w:line="480" w:lineRule="exact"/>
              <w:jc w:val="left"/>
              <w:rPr>
                <w:kern w:val="0"/>
                <w:szCs w:val="21"/>
                <w:lang w:val="en-US" w:eastAsia="zh-CN" w:bidi="ar-SA"/>
              </w:rPr>
            </w:pPr>
          </w:p>
        </w:tc>
        <w:tc>
          <w:tcPr>
            <w:tcW w:w="382" w:type="pct"/>
            <w:vMerge w:val="continue"/>
            <w:vAlign w:val="center"/>
          </w:tcPr>
          <w:p>
            <w:pPr>
              <w:widowControl/>
              <w:spacing w:line="480" w:lineRule="exact"/>
              <w:jc w:val="left"/>
              <w:rPr>
                <w:kern w:val="0"/>
                <w:szCs w:val="21"/>
                <w:lang w:val="en-US" w:eastAsia="zh-CN" w:bidi="ar-SA"/>
              </w:rPr>
            </w:pPr>
          </w:p>
        </w:tc>
        <w:tc>
          <w:tcPr>
            <w:tcW w:w="928" w:type="pct"/>
            <w:tcMar>
              <w:left w:w="75" w:type="dxa"/>
            </w:tcMar>
            <w:vAlign w:val="center"/>
          </w:tcPr>
          <w:p>
            <w:pPr>
              <w:spacing w:line="480" w:lineRule="exact"/>
              <w:jc w:val="center"/>
              <w:rPr>
                <w:rFonts w:hint="eastAsia"/>
                <w:kern w:val="0"/>
                <w:szCs w:val="21"/>
              </w:rPr>
            </w:pPr>
            <w:r>
              <w:rPr>
                <w:rFonts w:hint="eastAsia"/>
                <w:kern w:val="0"/>
                <w:szCs w:val="21"/>
              </w:rPr>
              <w:t>投标货物制造商的资质要求（如有）</w:t>
            </w:r>
          </w:p>
        </w:tc>
        <w:tc>
          <w:tcPr>
            <w:tcW w:w="3304" w:type="pct"/>
            <w:tcMar>
              <w:left w:w="75" w:type="dxa"/>
            </w:tcMar>
            <w:vAlign w:val="center"/>
          </w:tcPr>
          <w:p>
            <w:pPr>
              <w:spacing w:line="480" w:lineRule="exact"/>
              <w:rPr>
                <w:rFonts w:hint="eastAsia"/>
                <w:color w:val="000000"/>
              </w:rPr>
            </w:pPr>
            <w:r>
              <w:rPr>
                <w:color w:val="000000"/>
              </w:rPr>
              <w:t>符合第二章</w:t>
            </w:r>
            <w:r>
              <w:rPr>
                <w:rFonts w:hint="eastAsia"/>
                <w:kern w:val="0"/>
                <w:szCs w:val="21"/>
                <w:lang w:val="en-US" w:eastAsia="zh-CN" w:bidi="ar-SA"/>
              </w:rPr>
              <w:t>“投标人须知”</w:t>
            </w:r>
            <w:r>
              <w:rPr>
                <w:color w:val="000000"/>
              </w:rPr>
              <w:t>第1.4.1项规定</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vAlign w:val="center"/>
          </w:tcPr>
          <w:p>
            <w:pPr>
              <w:widowControl/>
              <w:spacing w:line="480" w:lineRule="exact"/>
              <w:jc w:val="left"/>
              <w:rPr>
                <w:kern w:val="0"/>
                <w:szCs w:val="21"/>
                <w:lang w:val="en-US" w:eastAsia="zh-CN" w:bidi="ar-SA"/>
              </w:rPr>
            </w:pPr>
          </w:p>
        </w:tc>
        <w:tc>
          <w:tcPr>
            <w:tcW w:w="382" w:type="pct"/>
            <w:vMerge w:val="continue"/>
            <w:vAlign w:val="center"/>
          </w:tcPr>
          <w:p>
            <w:pPr>
              <w:widowControl/>
              <w:spacing w:line="480" w:lineRule="exact"/>
              <w:jc w:val="left"/>
              <w:rPr>
                <w:kern w:val="0"/>
                <w:szCs w:val="21"/>
                <w:lang w:val="en-US" w:eastAsia="zh-CN" w:bidi="ar-SA"/>
              </w:rPr>
            </w:pPr>
          </w:p>
        </w:tc>
        <w:tc>
          <w:tcPr>
            <w:tcW w:w="928" w:type="pct"/>
            <w:tcMar>
              <w:left w:w="75" w:type="dxa"/>
            </w:tcMar>
            <w:vAlign w:val="center"/>
          </w:tcPr>
          <w:p>
            <w:pPr>
              <w:spacing w:line="480" w:lineRule="exact"/>
              <w:jc w:val="center"/>
              <w:rPr>
                <w:rFonts w:hint="eastAsia"/>
                <w:kern w:val="0"/>
                <w:szCs w:val="21"/>
                <w:lang w:val="en-US" w:eastAsia="zh-CN"/>
              </w:rPr>
            </w:pPr>
            <w:r>
              <w:rPr>
                <w:rFonts w:hint="eastAsia"/>
                <w:kern w:val="0"/>
                <w:szCs w:val="21"/>
                <w:lang w:val="en-US" w:eastAsia="zh-CN"/>
              </w:rPr>
              <w:t>生产/制造许可证（如有）</w:t>
            </w:r>
          </w:p>
        </w:tc>
        <w:tc>
          <w:tcPr>
            <w:tcW w:w="3304" w:type="pct"/>
            <w:tcMar>
              <w:left w:w="75" w:type="dxa"/>
            </w:tcMar>
            <w:vAlign w:val="center"/>
          </w:tcPr>
          <w:p>
            <w:pPr>
              <w:spacing w:line="480" w:lineRule="exact"/>
              <w:jc w:val="left"/>
              <w:rPr>
                <w:rFonts w:hint="eastAsia"/>
                <w:color w:val="000000"/>
                <w:kern w:val="0"/>
                <w:szCs w:val="21"/>
                <w:lang w:val="en-US" w:bidi="ar-SA"/>
              </w:rPr>
            </w:pPr>
            <w:r>
              <w:rPr>
                <w:color w:val="000000"/>
                <w:szCs w:val="21"/>
              </w:rPr>
              <w:t>具备有效的生产/制造许可证</w:t>
            </w: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vAlign w:val="center"/>
          </w:tcPr>
          <w:p>
            <w:pPr>
              <w:widowControl/>
              <w:spacing w:line="480" w:lineRule="exact"/>
              <w:jc w:val="left"/>
              <w:rPr>
                <w:kern w:val="0"/>
                <w:szCs w:val="21"/>
                <w:lang w:val="en-US" w:eastAsia="zh-CN" w:bidi="ar-SA"/>
              </w:rPr>
            </w:pPr>
          </w:p>
        </w:tc>
        <w:tc>
          <w:tcPr>
            <w:tcW w:w="382" w:type="pct"/>
            <w:vMerge w:val="continue"/>
            <w:vAlign w:val="center"/>
          </w:tcPr>
          <w:p>
            <w:pPr>
              <w:widowControl/>
              <w:spacing w:line="480" w:lineRule="exact"/>
              <w:jc w:val="left"/>
              <w:rPr>
                <w:kern w:val="0"/>
                <w:szCs w:val="21"/>
                <w:lang w:val="en-US" w:eastAsia="zh-CN" w:bidi="ar-SA"/>
              </w:rPr>
            </w:pPr>
          </w:p>
        </w:tc>
        <w:tc>
          <w:tcPr>
            <w:tcW w:w="928" w:type="pct"/>
            <w:tcMar>
              <w:left w:w="75" w:type="dxa"/>
            </w:tcMar>
            <w:vAlign w:val="center"/>
          </w:tcPr>
          <w:p>
            <w:pPr>
              <w:spacing w:line="480" w:lineRule="exact"/>
              <w:jc w:val="center"/>
              <w:rPr>
                <w:rFonts w:hint="eastAsia"/>
                <w:kern w:val="0"/>
                <w:szCs w:val="21"/>
                <w:lang w:val="en-US" w:eastAsia="zh-CN"/>
              </w:rPr>
            </w:pPr>
            <w:r>
              <w:rPr>
                <w:rFonts w:hint="eastAsia"/>
                <w:kern w:val="0"/>
                <w:szCs w:val="21"/>
                <w:lang w:val="en-US" w:eastAsia="zh-CN"/>
              </w:rPr>
              <w:t>财务要求</w:t>
            </w:r>
          </w:p>
        </w:tc>
        <w:tc>
          <w:tcPr>
            <w:tcW w:w="3304" w:type="pct"/>
            <w:tcMar>
              <w:left w:w="75" w:type="dxa"/>
            </w:tcMar>
            <w:vAlign w:val="center"/>
          </w:tcPr>
          <w:p>
            <w:pPr>
              <w:spacing w:line="480" w:lineRule="exact"/>
              <w:jc w:val="left"/>
              <w:rPr>
                <w:rFonts w:hint="eastAsia"/>
                <w:kern w:val="0"/>
                <w:szCs w:val="21"/>
                <w:lang w:val="en-US" w:bidi="ar-SA"/>
              </w:rPr>
            </w:pPr>
            <w:r>
              <w:rPr>
                <w:rFonts w:hint="eastAsia"/>
                <w:kern w:val="0"/>
                <w:szCs w:val="21"/>
                <w:lang w:val="en-US" w:eastAsia="zh-CN" w:bidi="ar-SA"/>
              </w:rPr>
              <w:t>符合第二章“投标人须知”第1.4.1项规定</w:t>
            </w:r>
            <w:r>
              <w:rPr>
                <w:rFonts w:hint="eastAsia"/>
                <w:kern w:val="0"/>
                <w:szCs w:val="21"/>
                <w:lang w:val="en-US"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vAlign w:val="center"/>
          </w:tcPr>
          <w:p>
            <w:pPr>
              <w:widowControl/>
              <w:spacing w:line="480" w:lineRule="exact"/>
              <w:jc w:val="left"/>
              <w:rPr>
                <w:kern w:val="0"/>
                <w:szCs w:val="21"/>
                <w:lang w:val="en-US" w:eastAsia="zh-CN" w:bidi="ar-SA"/>
              </w:rPr>
            </w:pPr>
          </w:p>
        </w:tc>
        <w:tc>
          <w:tcPr>
            <w:tcW w:w="382" w:type="pct"/>
            <w:vMerge w:val="continue"/>
            <w:vAlign w:val="center"/>
          </w:tcPr>
          <w:p>
            <w:pPr>
              <w:widowControl/>
              <w:spacing w:line="480" w:lineRule="exact"/>
              <w:jc w:val="left"/>
              <w:rPr>
                <w:kern w:val="0"/>
                <w:szCs w:val="21"/>
                <w:lang w:val="en-US" w:eastAsia="zh-CN" w:bidi="ar-SA"/>
              </w:rPr>
            </w:pPr>
          </w:p>
        </w:tc>
        <w:tc>
          <w:tcPr>
            <w:tcW w:w="928" w:type="pct"/>
            <w:tcMar>
              <w:left w:w="75" w:type="dxa"/>
            </w:tcMar>
            <w:vAlign w:val="center"/>
          </w:tcPr>
          <w:p>
            <w:pPr>
              <w:spacing w:line="480" w:lineRule="exact"/>
              <w:jc w:val="center"/>
              <w:rPr>
                <w:rFonts w:hint="eastAsia"/>
                <w:kern w:val="0"/>
                <w:szCs w:val="21"/>
                <w:lang w:val="en-US" w:eastAsia="zh-CN"/>
              </w:rPr>
            </w:pPr>
            <w:r>
              <w:rPr>
                <w:rFonts w:hint="eastAsia"/>
                <w:kern w:val="0"/>
                <w:szCs w:val="21"/>
                <w:lang w:val="en-US" w:eastAsia="zh-CN"/>
              </w:rPr>
              <w:t>投标人业绩要求</w:t>
            </w:r>
          </w:p>
        </w:tc>
        <w:tc>
          <w:tcPr>
            <w:tcW w:w="3304" w:type="pct"/>
            <w:tcMar>
              <w:left w:w="75" w:type="dxa"/>
            </w:tcMar>
            <w:vAlign w:val="center"/>
          </w:tcPr>
          <w:p>
            <w:pPr>
              <w:spacing w:line="480" w:lineRule="exact"/>
              <w:jc w:val="left"/>
              <w:rPr>
                <w:rFonts w:hint="eastAsia"/>
                <w:kern w:val="0"/>
                <w:szCs w:val="21"/>
                <w:lang w:val="en-US" w:bidi="ar-SA"/>
              </w:rPr>
            </w:pPr>
            <w:r>
              <w:rPr>
                <w:rFonts w:hint="eastAsia"/>
                <w:kern w:val="0"/>
                <w:szCs w:val="21"/>
                <w:lang w:val="en-US" w:eastAsia="zh-CN" w:bidi="ar-SA"/>
              </w:rPr>
              <w:t>符合第二章“投标人须知”第1.4.1项规定</w:t>
            </w:r>
            <w:r>
              <w:rPr>
                <w:rFonts w:hint="eastAsia"/>
                <w:kern w:val="0"/>
                <w:szCs w:val="21"/>
                <w:lang w:val="en-US"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vAlign w:val="center"/>
          </w:tcPr>
          <w:p>
            <w:pPr>
              <w:widowControl/>
              <w:spacing w:line="480" w:lineRule="exact"/>
              <w:jc w:val="left"/>
              <w:rPr>
                <w:kern w:val="0"/>
                <w:szCs w:val="21"/>
                <w:lang w:val="en-US" w:eastAsia="zh-CN" w:bidi="ar-SA"/>
              </w:rPr>
            </w:pPr>
          </w:p>
        </w:tc>
        <w:tc>
          <w:tcPr>
            <w:tcW w:w="382" w:type="pct"/>
            <w:vMerge w:val="continue"/>
            <w:vAlign w:val="center"/>
          </w:tcPr>
          <w:p>
            <w:pPr>
              <w:widowControl/>
              <w:spacing w:line="480" w:lineRule="exact"/>
              <w:jc w:val="left"/>
              <w:rPr>
                <w:kern w:val="0"/>
                <w:szCs w:val="21"/>
                <w:lang w:val="en-US" w:eastAsia="zh-CN" w:bidi="ar-SA"/>
              </w:rPr>
            </w:pPr>
          </w:p>
        </w:tc>
        <w:tc>
          <w:tcPr>
            <w:tcW w:w="928" w:type="pct"/>
            <w:tcMar>
              <w:left w:w="75" w:type="dxa"/>
            </w:tcMar>
            <w:vAlign w:val="center"/>
          </w:tcPr>
          <w:p>
            <w:pPr>
              <w:spacing w:line="480" w:lineRule="exact"/>
              <w:jc w:val="center"/>
              <w:rPr>
                <w:rFonts w:hint="eastAsia"/>
                <w:kern w:val="0"/>
                <w:szCs w:val="21"/>
              </w:rPr>
            </w:pPr>
            <w:r>
              <w:rPr>
                <w:rFonts w:hint="eastAsia"/>
                <w:kern w:val="0"/>
                <w:szCs w:val="21"/>
              </w:rPr>
              <w:t>投标货物的业绩要求（如有）</w:t>
            </w:r>
          </w:p>
        </w:tc>
        <w:tc>
          <w:tcPr>
            <w:tcW w:w="3304" w:type="pct"/>
            <w:tcMar>
              <w:left w:w="75" w:type="dxa"/>
            </w:tcMar>
            <w:vAlign w:val="center"/>
          </w:tcPr>
          <w:p>
            <w:pPr>
              <w:spacing w:line="480" w:lineRule="exact"/>
              <w:rPr>
                <w:rFonts w:hint="eastAsia"/>
                <w:color w:val="000000"/>
              </w:rPr>
            </w:pPr>
            <w:r>
              <w:rPr>
                <w:color w:val="000000"/>
              </w:rPr>
              <w:t>符合第二章“投标人须知”第1.4.1项规定</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vAlign w:val="center"/>
          </w:tcPr>
          <w:p>
            <w:pPr>
              <w:widowControl/>
              <w:spacing w:line="480" w:lineRule="exact"/>
              <w:jc w:val="left"/>
              <w:rPr>
                <w:kern w:val="0"/>
                <w:szCs w:val="21"/>
                <w:lang w:val="en-US" w:eastAsia="zh-CN" w:bidi="ar-SA"/>
              </w:rPr>
            </w:pPr>
          </w:p>
        </w:tc>
        <w:tc>
          <w:tcPr>
            <w:tcW w:w="382" w:type="pct"/>
            <w:vMerge w:val="continue"/>
            <w:vAlign w:val="center"/>
          </w:tcPr>
          <w:p>
            <w:pPr>
              <w:widowControl/>
              <w:spacing w:line="480" w:lineRule="exact"/>
              <w:jc w:val="left"/>
              <w:rPr>
                <w:kern w:val="0"/>
                <w:szCs w:val="21"/>
                <w:lang w:val="en-US" w:eastAsia="zh-CN" w:bidi="ar-SA"/>
              </w:rPr>
            </w:pPr>
          </w:p>
        </w:tc>
        <w:tc>
          <w:tcPr>
            <w:tcW w:w="928" w:type="pct"/>
            <w:tcMar>
              <w:left w:w="75" w:type="dxa"/>
            </w:tcMar>
            <w:vAlign w:val="center"/>
          </w:tcPr>
          <w:p>
            <w:pPr>
              <w:spacing w:line="480" w:lineRule="exact"/>
              <w:jc w:val="center"/>
              <w:rPr>
                <w:rFonts w:hint="eastAsia"/>
                <w:kern w:val="0"/>
                <w:szCs w:val="21"/>
                <w:lang w:val="en-US" w:eastAsia="zh-CN"/>
              </w:rPr>
            </w:pPr>
            <w:r>
              <w:rPr>
                <w:rFonts w:hint="eastAsia"/>
                <w:kern w:val="0"/>
                <w:szCs w:val="21"/>
                <w:lang w:val="en-US" w:eastAsia="zh-CN"/>
              </w:rPr>
              <w:t>信誉要求</w:t>
            </w:r>
          </w:p>
        </w:tc>
        <w:tc>
          <w:tcPr>
            <w:tcW w:w="3304" w:type="pct"/>
            <w:tcMar>
              <w:left w:w="75" w:type="dxa"/>
            </w:tcMar>
            <w:vAlign w:val="center"/>
          </w:tcPr>
          <w:p>
            <w:pPr>
              <w:spacing w:line="480" w:lineRule="exact"/>
              <w:jc w:val="left"/>
              <w:rPr>
                <w:rFonts w:hint="eastAsia"/>
                <w:kern w:val="0"/>
                <w:szCs w:val="21"/>
                <w:lang w:val="en-US" w:bidi="ar-SA"/>
              </w:rPr>
            </w:pPr>
            <w:r>
              <w:rPr>
                <w:rFonts w:hint="eastAsia"/>
                <w:kern w:val="0"/>
                <w:szCs w:val="21"/>
                <w:lang w:val="en-US" w:eastAsia="zh-CN" w:bidi="ar-SA"/>
              </w:rPr>
              <w:t>符合第二章“投标人须知”第1.4.1项规定</w:t>
            </w:r>
            <w:r>
              <w:rPr>
                <w:rFonts w:hint="eastAsia"/>
                <w:kern w:val="0"/>
                <w:szCs w:val="21"/>
                <w:lang w:val="en-US"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vAlign w:val="center"/>
          </w:tcPr>
          <w:p>
            <w:pPr>
              <w:widowControl/>
              <w:spacing w:line="480" w:lineRule="exact"/>
              <w:jc w:val="left"/>
              <w:rPr>
                <w:kern w:val="0"/>
                <w:szCs w:val="21"/>
                <w:lang w:val="en-US" w:eastAsia="zh-CN" w:bidi="ar-SA"/>
              </w:rPr>
            </w:pPr>
          </w:p>
        </w:tc>
        <w:tc>
          <w:tcPr>
            <w:tcW w:w="382" w:type="pct"/>
            <w:vMerge w:val="continue"/>
            <w:vAlign w:val="center"/>
          </w:tcPr>
          <w:p>
            <w:pPr>
              <w:widowControl/>
              <w:spacing w:line="480" w:lineRule="exact"/>
              <w:jc w:val="left"/>
              <w:rPr>
                <w:kern w:val="0"/>
                <w:szCs w:val="21"/>
                <w:lang w:val="en-US" w:eastAsia="zh-CN" w:bidi="ar-SA"/>
              </w:rPr>
            </w:pPr>
          </w:p>
        </w:tc>
        <w:tc>
          <w:tcPr>
            <w:tcW w:w="928" w:type="pct"/>
            <w:tcMar>
              <w:left w:w="75" w:type="dxa"/>
            </w:tcMar>
            <w:vAlign w:val="center"/>
          </w:tcPr>
          <w:p>
            <w:pPr>
              <w:widowControl/>
              <w:adjustRightInd w:val="0"/>
              <w:snapToGrid w:val="0"/>
              <w:spacing w:line="480" w:lineRule="exact"/>
              <w:jc w:val="center"/>
              <w:rPr>
                <w:rFonts w:hint="eastAsia"/>
                <w:lang w:bidi="ar-SA"/>
              </w:rPr>
            </w:pPr>
            <w:r>
              <w:rPr>
                <w:rFonts w:hint="eastAsia"/>
                <w:lang w:bidi="ar-SA"/>
              </w:rPr>
              <w:t>其他要求</w:t>
            </w:r>
          </w:p>
        </w:tc>
        <w:tc>
          <w:tcPr>
            <w:tcW w:w="3304" w:type="pct"/>
            <w:tcMar>
              <w:left w:w="75" w:type="dxa"/>
            </w:tcMar>
            <w:vAlign w:val="center"/>
          </w:tcPr>
          <w:p>
            <w:pPr>
              <w:widowControl/>
              <w:spacing w:line="480" w:lineRule="exact"/>
              <w:jc w:val="left"/>
              <w:rPr>
                <w:rFonts w:hint="eastAsia"/>
                <w:kern w:val="0"/>
                <w:szCs w:val="21"/>
                <w:lang w:val="en-US" w:bidi="ar-SA"/>
              </w:rPr>
            </w:pPr>
            <w:r>
              <w:rPr>
                <w:rFonts w:hint="eastAsia"/>
                <w:kern w:val="0"/>
                <w:szCs w:val="21"/>
                <w:lang w:val="en-US" w:eastAsia="zh-CN" w:bidi="ar-SA"/>
              </w:rPr>
              <w:t>符合第二章“投标人须知”第1.4.1项规定</w:t>
            </w:r>
            <w:r>
              <w:rPr>
                <w:rFonts w:hint="eastAsia"/>
                <w:kern w:val="0"/>
                <w:szCs w:val="21"/>
                <w:lang w:val="en-US"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vAlign w:val="center"/>
          </w:tcPr>
          <w:p>
            <w:pPr>
              <w:widowControl/>
              <w:spacing w:line="480" w:lineRule="exact"/>
              <w:jc w:val="left"/>
              <w:rPr>
                <w:kern w:val="0"/>
                <w:szCs w:val="21"/>
                <w:lang w:val="en-US" w:eastAsia="zh-CN" w:bidi="ar-SA"/>
              </w:rPr>
            </w:pPr>
          </w:p>
        </w:tc>
        <w:tc>
          <w:tcPr>
            <w:tcW w:w="382" w:type="pct"/>
            <w:vMerge w:val="continue"/>
            <w:vAlign w:val="center"/>
          </w:tcPr>
          <w:p>
            <w:pPr>
              <w:widowControl/>
              <w:spacing w:line="480" w:lineRule="exact"/>
              <w:jc w:val="left"/>
              <w:rPr>
                <w:kern w:val="0"/>
                <w:szCs w:val="21"/>
                <w:lang w:val="en-US" w:eastAsia="zh-CN" w:bidi="ar-SA"/>
              </w:rPr>
            </w:pPr>
          </w:p>
        </w:tc>
        <w:tc>
          <w:tcPr>
            <w:tcW w:w="928" w:type="pct"/>
            <w:tcMar>
              <w:left w:w="75" w:type="dxa"/>
            </w:tcMar>
            <w:vAlign w:val="center"/>
          </w:tcPr>
          <w:p>
            <w:pPr>
              <w:widowControl/>
              <w:adjustRightInd w:val="0"/>
              <w:snapToGrid w:val="0"/>
              <w:spacing w:line="480" w:lineRule="exact"/>
              <w:jc w:val="center"/>
              <w:rPr>
                <w:rFonts w:hint="eastAsia"/>
                <w:lang w:bidi="ar-SA"/>
              </w:rPr>
            </w:pPr>
            <w:r>
              <w:rPr>
                <w:rFonts w:hint="eastAsia"/>
                <w:lang w:bidi="ar-SA"/>
              </w:rPr>
              <w:t>联合体投标人</w:t>
            </w:r>
          </w:p>
        </w:tc>
        <w:tc>
          <w:tcPr>
            <w:tcW w:w="3304" w:type="pct"/>
            <w:tcMar>
              <w:left w:w="75" w:type="dxa"/>
            </w:tcMar>
            <w:vAlign w:val="center"/>
          </w:tcPr>
          <w:p>
            <w:pPr>
              <w:widowControl/>
              <w:spacing w:line="480" w:lineRule="exact"/>
              <w:jc w:val="left"/>
              <w:rPr>
                <w:rFonts w:hint="eastAsia"/>
                <w:kern w:val="0"/>
                <w:szCs w:val="21"/>
                <w:lang w:val="en-US" w:bidi="ar-SA"/>
              </w:rPr>
            </w:pPr>
            <w:r>
              <w:rPr>
                <w:rFonts w:hint="eastAsia"/>
                <w:kern w:val="0"/>
                <w:szCs w:val="21"/>
                <w:lang w:val="en-US" w:eastAsia="zh-CN" w:bidi="ar-SA"/>
              </w:rPr>
              <w:t>符合第二章“投标人须知”第1.4.2项规定</w:t>
            </w:r>
            <w:r>
              <w:rPr>
                <w:rFonts w:hint="eastAsia"/>
                <w:kern w:val="0"/>
                <w:szCs w:val="21"/>
                <w:lang w:val="en-US"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vAlign w:val="center"/>
          </w:tcPr>
          <w:p>
            <w:pPr>
              <w:widowControl/>
              <w:spacing w:line="480" w:lineRule="exact"/>
              <w:jc w:val="left"/>
              <w:rPr>
                <w:kern w:val="0"/>
                <w:szCs w:val="21"/>
                <w:lang w:val="en-US" w:eastAsia="zh-CN" w:bidi="ar-SA"/>
              </w:rPr>
            </w:pPr>
          </w:p>
        </w:tc>
        <w:tc>
          <w:tcPr>
            <w:tcW w:w="382" w:type="pct"/>
            <w:vMerge w:val="continue"/>
            <w:vAlign w:val="center"/>
          </w:tcPr>
          <w:p>
            <w:pPr>
              <w:widowControl/>
              <w:spacing w:line="480" w:lineRule="exact"/>
              <w:jc w:val="left"/>
              <w:rPr>
                <w:kern w:val="0"/>
                <w:szCs w:val="21"/>
                <w:lang w:val="en-US" w:eastAsia="zh-CN" w:bidi="ar-SA"/>
              </w:rPr>
            </w:pPr>
          </w:p>
        </w:tc>
        <w:tc>
          <w:tcPr>
            <w:tcW w:w="928" w:type="pct"/>
            <w:tcMar>
              <w:left w:w="75" w:type="dxa"/>
            </w:tcMar>
            <w:vAlign w:val="center"/>
          </w:tcPr>
          <w:p>
            <w:pPr>
              <w:widowControl/>
              <w:adjustRightInd w:val="0"/>
              <w:snapToGrid w:val="0"/>
              <w:spacing w:line="480" w:lineRule="exact"/>
              <w:jc w:val="center"/>
              <w:rPr>
                <w:rFonts w:hint="eastAsia"/>
                <w:kern w:val="0"/>
                <w:szCs w:val="21"/>
                <w:lang w:val="en-US" w:eastAsia="zh-CN" w:bidi="ar-SA"/>
              </w:rPr>
            </w:pPr>
            <w:r>
              <w:rPr>
                <w:color w:val="000000"/>
              </w:rPr>
              <w:t>不存在禁止投标的情形</w:t>
            </w:r>
          </w:p>
        </w:tc>
        <w:tc>
          <w:tcPr>
            <w:tcW w:w="3304" w:type="pct"/>
            <w:tcMar>
              <w:left w:w="75" w:type="dxa"/>
            </w:tcMar>
            <w:vAlign w:val="center"/>
          </w:tcPr>
          <w:p>
            <w:pPr>
              <w:spacing w:line="480" w:lineRule="exact"/>
              <w:jc w:val="left"/>
              <w:rPr>
                <w:rFonts w:hint="eastAsia"/>
                <w:kern w:val="0"/>
                <w:szCs w:val="21"/>
                <w:lang w:val="en-US" w:bidi="ar-SA"/>
              </w:rPr>
            </w:pPr>
            <w:r>
              <w:rPr>
                <w:color w:val="000000"/>
              </w:rPr>
              <w:t>不存在第二章</w:t>
            </w:r>
            <w:r>
              <w:rPr>
                <w:rFonts w:hint="eastAsia"/>
                <w:kern w:val="0"/>
                <w:szCs w:val="21"/>
                <w:lang w:val="en-US" w:eastAsia="zh-CN" w:bidi="ar-SA"/>
              </w:rPr>
              <w:t>“投标人须知”</w:t>
            </w:r>
            <w:r>
              <w:rPr>
                <w:color w:val="000000"/>
              </w:rPr>
              <w:t>第1.4.3项</w:t>
            </w:r>
            <w:r>
              <w:rPr>
                <w:rFonts w:hint="eastAsia"/>
                <w:color w:val="000000"/>
              </w:rPr>
              <w:t>或</w:t>
            </w:r>
            <w:r>
              <w:rPr>
                <w:color w:val="000000"/>
              </w:rPr>
              <w:t>第1.4.</w:t>
            </w:r>
            <w:r>
              <w:rPr>
                <w:rFonts w:hint="eastAsia"/>
                <w:color w:val="000000"/>
              </w:rPr>
              <w:t>4</w:t>
            </w:r>
            <w:r>
              <w:rPr>
                <w:color w:val="000000"/>
              </w:rPr>
              <w:t>项规定的任何一种情形</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restart"/>
            <w:vAlign w:val="center"/>
          </w:tcPr>
          <w:p>
            <w:pPr>
              <w:widowControl/>
              <w:spacing w:line="480" w:lineRule="exact"/>
              <w:jc w:val="center"/>
              <w:rPr>
                <w:kern w:val="0"/>
                <w:szCs w:val="21"/>
                <w:lang w:val="en-US" w:eastAsia="zh-CN" w:bidi="ar-SA"/>
              </w:rPr>
            </w:pPr>
            <w:r>
              <w:rPr>
                <w:rFonts w:hint="eastAsia"/>
              </w:rPr>
              <w:t>2.1.3</w:t>
            </w:r>
          </w:p>
        </w:tc>
        <w:tc>
          <w:tcPr>
            <w:tcW w:w="382" w:type="pct"/>
            <w:vMerge w:val="restart"/>
            <w:vAlign w:val="center"/>
          </w:tcPr>
          <w:p>
            <w:pPr>
              <w:widowControl/>
              <w:spacing w:line="480" w:lineRule="exact"/>
              <w:jc w:val="left"/>
              <w:rPr>
                <w:kern w:val="0"/>
                <w:szCs w:val="21"/>
                <w:lang w:val="en-US" w:eastAsia="zh-CN" w:bidi="ar-SA"/>
              </w:rPr>
            </w:pPr>
            <w:r>
              <w:rPr>
                <w:rFonts w:hint="eastAsia"/>
                <w:bCs/>
                <w:kern w:val="0"/>
                <w:szCs w:val="21"/>
                <w:lang w:val="en-US" w:eastAsia="zh-CN" w:bidi="ar-SA"/>
              </w:rPr>
              <w:t>响应性评审标准</w:t>
            </w:r>
          </w:p>
        </w:tc>
        <w:tc>
          <w:tcPr>
            <w:tcW w:w="928" w:type="pct"/>
            <w:tcMar>
              <w:left w:w="75" w:type="dxa"/>
            </w:tcMar>
            <w:vAlign w:val="center"/>
          </w:tcPr>
          <w:p>
            <w:pPr>
              <w:widowControl/>
              <w:adjustRightInd w:val="0"/>
              <w:snapToGrid w:val="0"/>
              <w:spacing w:line="480" w:lineRule="exact"/>
              <w:jc w:val="center"/>
              <w:rPr>
                <w:color w:val="000000"/>
              </w:rPr>
            </w:pPr>
            <w:r>
              <w:rPr>
                <w:color w:val="000000"/>
              </w:rPr>
              <w:t>投标内容</w:t>
            </w:r>
          </w:p>
        </w:tc>
        <w:tc>
          <w:tcPr>
            <w:tcW w:w="3304" w:type="pct"/>
            <w:tcMar>
              <w:left w:w="75" w:type="dxa"/>
            </w:tcMar>
            <w:vAlign w:val="center"/>
          </w:tcPr>
          <w:p>
            <w:pPr>
              <w:spacing w:line="480" w:lineRule="exact"/>
              <w:jc w:val="left"/>
              <w:rPr>
                <w:rFonts w:hint="eastAsia"/>
                <w:color w:val="000000"/>
              </w:rPr>
            </w:pPr>
            <w:r>
              <w:rPr>
                <w:color w:val="000000"/>
              </w:rPr>
              <w:t>符合第二章</w:t>
            </w:r>
            <w:r>
              <w:rPr>
                <w:rFonts w:hint="eastAsia"/>
                <w:kern w:val="0"/>
                <w:szCs w:val="21"/>
                <w:lang w:val="en-US" w:eastAsia="zh-CN" w:bidi="ar-SA"/>
              </w:rPr>
              <w:t>“投标人须知”</w:t>
            </w:r>
            <w:r>
              <w:rPr>
                <w:color w:val="000000"/>
              </w:rPr>
              <w:t>第1.3.1项规定</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vAlign w:val="center"/>
          </w:tcPr>
          <w:p>
            <w:pPr>
              <w:widowControl/>
              <w:spacing w:line="480" w:lineRule="exact"/>
              <w:jc w:val="left"/>
              <w:rPr>
                <w:rFonts w:hint="eastAsia"/>
              </w:rPr>
            </w:pPr>
          </w:p>
        </w:tc>
        <w:tc>
          <w:tcPr>
            <w:tcW w:w="382" w:type="pct"/>
            <w:vMerge w:val="continue"/>
            <w:vAlign w:val="center"/>
          </w:tcPr>
          <w:p>
            <w:pPr>
              <w:widowControl/>
              <w:spacing w:line="480" w:lineRule="exact"/>
              <w:jc w:val="left"/>
              <w:rPr>
                <w:rFonts w:hint="eastAsia"/>
                <w:bCs/>
                <w:kern w:val="0"/>
                <w:szCs w:val="21"/>
                <w:lang w:val="en-US" w:eastAsia="zh-CN" w:bidi="ar-SA"/>
              </w:rPr>
            </w:pPr>
          </w:p>
        </w:tc>
        <w:tc>
          <w:tcPr>
            <w:tcW w:w="928" w:type="pct"/>
            <w:tcMar>
              <w:left w:w="75" w:type="dxa"/>
            </w:tcMar>
            <w:vAlign w:val="center"/>
          </w:tcPr>
          <w:p>
            <w:pPr>
              <w:widowControl/>
              <w:adjustRightInd w:val="0"/>
              <w:snapToGrid w:val="0"/>
              <w:spacing w:line="480" w:lineRule="exact"/>
              <w:jc w:val="center"/>
              <w:rPr>
                <w:color w:val="000000"/>
              </w:rPr>
            </w:pPr>
            <w:r>
              <w:rPr>
                <w:color w:val="000000"/>
              </w:rPr>
              <w:t>交货期</w:t>
            </w:r>
          </w:p>
        </w:tc>
        <w:tc>
          <w:tcPr>
            <w:tcW w:w="3304" w:type="pct"/>
            <w:tcMar>
              <w:left w:w="75" w:type="dxa"/>
            </w:tcMar>
            <w:vAlign w:val="center"/>
          </w:tcPr>
          <w:p>
            <w:pPr>
              <w:spacing w:line="480" w:lineRule="exact"/>
              <w:jc w:val="left"/>
              <w:rPr>
                <w:rFonts w:hint="eastAsia"/>
                <w:color w:val="000000"/>
              </w:rPr>
            </w:pPr>
            <w:r>
              <w:rPr>
                <w:color w:val="000000"/>
              </w:rPr>
              <w:t>符合第二章</w:t>
            </w:r>
            <w:r>
              <w:rPr>
                <w:rFonts w:hint="eastAsia"/>
                <w:kern w:val="0"/>
                <w:szCs w:val="21"/>
                <w:lang w:val="en-US" w:eastAsia="zh-CN" w:bidi="ar-SA"/>
              </w:rPr>
              <w:t>“投标人须知”</w:t>
            </w:r>
            <w:r>
              <w:rPr>
                <w:color w:val="000000"/>
              </w:rPr>
              <w:t>第1.3.2项规定</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vAlign w:val="center"/>
          </w:tcPr>
          <w:p>
            <w:pPr>
              <w:widowControl/>
              <w:spacing w:line="480" w:lineRule="exact"/>
              <w:jc w:val="left"/>
              <w:rPr>
                <w:rFonts w:hint="eastAsia"/>
              </w:rPr>
            </w:pPr>
          </w:p>
        </w:tc>
        <w:tc>
          <w:tcPr>
            <w:tcW w:w="382" w:type="pct"/>
            <w:vMerge w:val="continue"/>
            <w:vAlign w:val="center"/>
          </w:tcPr>
          <w:p>
            <w:pPr>
              <w:widowControl/>
              <w:spacing w:line="480" w:lineRule="exact"/>
              <w:jc w:val="left"/>
              <w:rPr>
                <w:rFonts w:hint="eastAsia"/>
                <w:bCs/>
                <w:kern w:val="0"/>
                <w:szCs w:val="21"/>
                <w:lang w:val="en-US" w:eastAsia="zh-CN" w:bidi="ar-SA"/>
              </w:rPr>
            </w:pPr>
          </w:p>
        </w:tc>
        <w:tc>
          <w:tcPr>
            <w:tcW w:w="928" w:type="pct"/>
            <w:tcMar>
              <w:left w:w="75" w:type="dxa"/>
            </w:tcMar>
            <w:vAlign w:val="center"/>
          </w:tcPr>
          <w:p>
            <w:pPr>
              <w:widowControl/>
              <w:adjustRightInd w:val="0"/>
              <w:snapToGrid w:val="0"/>
              <w:spacing w:line="480" w:lineRule="exact"/>
              <w:jc w:val="center"/>
              <w:rPr>
                <w:color w:val="000000"/>
              </w:rPr>
            </w:pPr>
            <w:r>
              <w:rPr>
                <w:rFonts w:hint="eastAsia"/>
                <w:color w:val="000000"/>
              </w:rPr>
              <w:t>交货地点</w:t>
            </w:r>
          </w:p>
        </w:tc>
        <w:tc>
          <w:tcPr>
            <w:tcW w:w="3304" w:type="pct"/>
            <w:tcMar>
              <w:left w:w="75" w:type="dxa"/>
            </w:tcMar>
            <w:vAlign w:val="center"/>
          </w:tcPr>
          <w:p>
            <w:pPr>
              <w:spacing w:line="480" w:lineRule="exact"/>
              <w:jc w:val="left"/>
              <w:rPr>
                <w:rFonts w:hint="eastAsia"/>
                <w:color w:val="000000"/>
              </w:rPr>
            </w:pPr>
            <w:r>
              <w:rPr>
                <w:color w:val="000000"/>
              </w:rPr>
              <w:t>符合第二章</w:t>
            </w:r>
            <w:r>
              <w:rPr>
                <w:rFonts w:hint="eastAsia"/>
                <w:kern w:val="0"/>
                <w:szCs w:val="21"/>
                <w:lang w:val="en-US" w:eastAsia="zh-CN" w:bidi="ar-SA"/>
              </w:rPr>
              <w:t>“投标人须知”</w:t>
            </w:r>
            <w:r>
              <w:rPr>
                <w:color w:val="000000"/>
              </w:rPr>
              <w:t>第1.3.</w:t>
            </w:r>
            <w:r>
              <w:rPr>
                <w:rFonts w:hint="eastAsia"/>
                <w:color w:val="000000"/>
              </w:rPr>
              <w:t>3</w:t>
            </w:r>
            <w:r>
              <w:rPr>
                <w:color w:val="000000"/>
              </w:rPr>
              <w:t>项规定</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vAlign w:val="center"/>
          </w:tcPr>
          <w:p>
            <w:pPr>
              <w:widowControl/>
              <w:spacing w:line="480" w:lineRule="exact"/>
              <w:jc w:val="left"/>
              <w:rPr>
                <w:rFonts w:hint="eastAsia"/>
              </w:rPr>
            </w:pPr>
          </w:p>
        </w:tc>
        <w:tc>
          <w:tcPr>
            <w:tcW w:w="382" w:type="pct"/>
            <w:vMerge w:val="continue"/>
            <w:vAlign w:val="center"/>
          </w:tcPr>
          <w:p>
            <w:pPr>
              <w:widowControl/>
              <w:spacing w:line="480" w:lineRule="exact"/>
              <w:jc w:val="left"/>
              <w:rPr>
                <w:rFonts w:hint="eastAsia"/>
                <w:bCs/>
                <w:kern w:val="0"/>
                <w:szCs w:val="21"/>
                <w:lang w:val="en-US" w:eastAsia="zh-CN" w:bidi="ar-SA"/>
              </w:rPr>
            </w:pPr>
          </w:p>
        </w:tc>
        <w:tc>
          <w:tcPr>
            <w:tcW w:w="928" w:type="pct"/>
            <w:tcMar>
              <w:left w:w="75" w:type="dxa"/>
            </w:tcMar>
            <w:vAlign w:val="center"/>
          </w:tcPr>
          <w:p>
            <w:pPr>
              <w:spacing w:line="480" w:lineRule="exact"/>
              <w:jc w:val="center"/>
              <w:rPr>
                <w:rFonts w:hint="eastAsia"/>
                <w:color w:val="000000"/>
              </w:rPr>
            </w:pPr>
            <w:r>
              <w:rPr>
                <w:rFonts w:hint="eastAsia"/>
                <w:color w:val="000000"/>
              </w:rPr>
              <w:t>技术性能指标</w:t>
            </w:r>
          </w:p>
        </w:tc>
        <w:tc>
          <w:tcPr>
            <w:tcW w:w="3304" w:type="pct"/>
            <w:tcMar>
              <w:left w:w="75" w:type="dxa"/>
            </w:tcMar>
            <w:vAlign w:val="center"/>
          </w:tcPr>
          <w:p>
            <w:pPr>
              <w:spacing w:line="480" w:lineRule="exact"/>
              <w:jc w:val="left"/>
              <w:rPr>
                <w:rFonts w:hint="eastAsia"/>
                <w:color w:val="000000"/>
              </w:rPr>
            </w:pPr>
            <w:r>
              <w:rPr>
                <w:color w:val="000000"/>
              </w:rPr>
              <w:t>符合第二章</w:t>
            </w:r>
            <w:r>
              <w:rPr>
                <w:rFonts w:hint="eastAsia"/>
                <w:kern w:val="0"/>
                <w:szCs w:val="21"/>
                <w:lang w:val="en-US" w:eastAsia="zh-CN" w:bidi="ar-SA"/>
              </w:rPr>
              <w:t>“投标人须知”</w:t>
            </w:r>
            <w:r>
              <w:rPr>
                <w:color w:val="000000"/>
              </w:rPr>
              <w:t>第1.3.</w:t>
            </w:r>
            <w:r>
              <w:rPr>
                <w:rFonts w:hint="eastAsia"/>
                <w:color w:val="000000"/>
              </w:rPr>
              <w:t>4</w:t>
            </w:r>
            <w:r>
              <w:rPr>
                <w:color w:val="000000"/>
              </w:rPr>
              <w:t>项规定</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vAlign w:val="center"/>
          </w:tcPr>
          <w:p>
            <w:pPr>
              <w:widowControl/>
              <w:spacing w:line="480" w:lineRule="exact"/>
              <w:jc w:val="left"/>
              <w:rPr>
                <w:rFonts w:hint="eastAsia"/>
              </w:rPr>
            </w:pPr>
          </w:p>
        </w:tc>
        <w:tc>
          <w:tcPr>
            <w:tcW w:w="382" w:type="pct"/>
            <w:vMerge w:val="continue"/>
            <w:vAlign w:val="center"/>
          </w:tcPr>
          <w:p>
            <w:pPr>
              <w:widowControl/>
              <w:spacing w:line="480" w:lineRule="exact"/>
              <w:jc w:val="left"/>
              <w:rPr>
                <w:rFonts w:hint="eastAsia"/>
                <w:bCs/>
                <w:kern w:val="0"/>
                <w:szCs w:val="21"/>
                <w:lang w:val="en-US" w:eastAsia="zh-CN" w:bidi="ar-SA"/>
              </w:rPr>
            </w:pPr>
          </w:p>
        </w:tc>
        <w:tc>
          <w:tcPr>
            <w:tcW w:w="928" w:type="pct"/>
            <w:tcMar>
              <w:left w:w="75" w:type="dxa"/>
            </w:tcMar>
            <w:vAlign w:val="center"/>
          </w:tcPr>
          <w:p>
            <w:pPr>
              <w:widowControl/>
              <w:spacing w:line="480" w:lineRule="exact"/>
              <w:jc w:val="center"/>
              <w:rPr>
                <w:rFonts w:hint="eastAsia"/>
                <w:kern w:val="0"/>
                <w:szCs w:val="21"/>
                <w:lang w:val="en-US" w:eastAsia="zh-CN" w:bidi="ar-SA"/>
              </w:rPr>
            </w:pPr>
            <w:r>
              <w:rPr>
                <w:rFonts w:hint="eastAsia"/>
                <w:kern w:val="0"/>
                <w:szCs w:val="21"/>
                <w:lang w:val="en-US" w:eastAsia="zh-CN" w:bidi="ar-SA"/>
              </w:rPr>
              <w:t>投标有效期</w:t>
            </w:r>
          </w:p>
        </w:tc>
        <w:tc>
          <w:tcPr>
            <w:tcW w:w="3304" w:type="pct"/>
            <w:tcMar>
              <w:left w:w="75" w:type="dxa"/>
            </w:tcMar>
            <w:vAlign w:val="center"/>
          </w:tcPr>
          <w:p>
            <w:pPr>
              <w:spacing w:line="480" w:lineRule="exact"/>
              <w:rPr>
                <w:rFonts w:hint="eastAsia"/>
                <w:kern w:val="0"/>
                <w:szCs w:val="21"/>
                <w:lang w:val="en-US" w:bidi="ar-SA"/>
              </w:rPr>
            </w:pPr>
            <w:r>
              <w:rPr>
                <w:kern w:val="0"/>
                <w:szCs w:val="21"/>
                <w:lang w:val="en-US" w:eastAsia="zh-CN" w:bidi="ar-SA"/>
              </w:rPr>
              <w:t>符合第二章</w:t>
            </w:r>
            <w:r>
              <w:rPr>
                <w:rFonts w:hint="eastAsia"/>
                <w:kern w:val="0"/>
                <w:szCs w:val="21"/>
                <w:lang w:val="en-US" w:eastAsia="zh-CN" w:bidi="ar-SA"/>
              </w:rPr>
              <w:t>“投标人须知”</w:t>
            </w:r>
            <w:r>
              <w:rPr>
                <w:kern w:val="0"/>
                <w:szCs w:val="21"/>
                <w:lang w:val="en-US" w:eastAsia="zh-CN" w:bidi="ar-SA"/>
              </w:rPr>
              <w:t>第3.3.1项规定</w:t>
            </w:r>
            <w:r>
              <w:rPr>
                <w:rFonts w:hint="eastAsia"/>
                <w:kern w:val="0"/>
                <w:szCs w:val="21"/>
                <w:lang w:val="en-US"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vAlign w:val="center"/>
          </w:tcPr>
          <w:p>
            <w:pPr>
              <w:widowControl/>
              <w:spacing w:line="480" w:lineRule="exact"/>
              <w:jc w:val="left"/>
              <w:rPr>
                <w:kern w:val="0"/>
                <w:szCs w:val="21"/>
                <w:lang w:val="en-US" w:eastAsia="zh-CN" w:bidi="ar-SA"/>
              </w:rPr>
            </w:pPr>
          </w:p>
        </w:tc>
        <w:tc>
          <w:tcPr>
            <w:tcW w:w="382" w:type="pct"/>
            <w:vMerge w:val="continue"/>
            <w:vAlign w:val="center"/>
          </w:tcPr>
          <w:p>
            <w:pPr>
              <w:widowControl/>
              <w:spacing w:line="480" w:lineRule="exact"/>
              <w:jc w:val="left"/>
              <w:rPr>
                <w:kern w:val="0"/>
                <w:szCs w:val="21"/>
                <w:lang w:val="en-US" w:eastAsia="zh-CN" w:bidi="ar-SA"/>
              </w:rPr>
            </w:pPr>
          </w:p>
        </w:tc>
        <w:tc>
          <w:tcPr>
            <w:tcW w:w="928" w:type="pct"/>
            <w:tcMar>
              <w:left w:w="75" w:type="dxa"/>
            </w:tcMar>
            <w:vAlign w:val="center"/>
          </w:tcPr>
          <w:p>
            <w:pPr>
              <w:widowControl/>
              <w:spacing w:line="480" w:lineRule="exact"/>
              <w:jc w:val="center"/>
              <w:rPr>
                <w:rFonts w:hint="eastAsia"/>
                <w:kern w:val="0"/>
                <w:szCs w:val="21"/>
                <w:lang w:val="en-US" w:eastAsia="zh-CN" w:bidi="ar-SA"/>
              </w:rPr>
            </w:pPr>
            <w:r>
              <w:rPr>
                <w:rFonts w:hint="eastAsia"/>
                <w:kern w:val="0"/>
                <w:szCs w:val="21"/>
                <w:lang w:val="en-US" w:eastAsia="zh-CN" w:bidi="ar-SA"/>
              </w:rPr>
              <w:t>投标保证金</w:t>
            </w:r>
          </w:p>
        </w:tc>
        <w:tc>
          <w:tcPr>
            <w:tcW w:w="3304" w:type="pct"/>
            <w:tcMar>
              <w:left w:w="75" w:type="dxa"/>
            </w:tcMar>
            <w:vAlign w:val="center"/>
          </w:tcPr>
          <w:p>
            <w:pPr>
              <w:spacing w:line="480" w:lineRule="exact"/>
              <w:jc w:val="left"/>
              <w:rPr>
                <w:rFonts w:hint="eastAsia"/>
                <w:color w:val="000000"/>
                <w:lang w:val="en-US"/>
              </w:rPr>
            </w:pPr>
            <w:r>
              <w:rPr>
                <w:rFonts w:hint="eastAsia"/>
                <w:color w:val="000000"/>
                <w:lang w:val="en-US" w:eastAsia="zh-CN"/>
              </w:rPr>
              <w:t>符合第二章“投标人须知”第3.4.1项规定</w:t>
            </w:r>
            <w:r>
              <w:rPr>
                <w:rFonts w:hint="eastAsia"/>
                <w:color w:val="00000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vAlign w:val="center"/>
          </w:tcPr>
          <w:p>
            <w:pPr>
              <w:widowControl/>
              <w:spacing w:line="480" w:lineRule="exact"/>
              <w:jc w:val="left"/>
              <w:rPr>
                <w:kern w:val="0"/>
                <w:szCs w:val="21"/>
                <w:lang w:val="en-US" w:eastAsia="zh-CN" w:bidi="ar-SA"/>
              </w:rPr>
            </w:pPr>
          </w:p>
        </w:tc>
        <w:tc>
          <w:tcPr>
            <w:tcW w:w="382" w:type="pct"/>
            <w:vMerge w:val="continue"/>
            <w:vAlign w:val="center"/>
          </w:tcPr>
          <w:p>
            <w:pPr>
              <w:widowControl/>
              <w:spacing w:line="480" w:lineRule="exact"/>
              <w:jc w:val="left"/>
              <w:rPr>
                <w:kern w:val="0"/>
                <w:szCs w:val="21"/>
                <w:lang w:val="en-US" w:eastAsia="zh-CN" w:bidi="ar-SA"/>
              </w:rPr>
            </w:pPr>
          </w:p>
        </w:tc>
        <w:tc>
          <w:tcPr>
            <w:tcW w:w="928" w:type="pct"/>
            <w:tcMar>
              <w:left w:w="75" w:type="dxa"/>
            </w:tcMar>
            <w:vAlign w:val="center"/>
          </w:tcPr>
          <w:p>
            <w:pPr>
              <w:widowControl/>
              <w:spacing w:line="480" w:lineRule="exact"/>
              <w:jc w:val="center"/>
              <w:rPr>
                <w:rFonts w:hint="eastAsia"/>
                <w:kern w:val="0"/>
                <w:szCs w:val="21"/>
                <w:lang w:val="en-US" w:eastAsia="zh-CN" w:bidi="ar-SA"/>
              </w:rPr>
            </w:pPr>
            <w:r>
              <w:rPr>
                <w:rFonts w:hint="eastAsia"/>
                <w:kern w:val="0"/>
                <w:szCs w:val="21"/>
                <w:lang w:val="en-US" w:eastAsia="zh-CN" w:bidi="ar-SA"/>
              </w:rPr>
              <w:t>权利义务</w:t>
            </w:r>
          </w:p>
        </w:tc>
        <w:tc>
          <w:tcPr>
            <w:tcW w:w="3304" w:type="pct"/>
            <w:tcMar>
              <w:left w:w="75" w:type="dxa"/>
            </w:tcMar>
            <w:vAlign w:val="center"/>
          </w:tcPr>
          <w:p>
            <w:pPr>
              <w:spacing w:line="480" w:lineRule="exact"/>
              <w:jc w:val="left"/>
              <w:rPr>
                <w:rFonts w:hint="eastAsia"/>
                <w:color w:val="000000"/>
                <w:lang w:val="en-US"/>
              </w:rPr>
            </w:pPr>
            <w:r>
              <w:rPr>
                <w:rFonts w:hint="eastAsia"/>
                <w:color w:val="000000"/>
              </w:rPr>
              <w:t>符合第二章</w:t>
            </w:r>
            <w:r>
              <w:rPr>
                <w:color w:val="000000"/>
              </w:rPr>
              <w:t>“</w:t>
            </w:r>
            <w:r>
              <w:rPr>
                <w:rFonts w:hint="eastAsia"/>
                <w:color w:val="000000"/>
              </w:rPr>
              <w:t>投标人须知</w:t>
            </w:r>
            <w:r>
              <w:rPr>
                <w:color w:val="000000"/>
              </w:rPr>
              <w:t>”</w:t>
            </w:r>
            <w:r>
              <w:rPr>
                <w:rFonts w:hint="eastAsia"/>
                <w:color w:val="000000"/>
              </w:rPr>
              <w:t>第</w:t>
            </w:r>
            <w:r>
              <w:rPr>
                <w:color w:val="000000"/>
              </w:rPr>
              <w:t>1.1</w:t>
            </w:r>
            <w:r>
              <w:rPr>
                <w:rFonts w:hint="eastAsia"/>
                <w:color w:val="000000"/>
              </w:rPr>
              <w:t>2</w:t>
            </w:r>
            <w:r>
              <w:rPr>
                <w:color w:val="000000"/>
              </w:rPr>
              <w:t>.1</w:t>
            </w:r>
            <w:r>
              <w:rPr>
                <w:rFonts w:hint="eastAsia"/>
                <w:color w:val="000000"/>
              </w:rPr>
              <w:t>项规定和第四章</w:t>
            </w:r>
            <w:r>
              <w:rPr>
                <w:color w:val="000000"/>
              </w:rPr>
              <w:t>“</w:t>
            </w:r>
            <w:r>
              <w:rPr>
                <w:rFonts w:hint="eastAsia"/>
                <w:color w:val="000000"/>
              </w:rPr>
              <w:t>合同条款及格式</w:t>
            </w:r>
            <w:r>
              <w:rPr>
                <w:color w:val="000000"/>
              </w:rPr>
              <w:t>”</w:t>
            </w:r>
            <w:r>
              <w:rPr>
                <w:rFonts w:hint="eastAsia"/>
                <w:color w:val="000000"/>
              </w:rPr>
              <w:t>中的实质性要求和条件。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vAlign w:val="center"/>
          </w:tcPr>
          <w:p>
            <w:pPr>
              <w:widowControl/>
              <w:spacing w:line="480" w:lineRule="exact"/>
              <w:jc w:val="left"/>
              <w:rPr>
                <w:kern w:val="0"/>
                <w:szCs w:val="21"/>
                <w:lang w:val="en-US" w:eastAsia="zh-CN" w:bidi="ar-SA"/>
              </w:rPr>
            </w:pPr>
          </w:p>
        </w:tc>
        <w:tc>
          <w:tcPr>
            <w:tcW w:w="382" w:type="pct"/>
            <w:vMerge w:val="continue"/>
            <w:vAlign w:val="center"/>
          </w:tcPr>
          <w:p>
            <w:pPr>
              <w:widowControl/>
              <w:spacing w:line="480" w:lineRule="exact"/>
              <w:jc w:val="left"/>
              <w:rPr>
                <w:kern w:val="0"/>
                <w:szCs w:val="21"/>
                <w:lang w:val="en-US" w:eastAsia="zh-CN" w:bidi="ar-SA"/>
              </w:rPr>
            </w:pPr>
          </w:p>
        </w:tc>
        <w:tc>
          <w:tcPr>
            <w:tcW w:w="928" w:type="pct"/>
            <w:tcMar>
              <w:left w:w="75" w:type="dxa"/>
            </w:tcMar>
            <w:vAlign w:val="center"/>
          </w:tcPr>
          <w:p>
            <w:pPr>
              <w:widowControl/>
              <w:adjustRightInd w:val="0"/>
              <w:snapToGrid w:val="0"/>
              <w:spacing w:line="480" w:lineRule="exact"/>
              <w:jc w:val="center"/>
              <w:rPr>
                <w:rFonts w:hint="eastAsia"/>
                <w:color w:val="000000"/>
                <w:highlight w:val="yellow"/>
                <w:lang w:bidi="ar-SA"/>
              </w:rPr>
            </w:pPr>
            <w:r>
              <w:rPr>
                <w:rFonts w:hint="eastAsia"/>
                <w:color w:val="000000"/>
                <w:lang w:bidi="ar-SA"/>
              </w:rPr>
              <w:t>招标文件的获取</w:t>
            </w:r>
          </w:p>
        </w:tc>
        <w:tc>
          <w:tcPr>
            <w:tcW w:w="3304" w:type="pct"/>
            <w:tcMar>
              <w:left w:w="75" w:type="dxa"/>
            </w:tcMar>
            <w:vAlign w:val="center"/>
          </w:tcPr>
          <w:p>
            <w:pPr>
              <w:spacing w:line="480" w:lineRule="exact"/>
              <w:jc w:val="left"/>
              <w:rPr>
                <w:rFonts w:hint="eastAsia"/>
                <w:color w:val="000000"/>
                <w:lang w:val="en-US"/>
              </w:rPr>
            </w:pPr>
            <w:r>
              <w:rPr>
                <w:rFonts w:hint="eastAsia"/>
                <w:color w:val="000000"/>
                <w:lang w:val="en-US" w:eastAsia="zh-CN"/>
              </w:rPr>
              <w:t>符合第一章“招标公告”要求</w:t>
            </w:r>
            <w:r>
              <w:rPr>
                <w:rFonts w:hint="eastAsia"/>
                <w:color w:val="00000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vAlign w:val="center"/>
          </w:tcPr>
          <w:p>
            <w:pPr>
              <w:widowControl/>
              <w:spacing w:line="480" w:lineRule="exact"/>
              <w:jc w:val="left"/>
              <w:rPr>
                <w:kern w:val="0"/>
                <w:szCs w:val="21"/>
                <w:lang w:val="en-US" w:eastAsia="zh-CN" w:bidi="ar-SA"/>
              </w:rPr>
            </w:pPr>
          </w:p>
        </w:tc>
        <w:tc>
          <w:tcPr>
            <w:tcW w:w="382" w:type="pct"/>
            <w:vMerge w:val="continue"/>
            <w:vAlign w:val="center"/>
          </w:tcPr>
          <w:p>
            <w:pPr>
              <w:widowControl/>
              <w:spacing w:line="480" w:lineRule="exact"/>
              <w:jc w:val="left"/>
              <w:rPr>
                <w:kern w:val="0"/>
                <w:szCs w:val="21"/>
                <w:lang w:val="en-US" w:eastAsia="zh-CN" w:bidi="ar-SA"/>
              </w:rPr>
            </w:pPr>
          </w:p>
        </w:tc>
        <w:tc>
          <w:tcPr>
            <w:tcW w:w="928" w:type="pct"/>
            <w:tcMar>
              <w:left w:w="75" w:type="dxa"/>
            </w:tcMar>
            <w:vAlign w:val="center"/>
          </w:tcPr>
          <w:p>
            <w:pPr>
              <w:widowControl/>
              <w:adjustRightInd w:val="0"/>
              <w:snapToGrid w:val="0"/>
              <w:spacing w:line="480" w:lineRule="exact"/>
              <w:jc w:val="center"/>
              <w:rPr>
                <w:rFonts w:hint="eastAsia"/>
                <w:color w:val="000000"/>
                <w:lang w:bidi="ar-SA"/>
              </w:rPr>
            </w:pPr>
            <w:r>
              <w:rPr>
                <w:color w:val="000000"/>
              </w:rPr>
              <w:t>投标货物及技术服务和质保期服务</w:t>
            </w:r>
          </w:p>
        </w:tc>
        <w:tc>
          <w:tcPr>
            <w:tcW w:w="3304" w:type="pct"/>
            <w:tcMar>
              <w:left w:w="75" w:type="dxa"/>
            </w:tcMar>
            <w:vAlign w:val="center"/>
          </w:tcPr>
          <w:p>
            <w:pPr>
              <w:spacing w:line="480" w:lineRule="exact"/>
              <w:jc w:val="left"/>
              <w:rPr>
                <w:rFonts w:hint="eastAsia"/>
                <w:color w:val="000000"/>
                <w:lang w:val="en-US"/>
              </w:rPr>
            </w:pPr>
            <w:r>
              <w:rPr>
                <w:color w:val="000000"/>
              </w:rPr>
              <w:t>符合第五章</w:t>
            </w:r>
            <w:r>
              <w:rPr>
                <w:rFonts w:hint="eastAsia"/>
                <w:color w:val="000000"/>
              </w:rPr>
              <w:t>“</w:t>
            </w:r>
            <w:r>
              <w:rPr>
                <w:color w:val="000000"/>
              </w:rPr>
              <w:t>供货要求</w:t>
            </w:r>
            <w:r>
              <w:rPr>
                <w:rFonts w:hint="eastAsia"/>
                <w:color w:val="000000"/>
              </w:rPr>
              <w:t>”</w:t>
            </w:r>
            <w:r>
              <w:rPr>
                <w:color w:val="000000"/>
              </w:rPr>
              <w:t>中的实质性要求和条件</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vAlign w:val="center"/>
          </w:tcPr>
          <w:p>
            <w:pPr>
              <w:widowControl/>
              <w:spacing w:line="480" w:lineRule="exact"/>
              <w:jc w:val="left"/>
              <w:rPr>
                <w:kern w:val="0"/>
                <w:szCs w:val="21"/>
                <w:lang w:val="en-US" w:eastAsia="zh-CN" w:bidi="ar-SA"/>
              </w:rPr>
            </w:pPr>
          </w:p>
        </w:tc>
        <w:tc>
          <w:tcPr>
            <w:tcW w:w="382" w:type="pct"/>
            <w:vMerge w:val="continue"/>
            <w:vAlign w:val="center"/>
          </w:tcPr>
          <w:p>
            <w:pPr>
              <w:widowControl/>
              <w:spacing w:line="480" w:lineRule="exact"/>
              <w:jc w:val="left"/>
              <w:rPr>
                <w:kern w:val="0"/>
                <w:szCs w:val="21"/>
                <w:lang w:val="en-US" w:eastAsia="zh-CN" w:bidi="ar-SA"/>
              </w:rPr>
            </w:pPr>
          </w:p>
        </w:tc>
        <w:tc>
          <w:tcPr>
            <w:tcW w:w="928" w:type="pct"/>
            <w:tcMar>
              <w:left w:w="75" w:type="dxa"/>
            </w:tcMar>
            <w:vAlign w:val="center"/>
          </w:tcPr>
          <w:p>
            <w:pPr>
              <w:widowControl/>
              <w:adjustRightInd w:val="0"/>
              <w:snapToGrid w:val="0"/>
              <w:spacing w:line="480" w:lineRule="exact"/>
              <w:jc w:val="center"/>
              <w:rPr>
                <w:rFonts w:hint="eastAsia"/>
                <w:color w:val="000000"/>
                <w:lang w:bidi="ar-SA"/>
              </w:rPr>
            </w:pPr>
            <w:r>
              <w:rPr>
                <w:color w:val="000000"/>
              </w:rPr>
              <w:t>技术支持资料</w:t>
            </w:r>
          </w:p>
        </w:tc>
        <w:tc>
          <w:tcPr>
            <w:tcW w:w="3304" w:type="pct"/>
            <w:tcMar>
              <w:left w:w="75" w:type="dxa"/>
            </w:tcMar>
            <w:vAlign w:val="center"/>
          </w:tcPr>
          <w:p>
            <w:pPr>
              <w:widowControl/>
              <w:spacing w:line="480" w:lineRule="exact"/>
              <w:rPr>
                <w:rFonts w:hint="eastAsia"/>
                <w:color w:val="000000"/>
                <w:kern w:val="0"/>
                <w:szCs w:val="21"/>
                <w:lang w:val="en-US" w:bidi="ar-SA"/>
              </w:rPr>
            </w:pPr>
            <w:r>
              <w:rPr>
                <w:color w:val="000000"/>
              </w:rPr>
              <w:t>符合第二章</w:t>
            </w:r>
            <w:r>
              <w:rPr>
                <w:rFonts w:hint="eastAsia"/>
                <w:kern w:val="0"/>
                <w:szCs w:val="21"/>
                <w:lang w:val="en-US" w:eastAsia="zh-CN" w:bidi="ar-SA"/>
              </w:rPr>
              <w:t>“投标人须知”</w:t>
            </w:r>
            <w:r>
              <w:rPr>
                <w:color w:val="000000"/>
              </w:rPr>
              <w:t>第1.1</w:t>
            </w:r>
            <w:r>
              <w:rPr>
                <w:rFonts w:hint="eastAsia"/>
                <w:color w:val="000000"/>
              </w:rPr>
              <w:t>2</w:t>
            </w:r>
            <w:r>
              <w:rPr>
                <w:color w:val="000000"/>
              </w:rPr>
              <w:t>.3项规定</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vAlign w:val="center"/>
          </w:tcPr>
          <w:p>
            <w:pPr>
              <w:widowControl/>
              <w:spacing w:line="480" w:lineRule="exact"/>
              <w:jc w:val="left"/>
              <w:rPr>
                <w:kern w:val="0"/>
                <w:szCs w:val="21"/>
                <w:lang w:val="en-US" w:eastAsia="zh-CN" w:bidi="ar-SA"/>
              </w:rPr>
            </w:pPr>
          </w:p>
        </w:tc>
        <w:tc>
          <w:tcPr>
            <w:tcW w:w="382" w:type="pct"/>
            <w:vMerge w:val="continue"/>
            <w:vAlign w:val="center"/>
          </w:tcPr>
          <w:p>
            <w:pPr>
              <w:widowControl/>
              <w:spacing w:line="480" w:lineRule="exact"/>
              <w:jc w:val="left"/>
              <w:rPr>
                <w:kern w:val="0"/>
                <w:szCs w:val="21"/>
                <w:lang w:val="en-US" w:eastAsia="zh-CN" w:bidi="ar-SA"/>
              </w:rPr>
            </w:pPr>
          </w:p>
        </w:tc>
        <w:tc>
          <w:tcPr>
            <w:tcW w:w="928" w:type="pct"/>
            <w:tcMar>
              <w:left w:w="75" w:type="dxa"/>
            </w:tcMar>
            <w:vAlign w:val="center"/>
          </w:tcPr>
          <w:p>
            <w:pPr>
              <w:widowControl/>
              <w:spacing w:line="480" w:lineRule="exact"/>
              <w:jc w:val="center"/>
              <w:rPr>
                <w:rFonts w:hint="eastAsia"/>
                <w:kern w:val="0"/>
                <w:szCs w:val="21"/>
                <w:lang w:val="en-US" w:eastAsia="zh-CN" w:bidi="ar-SA"/>
              </w:rPr>
            </w:pPr>
            <w:r>
              <w:rPr>
                <w:rFonts w:hint="eastAsia"/>
                <w:kern w:val="0"/>
                <w:szCs w:val="21"/>
                <w:lang w:val="en-US" w:eastAsia="zh-CN" w:bidi="ar-SA"/>
              </w:rPr>
              <w:t>其他实质性要求</w:t>
            </w:r>
          </w:p>
        </w:tc>
        <w:tc>
          <w:tcPr>
            <w:tcW w:w="3304" w:type="pct"/>
            <w:tcMar>
              <w:left w:w="75" w:type="dxa"/>
            </w:tcMar>
            <w:vAlign w:val="center"/>
          </w:tcPr>
          <w:p>
            <w:pPr>
              <w:widowControl/>
              <w:spacing w:line="480" w:lineRule="exact"/>
              <w:jc w:val="left"/>
              <w:rPr>
                <w:rFonts w:hint="eastAsia"/>
                <w:kern w:val="0"/>
                <w:szCs w:val="21"/>
                <w:lang w:val="en-US" w:bidi="ar-SA"/>
              </w:rPr>
            </w:pPr>
            <w:r>
              <w:rPr>
                <w:rFonts w:hint="eastAsia"/>
                <w:kern w:val="0"/>
                <w:szCs w:val="21"/>
                <w:lang w:val="en-US" w:eastAsia="zh-CN" w:bidi="ar-SA"/>
              </w:rPr>
              <w:t>投标文件对招标文件的其他实质性要求和条件作出响应</w:t>
            </w:r>
            <w:r>
              <w:rPr>
                <w:rFonts w:hint="eastAsia"/>
                <w:kern w:val="0"/>
                <w:szCs w:val="21"/>
                <w:lang w:val="en-US" w:bidi="ar-SA"/>
              </w:rPr>
              <w:t>。</w:t>
            </w:r>
          </w:p>
        </w:tc>
      </w:tr>
    </w:tbl>
    <w:p>
      <w:pPr>
        <w:rPr>
          <w:rFonts w:hint="eastAsia"/>
          <w:lang w:val="en-US" w:eastAsia="zh-CN"/>
        </w:rPr>
      </w:pPr>
    </w:p>
    <w:p>
      <w:pPr>
        <w:keepNext/>
        <w:keepLines/>
        <w:spacing w:before="120" w:after="120" w:line="360" w:lineRule="auto"/>
        <w:jc w:val="center"/>
        <w:outlineLvl w:val="2"/>
        <w:rPr>
          <w:rFonts w:hint="eastAsia" w:eastAsia="黑体"/>
          <w:bCs/>
          <w:sz w:val="24"/>
        </w:rPr>
        <w:sectPr>
          <w:footnotePr>
            <w:numFmt w:val="decimalEnclosedCircleChinese"/>
            <w:numRestart w:val="eachPage"/>
          </w:footnotePr>
          <w:pgSz w:w="11907" w:h="16840"/>
          <w:pgMar w:top="1440" w:right="1080" w:bottom="1440" w:left="1080" w:header="799" w:footer="907" w:gutter="0"/>
          <w:cols w:space="720" w:num="1"/>
          <w:titlePg/>
          <w:docGrid w:linePitch="286" w:charSpace="0"/>
        </w:sectPr>
      </w:pPr>
    </w:p>
    <w:p>
      <w:pPr>
        <w:keepNext/>
        <w:keepLines/>
        <w:spacing w:before="120" w:after="120" w:line="360" w:lineRule="auto"/>
        <w:jc w:val="center"/>
        <w:outlineLvl w:val="2"/>
        <w:rPr>
          <w:rFonts w:hint="eastAsia" w:eastAsia="黑体"/>
          <w:sz w:val="24"/>
        </w:rPr>
      </w:pPr>
      <w:r>
        <w:rPr>
          <w:rFonts w:hint="eastAsia" w:eastAsia="黑体"/>
          <w:bCs/>
          <w:sz w:val="24"/>
        </w:rPr>
        <w:t>报价文件评审标准</w:t>
      </w:r>
    </w:p>
    <w:tbl>
      <w:tblPr>
        <w:tblStyle w:val="55"/>
        <w:tblW w:w="9619" w:type="dxa"/>
        <w:jc w:val="center"/>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73"/>
        <w:gridCol w:w="691"/>
        <w:gridCol w:w="1732"/>
        <w:gridCol w:w="6523"/>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567" w:hRule="atLeast"/>
          <w:tblHeader/>
          <w:jc w:val="center"/>
        </w:trPr>
        <w:tc>
          <w:tcPr>
            <w:tcW w:w="1364" w:type="dxa"/>
            <w:gridSpan w:val="2"/>
            <w:tcBorders>
              <w:top w:val="outset" w:color="auto" w:sz="6" w:space="0"/>
              <w:left w:val="outset" w:color="auto" w:sz="6" w:space="0"/>
              <w:bottom w:val="outset" w:color="auto" w:sz="6" w:space="0"/>
              <w:right w:val="single" w:color="auto" w:sz="4" w:space="0"/>
            </w:tcBorders>
            <w:vAlign w:val="center"/>
          </w:tcPr>
          <w:p>
            <w:pPr>
              <w:widowControl/>
              <w:spacing w:line="480" w:lineRule="exact"/>
              <w:jc w:val="center"/>
              <w:rPr>
                <w:kern w:val="0"/>
                <w:szCs w:val="21"/>
              </w:rPr>
            </w:pPr>
            <w:r>
              <w:rPr>
                <w:b/>
                <w:bCs/>
                <w:kern w:val="0"/>
                <w:szCs w:val="21"/>
              </w:rPr>
              <w:t>条款号</w:t>
            </w:r>
          </w:p>
        </w:tc>
        <w:tc>
          <w:tcPr>
            <w:tcW w:w="1732" w:type="dxa"/>
            <w:tcBorders>
              <w:top w:val="outset" w:color="auto" w:sz="6" w:space="0"/>
              <w:left w:val="single" w:color="auto" w:sz="4" w:space="0"/>
              <w:bottom w:val="outset" w:color="auto" w:sz="6" w:space="0"/>
              <w:right w:val="single" w:color="auto" w:sz="4" w:space="0"/>
            </w:tcBorders>
            <w:vAlign w:val="center"/>
          </w:tcPr>
          <w:p>
            <w:pPr>
              <w:widowControl/>
              <w:spacing w:line="480" w:lineRule="exact"/>
              <w:ind w:firstLine="105" w:firstLineChars="50"/>
              <w:jc w:val="center"/>
              <w:rPr>
                <w:kern w:val="0"/>
                <w:szCs w:val="21"/>
              </w:rPr>
            </w:pPr>
            <w:r>
              <w:rPr>
                <w:b/>
                <w:bCs/>
                <w:kern w:val="0"/>
                <w:szCs w:val="21"/>
              </w:rPr>
              <w:t>评审因素</w:t>
            </w:r>
          </w:p>
        </w:tc>
        <w:tc>
          <w:tcPr>
            <w:tcW w:w="6523" w:type="dxa"/>
            <w:tcBorders>
              <w:top w:val="outset" w:color="auto" w:sz="6" w:space="0"/>
              <w:left w:val="single" w:color="auto" w:sz="4" w:space="0"/>
              <w:bottom w:val="outset" w:color="auto" w:sz="6" w:space="0"/>
              <w:right w:val="outset" w:color="auto" w:sz="6" w:space="0"/>
            </w:tcBorders>
            <w:vAlign w:val="center"/>
          </w:tcPr>
          <w:p>
            <w:pPr>
              <w:widowControl/>
              <w:spacing w:line="480" w:lineRule="exact"/>
              <w:ind w:firstLine="105" w:firstLineChars="50"/>
              <w:jc w:val="center"/>
              <w:rPr>
                <w:rFonts w:hint="eastAsia"/>
                <w:kern w:val="0"/>
                <w:szCs w:val="21"/>
              </w:rPr>
            </w:pPr>
            <w:r>
              <w:rPr>
                <w:rFonts w:hint="eastAsia"/>
                <w:b/>
                <w:bCs/>
                <w:kern w:val="0"/>
                <w:szCs w:val="21"/>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673" w:type="dxa"/>
            <w:vMerge w:val="restart"/>
            <w:tcBorders>
              <w:top w:val="outset" w:color="auto" w:sz="6" w:space="0"/>
              <w:left w:val="outset" w:color="auto" w:sz="6" w:space="0"/>
              <w:right w:val="outset" w:color="auto" w:sz="6" w:space="0"/>
            </w:tcBorders>
            <w:vAlign w:val="center"/>
          </w:tcPr>
          <w:p>
            <w:pPr>
              <w:widowControl/>
              <w:spacing w:line="480" w:lineRule="exact"/>
              <w:jc w:val="center"/>
              <w:rPr>
                <w:rFonts w:hint="eastAsia"/>
                <w:kern w:val="0"/>
                <w:szCs w:val="21"/>
              </w:rPr>
            </w:pPr>
            <w:r>
              <w:rPr>
                <w:bCs/>
                <w:kern w:val="0"/>
                <w:szCs w:val="21"/>
              </w:rPr>
              <w:t>2.1.</w:t>
            </w:r>
            <w:r>
              <w:rPr>
                <w:rFonts w:hint="eastAsia"/>
                <w:bCs/>
                <w:kern w:val="0"/>
                <w:szCs w:val="21"/>
              </w:rPr>
              <w:t>1</w:t>
            </w:r>
          </w:p>
        </w:tc>
        <w:tc>
          <w:tcPr>
            <w:tcW w:w="691" w:type="dxa"/>
            <w:vMerge w:val="restart"/>
            <w:tcBorders>
              <w:top w:val="outset" w:color="auto" w:sz="6" w:space="0"/>
              <w:left w:val="outset" w:color="auto" w:sz="6" w:space="0"/>
              <w:bottom w:val="outset" w:color="auto" w:sz="6" w:space="0"/>
              <w:right w:val="single" w:color="auto" w:sz="4" w:space="0"/>
            </w:tcBorders>
            <w:vAlign w:val="center"/>
          </w:tcPr>
          <w:p>
            <w:pPr>
              <w:widowControl/>
              <w:spacing w:line="480" w:lineRule="exact"/>
              <w:jc w:val="center"/>
              <w:rPr>
                <w:kern w:val="0"/>
                <w:szCs w:val="21"/>
              </w:rPr>
            </w:pPr>
            <w:r>
              <w:rPr>
                <w:bCs/>
                <w:kern w:val="0"/>
                <w:szCs w:val="21"/>
              </w:rPr>
              <w:t>形式评审标准</w:t>
            </w:r>
          </w:p>
        </w:tc>
        <w:tc>
          <w:tcPr>
            <w:tcW w:w="1732" w:type="dxa"/>
            <w:tcBorders>
              <w:top w:val="outset" w:color="auto" w:sz="6" w:space="0"/>
              <w:left w:val="single" w:color="auto" w:sz="4" w:space="0"/>
              <w:bottom w:val="outset" w:color="auto" w:sz="6" w:space="0"/>
              <w:right w:val="outset" w:color="auto" w:sz="6" w:space="0"/>
            </w:tcBorders>
            <w:tcMar>
              <w:left w:w="75" w:type="dxa"/>
            </w:tcMar>
            <w:vAlign w:val="center"/>
          </w:tcPr>
          <w:p>
            <w:pPr>
              <w:spacing w:line="480" w:lineRule="exact"/>
              <w:jc w:val="center"/>
              <w:rPr>
                <w:rFonts w:hint="eastAsia"/>
                <w:kern w:val="0"/>
                <w:szCs w:val="21"/>
              </w:rPr>
            </w:pPr>
            <w:r>
              <w:rPr>
                <w:color w:val="000000"/>
              </w:rPr>
              <w:t>投标人名称</w:t>
            </w:r>
          </w:p>
        </w:tc>
        <w:tc>
          <w:tcPr>
            <w:tcW w:w="6523" w:type="dxa"/>
            <w:tcBorders>
              <w:top w:val="outset" w:color="auto" w:sz="6" w:space="0"/>
              <w:left w:val="outset" w:color="auto" w:sz="6" w:space="0"/>
              <w:bottom w:val="outset" w:color="auto" w:sz="6" w:space="0"/>
              <w:right w:val="outset" w:color="auto" w:sz="6" w:space="0"/>
            </w:tcBorders>
            <w:tcMar>
              <w:left w:w="75" w:type="dxa"/>
            </w:tcMar>
            <w:vAlign w:val="center"/>
          </w:tcPr>
          <w:p>
            <w:pPr>
              <w:spacing w:line="480" w:lineRule="exact"/>
              <w:rPr>
                <w:rFonts w:hint="eastAsia"/>
                <w:kern w:val="0"/>
                <w:szCs w:val="21"/>
              </w:rPr>
            </w:pPr>
            <w:r>
              <w:rPr>
                <w:color w:val="000000"/>
              </w:rPr>
              <w:t>与营业执照</w:t>
            </w:r>
            <w:r>
              <w:rPr>
                <w:rFonts w:hint="eastAsia"/>
                <w:color w:val="000000"/>
              </w:rPr>
              <w:t>（</w:t>
            </w:r>
            <w:r>
              <w:rPr>
                <w:color w:val="000000"/>
              </w:rPr>
              <w:t>事业单位法人证书</w:t>
            </w:r>
            <w:r>
              <w:rPr>
                <w:rFonts w:hint="eastAsia"/>
                <w:color w:val="000000"/>
              </w:rPr>
              <w:t>）</w:t>
            </w:r>
            <w:r>
              <w:rPr>
                <w:color w:val="000000"/>
              </w:rPr>
              <w:t>、资质证书一致</w:t>
            </w:r>
            <w:r>
              <w:rPr>
                <w:rFonts w:hint="eastAsia"/>
                <w:color w:val="000000"/>
              </w:rPr>
              <w:t>，名称变更的，应当提供证书颁发等单位提供的变更说明。</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673" w:type="dxa"/>
            <w:vMerge w:val="continue"/>
            <w:tcBorders>
              <w:left w:val="outset" w:color="auto" w:sz="6" w:space="0"/>
              <w:right w:val="outset" w:color="auto" w:sz="6" w:space="0"/>
            </w:tcBorders>
            <w:vAlign w:val="center"/>
          </w:tcPr>
          <w:p>
            <w:pPr>
              <w:widowControl/>
              <w:spacing w:line="480" w:lineRule="exact"/>
              <w:jc w:val="left"/>
              <w:rPr>
                <w:kern w:val="0"/>
                <w:szCs w:val="21"/>
              </w:rPr>
            </w:pPr>
          </w:p>
        </w:tc>
        <w:tc>
          <w:tcPr>
            <w:tcW w:w="691" w:type="dxa"/>
            <w:vMerge w:val="continue"/>
            <w:tcBorders>
              <w:top w:val="outset" w:color="auto" w:sz="6" w:space="0"/>
              <w:left w:val="outset" w:color="auto" w:sz="6" w:space="0"/>
              <w:bottom w:val="outset" w:color="auto" w:sz="6" w:space="0"/>
              <w:right w:val="single" w:color="auto" w:sz="4" w:space="0"/>
            </w:tcBorders>
            <w:vAlign w:val="center"/>
          </w:tcPr>
          <w:p>
            <w:pPr>
              <w:widowControl/>
              <w:spacing w:line="480" w:lineRule="exact"/>
              <w:jc w:val="center"/>
              <w:rPr>
                <w:kern w:val="0"/>
                <w:szCs w:val="21"/>
              </w:rPr>
            </w:pPr>
          </w:p>
        </w:tc>
        <w:tc>
          <w:tcPr>
            <w:tcW w:w="1732" w:type="dxa"/>
            <w:tcBorders>
              <w:top w:val="outset" w:color="auto" w:sz="6" w:space="0"/>
              <w:left w:val="single" w:color="auto" w:sz="4" w:space="0"/>
              <w:bottom w:val="outset" w:color="auto" w:sz="6" w:space="0"/>
              <w:right w:val="outset" w:color="auto" w:sz="6" w:space="0"/>
            </w:tcBorders>
            <w:tcMar>
              <w:left w:w="75" w:type="dxa"/>
            </w:tcMar>
            <w:vAlign w:val="center"/>
          </w:tcPr>
          <w:p>
            <w:pPr>
              <w:widowControl/>
              <w:spacing w:line="480" w:lineRule="exact"/>
              <w:jc w:val="center"/>
              <w:rPr>
                <w:rFonts w:hint="eastAsia"/>
                <w:kern w:val="0"/>
                <w:szCs w:val="21"/>
              </w:rPr>
            </w:pPr>
            <w:r>
              <w:rPr>
                <w:rFonts w:hint="eastAsia"/>
              </w:rPr>
              <w:t>投标文件格式</w:t>
            </w:r>
          </w:p>
        </w:tc>
        <w:tc>
          <w:tcPr>
            <w:tcW w:w="6523" w:type="dxa"/>
            <w:tcBorders>
              <w:top w:val="outset" w:color="auto" w:sz="6" w:space="0"/>
              <w:left w:val="outset" w:color="auto" w:sz="6" w:space="0"/>
              <w:bottom w:val="outset" w:color="auto" w:sz="6" w:space="0"/>
              <w:right w:val="outset" w:color="auto" w:sz="6" w:space="0"/>
            </w:tcBorders>
            <w:tcMar>
              <w:left w:w="75" w:type="dxa"/>
            </w:tcMar>
            <w:vAlign w:val="center"/>
          </w:tcPr>
          <w:p>
            <w:pPr>
              <w:widowControl/>
              <w:spacing w:line="480" w:lineRule="exact"/>
              <w:jc w:val="left"/>
              <w:rPr>
                <w:rFonts w:hint="eastAsia"/>
                <w:color w:val="000000"/>
                <w:kern w:val="0"/>
                <w:szCs w:val="21"/>
              </w:rPr>
            </w:pPr>
            <w:r>
              <w:rPr>
                <w:rFonts w:hint="eastAsia"/>
                <w:color w:val="000000"/>
                <w:kern w:val="0"/>
                <w:szCs w:val="21"/>
              </w:rPr>
              <w:t>（1）报价文件电子文件可以正常</w:t>
            </w:r>
            <w:r>
              <w:rPr>
                <w:color w:val="000000"/>
                <w:kern w:val="0"/>
                <w:szCs w:val="21"/>
              </w:rPr>
              <w:t>读取</w:t>
            </w:r>
            <w:r>
              <w:rPr>
                <w:rFonts w:hint="eastAsia"/>
                <w:color w:val="000000"/>
                <w:kern w:val="0"/>
                <w:szCs w:val="21"/>
              </w:rPr>
              <w:t>；</w:t>
            </w:r>
          </w:p>
          <w:p>
            <w:pPr>
              <w:widowControl/>
              <w:spacing w:line="480" w:lineRule="exact"/>
              <w:jc w:val="left"/>
              <w:rPr>
                <w:rFonts w:hint="eastAsia"/>
                <w:kern w:val="0"/>
                <w:szCs w:val="21"/>
              </w:rPr>
            </w:pPr>
            <w:r>
              <w:rPr>
                <w:rFonts w:hint="eastAsia"/>
                <w:color w:val="000000"/>
                <w:kern w:val="0"/>
                <w:szCs w:val="21"/>
              </w:rPr>
              <w:t>（2）符合第六章“投标文件格式”的规定，</w:t>
            </w:r>
            <w:r>
              <w:rPr>
                <w:color w:val="000000"/>
                <w:kern w:val="0"/>
                <w:szCs w:val="21"/>
              </w:rPr>
              <w:t>关键字迹</w:t>
            </w:r>
            <w:r>
              <w:rPr>
                <w:rFonts w:hint="eastAsia"/>
                <w:color w:val="000000"/>
                <w:kern w:val="0"/>
                <w:szCs w:val="21"/>
              </w:rPr>
              <w:t>清晰可辨。</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673" w:type="dxa"/>
            <w:vMerge w:val="continue"/>
            <w:tcBorders>
              <w:left w:val="outset" w:color="auto" w:sz="6" w:space="0"/>
              <w:right w:val="outset" w:color="auto" w:sz="6" w:space="0"/>
            </w:tcBorders>
            <w:vAlign w:val="center"/>
          </w:tcPr>
          <w:p>
            <w:pPr>
              <w:widowControl/>
              <w:spacing w:line="480" w:lineRule="exact"/>
              <w:jc w:val="left"/>
              <w:rPr>
                <w:kern w:val="0"/>
                <w:szCs w:val="21"/>
              </w:rPr>
            </w:pPr>
          </w:p>
        </w:tc>
        <w:tc>
          <w:tcPr>
            <w:tcW w:w="691" w:type="dxa"/>
            <w:vMerge w:val="continue"/>
            <w:tcBorders>
              <w:top w:val="outset" w:color="auto" w:sz="6" w:space="0"/>
              <w:left w:val="outset" w:color="auto" w:sz="6" w:space="0"/>
              <w:bottom w:val="outset" w:color="auto" w:sz="6" w:space="0"/>
              <w:right w:val="single" w:color="auto" w:sz="4" w:space="0"/>
            </w:tcBorders>
            <w:vAlign w:val="center"/>
          </w:tcPr>
          <w:p>
            <w:pPr>
              <w:widowControl/>
              <w:spacing w:line="480" w:lineRule="exact"/>
              <w:jc w:val="center"/>
              <w:rPr>
                <w:kern w:val="0"/>
                <w:szCs w:val="21"/>
              </w:rPr>
            </w:pPr>
          </w:p>
        </w:tc>
        <w:tc>
          <w:tcPr>
            <w:tcW w:w="1732" w:type="dxa"/>
            <w:tcBorders>
              <w:top w:val="outset" w:color="auto" w:sz="6" w:space="0"/>
              <w:left w:val="single" w:color="auto" w:sz="4" w:space="0"/>
              <w:bottom w:val="outset" w:color="auto" w:sz="6" w:space="0"/>
              <w:right w:val="outset" w:color="auto" w:sz="6" w:space="0"/>
            </w:tcBorders>
            <w:tcMar>
              <w:left w:w="75" w:type="dxa"/>
            </w:tcMar>
            <w:vAlign w:val="center"/>
          </w:tcPr>
          <w:p>
            <w:pPr>
              <w:widowControl/>
              <w:spacing w:line="480" w:lineRule="exact"/>
              <w:jc w:val="center"/>
              <w:rPr>
                <w:kern w:val="0"/>
                <w:szCs w:val="21"/>
              </w:rPr>
            </w:pPr>
            <w:r>
              <w:rPr>
                <w:rFonts w:hint="eastAsia"/>
                <w:kern w:val="0"/>
                <w:szCs w:val="21"/>
              </w:rPr>
              <w:t>备选投标方案</w:t>
            </w:r>
          </w:p>
        </w:tc>
        <w:tc>
          <w:tcPr>
            <w:tcW w:w="6523" w:type="dxa"/>
            <w:tcBorders>
              <w:top w:val="outset" w:color="auto" w:sz="6" w:space="0"/>
              <w:left w:val="outset" w:color="auto" w:sz="6" w:space="0"/>
              <w:bottom w:val="outset" w:color="auto" w:sz="6" w:space="0"/>
              <w:right w:val="outset" w:color="auto" w:sz="6" w:space="0"/>
            </w:tcBorders>
            <w:tcMar>
              <w:left w:w="75" w:type="dxa"/>
            </w:tcMar>
            <w:vAlign w:val="center"/>
          </w:tcPr>
          <w:p>
            <w:pPr>
              <w:widowControl/>
              <w:spacing w:line="480" w:lineRule="exact"/>
              <w:jc w:val="left"/>
              <w:rPr>
                <w:rFonts w:hint="eastAsia"/>
                <w:kern w:val="0"/>
                <w:szCs w:val="21"/>
              </w:rPr>
            </w:pPr>
            <w:r>
              <w:rPr>
                <w:rFonts w:hint="eastAsia"/>
                <w:kern w:val="0"/>
                <w:szCs w:val="21"/>
              </w:rPr>
              <w:t>除招标文件明确允许备选投标方案外，投标人不得提交备选投标方案。</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673" w:type="dxa"/>
            <w:vMerge w:val="continue"/>
            <w:tcBorders>
              <w:left w:val="outset" w:color="auto" w:sz="6" w:space="0"/>
              <w:right w:val="outset" w:color="auto" w:sz="6" w:space="0"/>
            </w:tcBorders>
            <w:vAlign w:val="center"/>
          </w:tcPr>
          <w:p>
            <w:pPr>
              <w:widowControl/>
              <w:spacing w:line="480" w:lineRule="exact"/>
              <w:jc w:val="left"/>
              <w:rPr>
                <w:kern w:val="0"/>
                <w:szCs w:val="21"/>
              </w:rPr>
            </w:pPr>
          </w:p>
        </w:tc>
        <w:tc>
          <w:tcPr>
            <w:tcW w:w="691" w:type="dxa"/>
            <w:vMerge w:val="continue"/>
            <w:tcBorders>
              <w:top w:val="outset" w:color="auto" w:sz="6" w:space="0"/>
              <w:left w:val="outset" w:color="auto" w:sz="6" w:space="0"/>
              <w:bottom w:val="outset" w:color="auto" w:sz="6" w:space="0"/>
              <w:right w:val="single" w:color="auto" w:sz="4" w:space="0"/>
            </w:tcBorders>
            <w:vAlign w:val="center"/>
          </w:tcPr>
          <w:p>
            <w:pPr>
              <w:widowControl/>
              <w:spacing w:line="480" w:lineRule="exact"/>
              <w:jc w:val="center"/>
              <w:rPr>
                <w:kern w:val="0"/>
                <w:szCs w:val="21"/>
              </w:rPr>
            </w:pPr>
          </w:p>
        </w:tc>
        <w:tc>
          <w:tcPr>
            <w:tcW w:w="1732" w:type="dxa"/>
            <w:tcBorders>
              <w:top w:val="outset" w:color="auto" w:sz="6" w:space="0"/>
              <w:left w:val="single" w:color="auto" w:sz="4" w:space="0"/>
              <w:bottom w:val="outset" w:color="auto" w:sz="6" w:space="0"/>
              <w:right w:val="outset" w:color="auto" w:sz="6" w:space="0"/>
            </w:tcBorders>
            <w:tcMar>
              <w:left w:w="75" w:type="dxa"/>
            </w:tcMar>
            <w:vAlign w:val="center"/>
          </w:tcPr>
          <w:p>
            <w:pPr>
              <w:widowControl/>
              <w:spacing w:line="480" w:lineRule="exact"/>
              <w:jc w:val="center"/>
              <w:rPr>
                <w:rFonts w:hint="eastAsia"/>
                <w:kern w:val="0"/>
                <w:szCs w:val="21"/>
              </w:rPr>
            </w:pPr>
            <w:r>
              <w:rPr>
                <w:rFonts w:hint="eastAsia"/>
                <w:kern w:val="0"/>
                <w:szCs w:val="21"/>
              </w:rPr>
              <w:t>签字盖章</w:t>
            </w:r>
          </w:p>
        </w:tc>
        <w:tc>
          <w:tcPr>
            <w:tcW w:w="6523" w:type="dxa"/>
            <w:tcBorders>
              <w:top w:val="outset" w:color="auto" w:sz="6" w:space="0"/>
              <w:left w:val="outset" w:color="auto" w:sz="6" w:space="0"/>
              <w:bottom w:val="outset" w:color="auto" w:sz="6" w:space="0"/>
              <w:right w:val="outset" w:color="auto" w:sz="6" w:space="0"/>
            </w:tcBorders>
            <w:tcMar>
              <w:left w:w="75" w:type="dxa"/>
            </w:tcMar>
            <w:vAlign w:val="center"/>
          </w:tcPr>
          <w:p>
            <w:pPr>
              <w:widowControl/>
              <w:spacing w:line="480" w:lineRule="exact"/>
              <w:jc w:val="left"/>
              <w:rPr>
                <w:rFonts w:hint="eastAsia"/>
                <w:szCs w:val="21"/>
              </w:rPr>
            </w:pPr>
            <w:r>
              <w:rPr>
                <w:rFonts w:hint="eastAsia"/>
                <w:color w:val="000000"/>
                <w:kern w:val="0"/>
                <w:szCs w:val="21"/>
              </w:rPr>
              <w:t>符合</w:t>
            </w:r>
            <w:r>
              <w:rPr>
                <w:color w:val="000000"/>
                <w:kern w:val="0"/>
                <w:szCs w:val="21"/>
              </w:rPr>
              <w:t>第六章</w:t>
            </w:r>
            <w:r>
              <w:rPr>
                <w:rFonts w:hint="eastAsia"/>
                <w:color w:val="000000"/>
                <w:kern w:val="0"/>
                <w:szCs w:val="21"/>
              </w:rPr>
              <w:t>“</w:t>
            </w:r>
            <w:r>
              <w:rPr>
                <w:color w:val="000000"/>
                <w:kern w:val="0"/>
                <w:szCs w:val="21"/>
              </w:rPr>
              <w:t>投标文件格式</w:t>
            </w:r>
            <w:r>
              <w:rPr>
                <w:rFonts w:hint="eastAsia"/>
                <w:color w:val="000000"/>
                <w:kern w:val="0"/>
                <w:szCs w:val="21"/>
              </w:rPr>
              <w:t>”的规定。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673" w:type="dxa"/>
            <w:vMerge w:val="continue"/>
            <w:tcBorders>
              <w:left w:val="outset" w:color="auto" w:sz="6" w:space="0"/>
              <w:bottom w:val="outset" w:color="auto" w:sz="6" w:space="0"/>
              <w:right w:val="outset" w:color="auto" w:sz="6" w:space="0"/>
            </w:tcBorders>
            <w:vAlign w:val="center"/>
          </w:tcPr>
          <w:p>
            <w:pPr>
              <w:widowControl/>
              <w:spacing w:line="480" w:lineRule="exact"/>
              <w:jc w:val="left"/>
              <w:rPr>
                <w:kern w:val="0"/>
                <w:szCs w:val="21"/>
              </w:rPr>
            </w:pPr>
          </w:p>
        </w:tc>
        <w:tc>
          <w:tcPr>
            <w:tcW w:w="691" w:type="dxa"/>
            <w:vMerge w:val="continue"/>
            <w:tcBorders>
              <w:top w:val="outset" w:color="auto" w:sz="6" w:space="0"/>
              <w:left w:val="outset" w:color="auto" w:sz="6" w:space="0"/>
              <w:bottom w:val="outset" w:color="auto" w:sz="6" w:space="0"/>
              <w:right w:val="single" w:color="auto" w:sz="4" w:space="0"/>
            </w:tcBorders>
            <w:vAlign w:val="center"/>
          </w:tcPr>
          <w:p>
            <w:pPr>
              <w:widowControl/>
              <w:spacing w:line="480" w:lineRule="exact"/>
              <w:jc w:val="center"/>
              <w:rPr>
                <w:kern w:val="0"/>
                <w:szCs w:val="21"/>
              </w:rPr>
            </w:pPr>
          </w:p>
        </w:tc>
        <w:tc>
          <w:tcPr>
            <w:tcW w:w="1732" w:type="dxa"/>
            <w:tcBorders>
              <w:top w:val="outset" w:color="auto" w:sz="6" w:space="0"/>
              <w:left w:val="single" w:color="auto" w:sz="4" w:space="0"/>
              <w:bottom w:val="outset" w:color="auto" w:sz="6" w:space="0"/>
              <w:right w:val="outset" w:color="auto" w:sz="6" w:space="0"/>
            </w:tcBorders>
            <w:tcMar>
              <w:left w:w="75" w:type="dxa"/>
            </w:tcMar>
            <w:vAlign w:val="center"/>
          </w:tcPr>
          <w:p>
            <w:pPr>
              <w:widowControl/>
              <w:spacing w:line="480" w:lineRule="exact"/>
              <w:jc w:val="center"/>
              <w:rPr>
                <w:rFonts w:hint="eastAsia"/>
                <w:kern w:val="0"/>
                <w:szCs w:val="21"/>
              </w:rPr>
            </w:pPr>
            <w:r>
              <w:rPr>
                <w:rFonts w:hint="eastAsia"/>
                <w:kern w:val="0"/>
                <w:szCs w:val="21"/>
              </w:rPr>
              <w:t>未出现异常情形</w:t>
            </w:r>
          </w:p>
        </w:tc>
        <w:tc>
          <w:tcPr>
            <w:tcW w:w="6523" w:type="dxa"/>
            <w:tcBorders>
              <w:top w:val="outset" w:color="auto" w:sz="6" w:space="0"/>
              <w:left w:val="outset" w:color="auto" w:sz="6" w:space="0"/>
              <w:bottom w:val="outset" w:color="auto" w:sz="6" w:space="0"/>
              <w:right w:val="outset" w:color="auto" w:sz="6" w:space="0"/>
            </w:tcBorders>
            <w:tcMar>
              <w:left w:w="75" w:type="dxa"/>
            </w:tcMar>
            <w:vAlign w:val="center"/>
          </w:tcPr>
          <w:p>
            <w:pPr>
              <w:widowControl/>
              <w:spacing w:line="480" w:lineRule="exact"/>
              <w:jc w:val="left"/>
              <w:rPr>
                <w:rFonts w:hint="eastAsia"/>
                <w:kern w:val="0"/>
                <w:szCs w:val="21"/>
              </w:rPr>
            </w:pPr>
            <w:r>
              <w:rPr>
                <w:rFonts w:hint="eastAsia"/>
              </w:rPr>
              <w:t>不同投标人未出现使用相同的机器识别码进行投标。</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673" w:type="dxa"/>
            <w:vMerge w:val="restart"/>
            <w:tcBorders>
              <w:top w:val="single" w:color="auto" w:sz="4" w:space="0"/>
              <w:left w:val="outset" w:color="auto" w:sz="6" w:space="0"/>
              <w:bottom w:val="outset" w:color="auto" w:sz="6" w:space="0"/>
              <w:right w:val="outset" w:color="auto" w:sz="6" w:space="0"/>
            </w:tcBorders>
            <w:vAlign w:val="center"/>
          </w:tcPr>
          <w:p>
            <w:pPr>
              <w:spacing w:line="480" w:lineRule="exact"/>
              <w:jc w:val="center"/>
              <w:rPr>
                <w:kern w:val="0"/>
                <w:szCs w:val="21"/>
              </w:rPr>
            </w:pPr>
            <w:r>
              <w:rPr>
                <w:rFonts w:hint="eastAsia"/>
                <w:bCs/>
                <w:kern w:val="0"/>
                <w:szCs w:val="21"/>
              </w:rPr>
              <w:t>2.1.3</w:t>
            </w:r>
          </w:p>
        </w:tc>
        <w:tc>
          <w:tcPr>
            <w:tcW w:w="691" w:type="dxa"/>
            <w:vMerge w:val="restart"/>
            <w:tcBorders>
              <w:top w:val="single" w:color="auto" w:sz="4" w:space="0"/>
              <w:left w:val="outset" w:color="auto" w:sz="6" w:space="0"/>
              <w:bottom w:val="outset" w:color="auto" w:sz="6" w:space="0"/>
              <w:right w:val="single" w:color="auto" w:sz="4" w:space="0"/>
            </w:tcBorders>
            <w:vAlign w:val="center"/>
          </w:tcPr>
          <w:p>
            <w:pPr>
              <w:spacing w:line="480" w:lineRule="exact"/>
              <w:jc w:val="center"/>
              <w:rPr>
                <w:kern w:val="0"/>
                <w:szCs w:val="21"/>
              </w:rPr>
            </w:pPr>
            <w:r>
              <w:rPr>
                <w:rFonts w:hint="eastAsia"/>
                <w:bCs/>
                <w:kern w:val="0"/>
                <w:szCs w:val="21"/>
              </w:rPr>
              <w:t>响应性评审标准</w:t>
            </w:r>
          </w:p>
        </w:tc>
        <w:tc>
          <w:tcPr>
            <w:tcW w:w="1732" w:type="dxa"/>
            <w:tcBorders>
              <w:top w:val="single" w:color="auto" w:sz="4" w:space="0"/>
              <w:left w:val="single" w:color="auto" w:sz="4" w:space="0"/>
              <w:bottom w:val="outset" w:color="auto" w:sz="6" w:space="0"/>
              <w:right w:val="outset" w:color="auto" w:sz="6" w:space="0"/>
            </w:tcBorders>
            <w:tcMar>
              <w:left w:w="75" w:type="dxa"/>
            </w:tcMar>
            <w:vAlign w:val="center"/>
          </w:tcPr>
          <w:p>
            <w:pPr>
              <w:widowControl/>
              <w:spacing w:line="480" w:lineRule="exact"/>
              <w:jc w:val="center"/>
              <w:rPr>
                <w:rFonts w:hint="eastAsia"/>
                <w:kern w:val="0"/>
                <w:szCs w:val="21"/>
              </w:rPr>
            </w:pPr>
            <w:r>
              <w:rPr>
                <w:rFonts w:hint="eastAsia"/>
                <w:kern w:val="0"/>
                <w:szCs w:val="21"/>
              </w:rPr>
              <w:t>投标内容</w:t>
            </w:r>
          </w:p>
        </w:tc>
        <w:tc>
          <w:tcPr>
            <w:tcW w:w="6523" w:type="dxa"/>
            <w:tcBorders>
              <w:top w:val="outset" w:color="auto" w:sz="6" w:space="0"/>
              <w:left w:val="outset" w:color="auto" w:sz="6" w:space="0"/>
              <w:bottom w:val="outset" w:color="auto" w:sz="6" w:space="0"/>
              <w:right w:val="outset" w:color="auto" w:sz="6" w:space="0"/>
            </w:tcBorders>
            <w:tcMar>
              <w:left w:w="75" w:type="dxa"/>
            </w:tcMar>
            <w:vAlign w:val="center"/>
          </w:tcPr>
          <w:p>
            <w:pPr>
              <w:widowControl/>
              <w:spacing w:line="480" w:lineRule="exact"/>
              <w:jc w:val="left"/>
              <w:rPr>
                <w:rFonts w:hint="eastAsia"/>
                <w:kern w:val="0"/>
                <w:szCs w:val="21"/>
              </w:rPr>
            </w:pPr>
            <w:r>
              <w:rPr>
                <w:rFonts w:hint="eastAsia"/>
                <w:kern w:val="0"/>
                <w:szCs w:val="21"/>
              </w:rPr>
              <w:t>符合第二章“投标人须知”第1.3.1项规定。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673" w:type="dxa"/>
            <w:vMerge w:val="continue"/>
            <w:tcBorders>
              <w:top w:val="single" w:color="auto" w:sz="4" w:space="0"/>
              <w:left w:val="outset" w:color="auto" w:sz="6" w:space="0"/>
              <w:bottom w:val="outset" w:color="auto" w:sz="6" w:space="0"/>
              <w:right w:val="outset" w:color="auto" w:sz="6" w:space="0"/>
            </w:tcBorders>
            <w:vAlign w:val="center"/>
          </w:tcPr>
          <w:p>
            <w:pPr>
              <w:spacing w:line="480" w:lineRule="exact"/>
              <w:jc w:val="center"/>
              <w:rPr>
                <w:rFonts w:hint="eastAsia"/>
                <w:bCs/>
                <w:kern w:val="0"/>
                <w:szCs w:val="21"/>
              </w:rPr>
            </w:pPr>
          </w:p>
        </w:tc>
        <w:tc>
          <w:tcPr>
            <w:tcW w:w="691" w:type="dxa"/>
            <w:vMerge w:val="continue"/>
            <w:tcBorders>
              <w:top w:val="single" w:color="auto" w:sz="4" w:space="0"/>
              <w:left w:val="outset" w:color="auto" w:sz="6" w:space="0"/>
              <w:bottom w:val="outset" w:color="auto" w:sz="6" w:space="0"/>
              <w:right w:val="single" w:color="auto" w:sz="4" w:space="0"/>
            </w:tcBorders>
            <w:vAlign w:val="center"/>
          </w:tcPr>
          <w:p>
            <w:pPr>
              <w:spacing w:line="480" w:lineRule="exact"/>
              <w:jc w:val="center"/>
              <w:rPr>
                <w:rFonts w:hint="eastAsia"/>
                <w:bCs/>
                <w:kern w:val="0"/>
                <w:szCs w:val="21"/>
              </w:rPr>
            </w:pPr>
          </w:p>
        </w:tc>
        <w:tc>
          <w:tcPr>
            <w:tcW w:w="1732" w:type="dxa"/>
            <w:tcBorders>
              <w:top w:val="single" w:color="auto" w:sz="4" w:space="0"/>
              <w:left w:val="single" w:color="auto" w:sz="4" w:space="0"/>
              <w:bottom w:val="outset" w:color="auto" w:sz="6" w:space="0"/>
              <w:right w:val="outset" w:color="auto" w:sz="6" w:space="0"/>
            </w:tcBorders>
            <w:tcMar>
              <w:left w:w="75" w:type="dxa"/>
            </w:tcMar>
            <w:vAlign w:val="center"/>
          </w:tcPr>
          <w:p>
            <w:pPr>
              <w:spacing w:line="480" w:lineRule="exact"/>
              <w:jc w:val="center"/>
              <w:rPr>
                <w:rFonts w:hint="eastAsia"/>
                <w:kern w:val="0"/>
                <w:szCs w:val="21"/>
              </w:rPr>
            </w:pPr>
            <w:r>
              <w:rPr>
                <w:color w:val="000000"/>
              </w:rPr>
              <w:t>投标报价</w:t>
            </w:r>
          </w:p>
        </w:tc>
        <w:tc>
          <w:tcPr>
            <w:tcW w:w="6523" w:type="dxa"/>
            <w:tcBorders>
              <w:top w:val="outset" w:color="auto" w:sz="6" w:space="0"/>
              <w:left w:val="outset" w:color="auto" w:sz="6" w:space="0"/>
              <w:bottom w:val="outset" w:color="auto" w:sz="6" w:space="0"/>
              <w:right w:val="outset" w:color="auto" w:sz="6" w:space="0"/>
            </w:tcBorders>
            <w:tcMar>
              <w:left w:w="75" w:type="dxa"/>
            </w:tcMar>
            <w:vAlign w:val="center"/>
          </w:tcPr>
          <w:p>
            <w:pPr>
              <w:widowControl/>
              <w:spacing w:line="480" w:lineRule="exact"/>
              <w:jc w:val="left"/>
              <w:rPr>
                <w:rFonts w:hint="eastAsia"/>
                <w:kern w:val="0"/>
                <w:szCs w:val="21"/>
              </w:rPr>
            </w:pPr>
            <w:r>
              <w:rPr>
                <w:kern w:val="0"/>
                <w:szCs w:val="21"/>
              </w:rPr>
              <w:t>符合第二章</w:t>
            </w:r>
            <w:r>
              <w:rPr>
                <w:rFonts w:hint="eastAsia"/>
                <w:kern w:val="0"/>
                <w:szCs w:val="21"/>
              </w:rPr>
              <w:t>“投标人须知”</w:t>
            </w:r>
            <w:r>
              <w:rPr>
                <w:kern w:val="0"/>
                <w:szCs w:val="21"/>
              </w:rPr>
              <w:t>第3.2款规定</w:t>
            </w:r>
            <w:r>
              <w:rPr>
                <w:rFonts w:hint="eastAsia"/>
                <w:kern w:val="0"/>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673" w:type="dxa"/>
            <w:vMerge w:val="continue"/>
            <w:tcBorders>
              <w:top w:val="single" w:color="auto" w:sz="4" w:space="0"/>
              <w:left w:val="outset" w:color="auto" w:sz="6" w:space="0"/>
              <w:bottom w:val="outset" w:color="auto" w:sz="6" w:space="0"/>
              <w:right w:val="outset" w:color="auto" w:sz="6" w:space="0"/>
            </w:tcBorders>
            <w:vAlign w:val="center"/>
          </w:tcPr>
          <w:p>
            <w:pPr>
              <w:spacing w:line="480" w:lineRule="exact"/>
              <w:jc w:val="center"/>
              <w:rPr>
                <w:rFonts w:hint="eastAsia"/>
                <w:bCs/>
                <w:kern w:val="0"/>
                <w:szCs w:val="21"/>
              </w:rPr>
            </w:pPr>
          </w:p>
        </w:tc>
        <w:tc>
          <w:tcPr>
            <w:tcW w:w="691" w:type="dxa"/>
            <w:vMerge w:val="continue"/>
            <w:tcBorders>
              <w:top w:val="single" w:color="auto" w:sz="4" w:space="0"/>
              <w:left w:val="outset" w:color="auto" w:sz="6" w:space="0"/>
              <w:bottom w:val="outset" w:color="auto" w:sz="6" w:space="0"/>
              <w:right w:val="single" w:color="auto" w:sz="4" w:space="0"/>
            </w:tcBorders>
            <w:vAlign w:val="center"/>
          </w:tcPr>
          <w:p>
            <w:pPr>
              <w:spacing w:line="480" w:lineRule="exact"/>
              <w:jc w:val="center"/>
              <w:rPr>
                <w:rFonts w:hint="eastAsia"/>
                <w:bCs/>
                <w:kern w:val="0"/>
                <w:szCs w:val="21"/>
              </w:rPr>
            </w:pPr>
          </w:p>
        </w:tc>
        <w:tc>
          <w:tcPr>
            <w:tcW w:w="1732" w:type="dxa"/>
            <w:tcBorders>
              <w:top w:val="single" w:color="auto" w:sz="4" w:space="0"/>
              <w:left w:val="single" w:color="auto" w:sz="4" w:space="0"/>
              <w:bottom w:val="outset" w:color="auto" w:sz="6" w:space="0"/>
              <w:right w:val="outset" w:color="auto" w:sz="6" w:space="0"/>
            </w:tcBorders>
            <w:tcMar>
              <w:left w:w="75" w:type="dxa"/>
            </w:tcMar>
            <w:vAlign w:val="center"/>
          </w:tcPr>
          <w:p>
            <w:pPr>
              <w:widowControl/>
              <w:spacing w:line="480" w:lineRule="exact"/>
              <w:jc w:val="center"/>
              <w:rPr>
                <w:rFonts w:hint="eastAsia"/>
                <w:kern w:val="0"/>
                <w:szCs w:val="21"/>
              </w:rPr>
            </w:pPr>
            <w:r>
              <w:rPr>
                <w:color w:val="000000"/>
                <w:kern w:val="0"/>
                <w:szCs w:val="21"/>
              </w:rPr>
              <w:t>其它情形</w:t>
            </w:r>
          </w:p>
        </w:tc>
        <w:tc>
          <w:tcPr>
            <w:tcW w:w="6523" w:type="dxa"/>
            <w:tcBorders>
              <w:top w:val="outset" w:color="auto" w:sz="6" w:space="0"/>
              <w:left w:val="outset" w:color="auto" w:sz="6" w:space="0"/>
              <w:bottom w:val="outset" w:color="auto" w:sz="6" w:space="0"/>
              <w:right w:val="outset" w:color="auto" w:sz="6" w:space="0"/>
            </w:tcBorders>
            <w:tcMar>
              <w:left w:w="75" w:type="dxa"/>
            </w:tcMar>
            <w:vAlign w:val="center"/>
          </w:tcPr>
          <w:p>
            <w:pPr>
              <w:widowControl/>
              <w:spacing w:line="480" w:lineRule="exact"/>
              <w:jc w:val="left"/>
              <w:rPr>
                <w:rFonts w:hint="eastAsia"/>
                <w:kern w:val="0"/>
                <w:szCs w:val="21"/>
              </w:rPr>
            </w:pPr>
            <w:r>
              <w:rPr>
                <w:kern w:val="0"/>
                <w:szCs w:val="21"/>
              </w:rPr>
              <w:t>投标文件中</w:t>
            </w:r>
            <w:r>
              <w:rPr>
                <w:rFonts w:hint="eastAsia"/>
                <w:kern w:val="0"/>
                <w:szCs w:val="21"/>
              </w:rPr>
              <w:t>不得</w:t>
            </w:r>
            <w:r>
              <w:rPr>
                <w:kern w:val="0"/>
                <w:szCs w:val="21"/>
              </w:rPr>
              <w:t>存在招标人不能接受</w:t>
            </w:r>
            <w:r>
              <w:rPr>
                <w:rFonts w:hint="eastAsia"/>
                <w:kern w:val="0"/>
                <w:szCs w:val="21"/>
                <w:lang w:eastAsia="zh-CN"/>
              </w:rPr>
              <w:t>的其他</w:t>
            </w:r>
            <w:r>
              <w:rPr>
                <w:kern w:val="0"/>
                <w:szCs w:val="21"/>
              </w:rPr>
              <w:t>实质性条件</w:t>
            </w:r>
            <w:r>
              <w:rPr>
                <w:rFonts w:hint="eastAsia"/>
                <w:kern w:val="0"/>
                <w:szCs w:val="21"/>
              </w:rPr>
              <w:t>。</w:t>
            </w:r>
          </w:p>
        </w:tc>
      </w:tr>
    </w:tbl>
    <w:p>
      <w:pPr>
        <w:rPr>
          <w:rFonts w:hint="eastAsia"/>
        </w:rPr>
      </w:pPr>
    </w:p>
    <w:p>
      <w:pPr>
        <w:spacing w:afterLines="50" w:line="400" w:lineRule="exact"/>
        <w:jc w:val="center"/>
        <w:outlineLvl w:val="2"/>
        <w:rPr>
          <w:rFonts w:hint="eastAsia" w:eastAsia="黑体"/>
          <w:bCs/>
          <w:sz w:val="24"/>
        </w:rPr>
      </w:pPr>
      <w:bookmarkStart w:id="269" w:name="_Toc460660173"/>
      <w:r>
        <w:rPr>
          <w:rFonts w:eastAsia="黑体"/>
          <w:szCs w:val="21"/>
        </w:rPr>
        <w:br w:type="page"/>
      </w:r>
      <w:r>
        <w:rPr>
          <w:rFonts w:hint="eastAsia" w:eastAsia="黑体"/>
          <w:bCs/>
          <w:sz w:val="24"/>
        </w:rPr>
        <w:t>商务及技术文件、报价文件详细评审标准</w:t>
      </w:r>
    </w:p>
    <w:tbl>
      <w:tblPr>
        <w:tblStyle w:val="55"/>
        <w:tblW w:w="505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04"/>
        <w:gridCol w:w="724"/>
        <w:gridCol w:w="929"/>
        <w:gridCol w:w="1230"/>
        <w:gridCol w:w="65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7" w:hRule="atLeast"/>
          <w:jc w:val="center"/>
        </w:trPr>
        <w:tc>
          <w:tcPr>
            <w:tcW w:w="659" w:type="pct"/>
            <w:gridSpan w:val="2"/>
            <w:vAlign w:val="center"/>
          </w:tcPr>
          <w:p>
            <w:pPr>
              <w:spacing w:line="400" w:lineRule="exact"/>
              <w:jc w:val="center"/>
              <w:rPr>
                <w:rFonts w:hint="eastAsia" w:ascii="宋体" w:hAnsi="宋体" w:cs="宋体"/>
                <w:b/>
                <w:bCs/>
                <w:sz w:val="22"/>
                <w:szCs w:val="22"/>
              </w:rPr>
            </w:pPr>
            <w:r>
              <w:rPr>
                <w:rFonts w:hint="eastAsia" w:ascii="宋体" w:hAnsi="宋体" w:cs="宋体"/>
                <w:b/>
                <w:bCs/>
                <w:sz w:val="22"/>
                <w:szCs w:val="22"/>
              </w:rPr>
              <w:t>条款号</w:t>
            </w:r>
          </w:p>
        </w:tc>
        <w:tc>
          <w:tcPr>
            <w:tcW w:w="460" w:type="pct"/>
            <w:vAlign w:val="center"/>
          </w:tcPr>
          <w:p>
            <w:pPr>
              <w:spacing w:line="400" w:lineRule="exact"/>
              <w:jc w:val="center"/>
              <w:rPr>
                <w:rFonts w:hint="eastAsia" w:ascii="宋体" w:hAnsi="宋体" w:cs="宋体"/>
                <w:b/>
                <w:bCs/>
                <w:sz w:val="22"/>
                <w:szCs w:val="22"/>
              </w:rPr>
            </w:pPr>
            <w:r>
              <w:rPr>
                <w:rFonts w:hint="eastAsia" w:ascii="宋体" w:hAnsi="宋体" w:cs="宋体"/>
                <w:b/>
                <w:bCs/>
                <w:sz w:val="22"/>
                <w:szCs w:val="22"/>
              </w:rPr>
              <w:t>评分因素</w:t>
            </w:r>
          </w:p>
        </w:tc>
        <w:tc>
          <w:tcPr>
            <w:tcW w:w="610" w:type="pct"/>
            <w:vAlign w:val="center"/>
          </w:tcPr>
          <w:p>
            <w:pPr>
              <w:spacing w:line="400" w:lineRule="exact"/>
              <w:jc w:val="center"/>
              <w:rPr>
                <w:rFonts w:hint="eastAsia" w:ascii="宋体" w:hAnsi="宋体" w:cs="宋体"/>
                <w:b/>
                <w:bCs/>
                <w:sz w:val="22"/>
                <w:szCs w:val="22"/>
              </w:rPr>
            </w:pPr>
            <w:r>
              <w:rPr>
                <w:rFonts w:hint="eastAsia" w:ascii="宋体" w:hAnsi="宋体" w:cs="宋体"/>
                <w:b/>
                <w:bCs/>
                <w:sz w:val="22"/>
                <w:szCs w:val="22"/>
              </w:rPr>
              <w:t>评分因素权重分值</w:t>
            </w:r>
          </w:p>
        </w:tc>
        <w:tc>
          <w:tcPr>
            <w:tcW w:w="3269" w:type="pct"/>
            <w:vAlign w:val="center"/>
          </w:tcPr>
          <w:p>
            <w:pPr>
              <w:spacing w:line="400" w:lineRule="exact"/>
              <w:jc w:val="center"/>
              <w:rPr>
                <w:rFonts w:hint="eastAsia" w:ascii="宋体" w:hAnsi="宋体" w:cs="宋体"/>
                <w:b/>
                <w:bCs/>
                <w:sz w:val="22"/>
                <w:szCs w:val="22"/>
              </w:rPr>
            </w:pPr>
            <w:r>
              <w:rPr>
                <w:rFonts w:hint="eastAsia" w:ascii="宋体" w:hAnsi="宋体" w:cs="宋体"/>
                <w:b/>
                <w:bCs/>
                <w:sz w:val="22"/>
                <w:szCs w:val="22"/>
              </w:rPr>
              <w:t>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0" w:type="pct"/>
            <w:vMerge w:val="restart"/>
            <w:vAlign w:val="center"/>
          </w:tcPr>
          <w:p>
            <w:pPr>
              <w:spacing w:line="400" w:lineRule="exact"/>
              <w:jc w:val="center"/>
              <w:rPr>
                <w:rFonts w:hint="eastAsia" w:ascii="宋体" w:hAnsi="宋体" w:cs="宋体"/>
                <w:b/>
                <w:bCs/>
                <w:sz w:val="22"/>
                <w:szCs w:val="22"/>
              </w:rPr>
            </w:pPr>
            <w:r>
              <w:rPr>
                <w:rFonts w:hint="eastAsia" w:ascii="宋体" w:hAnsi="宋体" w:cs="宋体"/>
                <w:b/>
                <w:bCs/>
                <w:sz w:val="22"/>
                <w:szCs w:val="22"/>
              </w:rPr>
              <w:t>2.2.3（1）</w:t>
            </w:r>
          </w:p>
        </w:tc>
        <w:tc>
          <w:tcPr>
            <w:tcW w:w="359" w:type="pct"/>
            <w:vMerge w:val="restart"/>
            <w:vAlign w:val="center"/>
          </w:tcPr>
          <w:p>
            <w:pPr>
              <w:spacing w:line="400" w:lineRule="exact"/>
              <w:jc w:val="center"/>
              <w:rPr>
                <w:rFonts w:ascii="宋体" w:hAnsi="宋体" w:cs="宋体"/>
                <w:b/>
                <w:bCs/>
                <w:sz w:val="22"/>
                <w:szCs w:val="22"/>
              </w:rPr>
            </w:pPr>
            <w:r>
              <w:rPr>
                <w:rFonts w:hint="eastAsia" w:ascii="宋体" w:hAnsi="宋体" w:cs="宋体"/>
                <w:b/>
                <w:bCs/>
                <w:sz w:val="22"/>
                <w:szCs w:val="22"/>
              </w:rPr>
              <w:t>商务评分标准（17分）</w:t>
            </w:r>
          </w:p>
        </w:tc>
        <w:tc>
          <w:tcPr>
            <w:tcW w:w="460" w:type="pct"/>
            <w:vAlign w:val="center"/>
          </w:tcPr>
          <w:p>
            <w:pPr>
              <w:spacing w:line="400" w:lineRule="exact"/>
              <w:jc w:val="center"/>
              <w:rPr>
                <w:rFonts w:hint="eastAsia" w:ascii="宋体" w:hAnsi="宋体" w:cs="宋体"/>
                <w:b/>
                <w:bCs/>
                <w:sz w:val="22"/>
                <w:szCs w:val="22"/>
              </w:rPr>
            </w:pPr>
            <w:r>
              <w:rPr>
                <w:rFonts w:hint="eastAsia" w:ascii="宋体" w:hAnsi="宋体" w:cs="宋体"/>
                <w:sz w:val="22"/>
                <w:szCs w:val="22"/>
              </w:rPr>
              <w:t>认证证书</w:t>
            </w:r>
          </w:p>
        </w:tc>
        <w:tc>
          <w:tcPr>
            <w:tcW w:w="610" w:type="pct"/>
            <w:vAlign w:val="center"/>
          </w:tcPr>
          <w:p>
            <w:pPr>
              <w:widowControl/>
              <w:spacing w:line="400" w:lineRule="exact"/>
              <w:jc w:val="center"/>
              <w:rPr>
                <w:rFonts w:hint="eastAsia" w:ascii="宋体" w:hAnsi="宋体" w:cs="宋体"/>
                <w:b/>
                <w:bCs/>
                <w:sz w:val="22"/>
                <w:szCs w:val="22"/>
              </w:rPr>
            </w:pPr>
            <w:r>
              <w:rPr>
                <w:rFonts w:hint="eastAsia" w:ascii="宋体" w:hAnsi="宋体" w:cs="宋体"/>
                <w:bCs/>
                <w:kern w:val="0"/>
                <w:sz w:val="22"/>
                <w:szCs w:val="22"/>
              </w:rPr>
              <w:t>4分</w:t>
            </w:r>
          </w:p>
        </w:tc>
        <w:tc>
          <w:tcPr>
            <w:tcW w:w="3269" w:type="pct"/>
            <w:vAlign w:val="center"/>
          </w:tcPr>
          <w:p>
            <w:pPr>
              <w:spacing w:line="400" w:lineRule="exact"/>
              <w:rPr>
                <w:rFonts w:hint="eastAsia" w:ascii="宋体" w:hAnsi="宋体" w:cs="宋体"/>
                <w:sz w:val="22"/>
                <w:szCs w:val="22"/>
              </w:rPr>
            </w:pPr>
            <w:r>
              <w:rPr>
                <w:rFonts w:hint="eastAsia" w:ascii="宋体" w:hAnsi="宋体" w:cs="宋体"/>
                <w:sz w:val="22"/>
                <w:szCs w:val="22"/>
              </w:rPr>
              <w:t>投标人所投配电箱/配电柜</w:t>
            </w:r>
            <w:r>
              <w:rPr>
                <w:rFonts w:hint="eastAsia" w:ascii="宋体" w:hAnsi="宋体" w:cs="宋体"/>
                <w:sz w:val="22"/>
                <w:szCs w:val="22"/>
                <w:lang w:eastAsia="zh-CN"/>
              </w:rPr>
              <w:t>（</w:t>
            </w:r>
            <w:r>
              <w:rPr>
                <w:rFonts w:hint="eastAsia" w:ascii="宋体" w:hAnsi="宋体" w:cs="宋体"/>
                <w:sz w:val="22"/>
                <w:szCs w:val="22"/>
              </w:rPr>
              <w:t>须含本次招标配电箱（或配电柜）种类</w:t>
            </w:r>
            <w:r>
              <w:rPr>
                <w:rFonts w:hint="eastAsia" w:ascii="宋体" w:hAnsi="宋体" w:cs="宋体"/>
                <w:sz w:val="22"/>
                <w:szCs w:val="22"/>
                <w:lang w:eastAsia="zh-CN"/>
              </w:rPr>
              <w:t>）</w:t>
            </w:r>
            <w:r>
              <w:rPr>
                <w:rFonts w:hint="eastAsia" w:ascii="宋体" w:hAnsi="宋体" w:cs="宋体"/>
                <w:sz w:val="22"/>
                <w:szCs w:val="22"/>
              </w:rPr>
              <w:t>具有 CQC 产品认证证书的，每个得 1分，最多 4分。</w:t>
            </w:r>
          </w:p>
          <w:p>
            <w:pPr>
              <w:spacing w:line="400" w:lineRule="exact"/>
              <w:rPr>
                <w:rFonts w:hint="eastAsia" w:ascii="宋体" w:hAnsi="宋体" w:cs="宋体"/>
                <w:b/>
                <w:bCs/>
                <w:sz w:val="22"/>
                <w:szCs w:val="22"/>
              </w:rPr>
            </w:pPr>
            <w:r>
              <w:rPr>
                <w:rFonts w:hint="eastAsia" w:ascii="宋体" w:hAnsi="宋体" w:cs="宋体"/>
                <w:color w:val="0000FF"/>
                <w:sz w:val="22"/>
                <w:szCs w:val="22"/>
              </w:rPr>
              <w:t>注：投标文件中须提供报告书扫描件或影印件。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0" w:type="pct"/>
            <w:vMerge w:val="continue"/>
            <w:vAlign w:val="center"/>
          </w:tcPr>
          <w:p>
            <w:pPr>
              <w:spacing w:line="400" w:lineRule="exact"/>
              <w:jc w:val="center"/>
              <w:rPr>
                <w:rFonts w:hint="eastAsia" w:ascii="宋体" w:hAnsi="宋体" w:cs="宋体"/>
                <w:b/>
                <w:bCs/>
                <w:sz w:val="22"/>
                <w:szCs w:val="22"/>
              </w:rPr>
            </w:pPr>
          </w:p>
        </w:tc>
        <w:tc>
          <w:tcPr>
            <w:tcW w:w="359" w:type="pct"/>
            <w:vMerge w:val="continue"/>
            <w:vAlign w:val="center"/>
          </w:tcPr>
          <w:p>
            <w:pPr>
              <w:spacing w:line="400" w:lineRule="exact"/>
              <w:jc w:val="center"/>
              <w:rPr>
                <w:rFonts w:hint="eastAsia" w:ascii="宋体" w:hAnsi="宋体" w:cs="宋体"/>
                <w:b/>
                <w:bCs/>
                <w:sz w:val="22"/>
                <w:szCs w:val="22"/>
              </w:rPr>
            </w:pPr>
          </w:p>
        </w:tc>
        <w:tc>
          <w:tcPr>
            <w:tcW w:w="460" w:type="pct"/>
            <w:vAlign w:val="center"/>
          </w:tcPr>
          <w:p>
            <w:pPr>
              <w:spacing w:line="400" w:lineRule="exact"/>
              <w:jc w:val="center"/>
              <w:rPr>
                <w:rFonts w:hint="eastAsia" w:ascii="宋体" w:hAnsi="宋体" w:cs="宋体"/>
                <w:b/>
                <w:bCs/>
                <w:sz w:val="22"/>
                <w:szCs w:val="22"/>
              </w:rPr>
            </w:pPr>
            <w:r>
              <w:rPr>
                <w:rFonts w:hint="eastAsia" w:ascii="宋体" w:hAnsi="宋体" w:cs="宋体"/>
                <w:kern w:val="0"/>
                <w:sz w:val="22"/>
                <w:szCs w:val="22"/>
              </w:rPr>
              <w:t>业绩</w:t>
            </w:r>
          </w:p>
        </w:tc>
        <w:tc>
          <w:tcPr>
            <w:tcW w:w="610" w:type="pct"/>
            <w:vAlign w:val="center"/>
          </w:tcPr>
          <w:p>
            <w:pPr>
              <w:spacing w:line="400" w:lineRule="exact"/>
              <w:jc w:val="center"/>
              <w:rPr>
                <w:rFonts w:hint="eastAsia" w:ascii="宋体" w:hAnsi="宋体" w:cs="宋体"/>
                <w:b/>
                <w:bCs/>
                <w:sz w:val="22"/>
                <w:szCs w:val="22"/>
              </w:rPr>
            </w:pPr>
            <w:r>
              <w:rPr>
                <w:rFonts w:hint="eastAsia" w:ascii="宋体" w:hAnsi="宋体" w:cs="宋体"/>
                <w:sz w:val="22"/>
                <w:szCs w:val="22"/>
              </w:rPr>
              <w:t>0-9分</w:t>
            </w:r>
          </w:p>
        </w:tc>
        <w:tc>
          <w:tcPr>
            <w:tcW w:w="3269" w:type="pct"/>
            <w:vAlign w:val="center"/>
          </w:tcPr>
          <w:p>
            <w:pPr>
              <w:spacing w:line="400" w:lineRule="exact"/>
              <w:rPr>
                <w:rFonts w:hint="eastAsia" w:ascii="宋体" w:hAnsi="宋体" w:cs="宋体"/>
                <w:sz w:val="22"/>
                <w:szCs w:val="22"/>
              </w:rPr>
            </w:pPr>
            <w:r>
              <w:rPr>
                <w:rFonts w:hint="eastAsia" w:ascii="宋体" w:hAnsi="宋体" w:cs="宋体"/>
                <w:sz w:val="22"/>
                <w:szCs w:val="22"/>
              </w:rPr>
              <w:t xml:space="preserve">2017 年 1 月 1 日（以合同签订时间为准）以来，投标人具有单项合同金额不少于600万元的配电箱或配电柜或（配电箱和配电柜）供货业绩，在资格审查1个业绩的基础上每增加一个业绩的得 3 分，最多 9 分。 </w:t>
            </w:r>
          </w:p>
          <w:p>
            <w:pPr>
              <w:spacing w:line="400" w:lineRule="exact"/>
              <w:rPr>
                <w:rFonts w:hint="eastAsia" w:ascii="宋体" w:hAnsi="宋体" w:cs="宋体"/>
                <w:color w:val="0A13C3"/>
                <w:sz w:val="22"/>
                <w:szCs w:val="22"/>
              </w:rPr>
            </w:pPr>
            <w:r>
              <w:rPr>
                <w:rFonts w:hint="eastAsia" w:ascii="宋体" w:hAnsi="宋体" w:cs="宋体"/>
                <w:color w:val="0A13C3"/>
                <w:sz w:val="22"/>
                <w:szCs w:val="22"/>
              </w:rPr>
              <w:t>注：</w:t>
            </w:r>
          </w:p>
          <w:p>
            <w:pPr>
              <w:spacing w:line="400" w:lineRule="exact"/>
              <w:rPr>
                <w:rFonts w:hint="eastAsia" w:ascii="宋体" w:hAnsi="宋体" w:cs="宋体"/>
                <w:color w:val="0A13C3"/>
                <w:sz w:val="22"/>
                <w:szCs w:val="22"/>
              </w:rPr>
            </w:pPr>
            <w:r>
              <w:rPr>
                <w:rFonts w:hint="eastAsia" w:ascii="宋体" w:hAnsi="宋体" w:cs="宋体"/>
                <w:color w:val="0A13C3"/>
                <w:sz w:val="22"/>
                <w:szCs w:val="22"/>
              </w:rPr>
              <w:t xml:space="preserve">1.资格审查业绩不得分。 </w:t>
            </w:r>
          </w:p>
          <w:p>
            <w:pPr>
              <w:spacing w:line="400" w:lineRule="exact"/>
              <w:rPr>
                <w:rFonts w:hint="eastAsia" w:ascii="宋体" w:hAnsi="宋体" w:cs="宋体"/>
                <w:color w:val="0A13C3"/>
                <w:sz w:val="22"/>
                <w:szCs w:val="22"/>
              </w:rPr>
            </w:pPr>
            <w:r>
              <w:rPr>
                <w:rFonts w:hint="eastAsia" w:ascii="宋体" w:hAnsi="宋体" w:cs="宋体"/>
                <w:color w:val="0A13C3"/>
                <w:sz w:val="22"/>
                <w:szCs w:val="22"/>
              </w:rPr>
              <w:t xml:space="preserve">2.投标人应按下列规定提供业绩证明资料： </w:t>
            </w:r>
          </w:p>
          <w:p>
            <w:pPr>
              <w:spacing w:line="400" w:lineRule="exact"/>
              <w:rPr>
                <w:rFonts w:hint="eastAsia" w:ascii="宋体" w:hAnsi="宋体" w:cs="宋体"/>
                <w:color w:val="0A13C3"/>
                <w:sz w:val="22"/>
                <w:szCs w:val="22"/>
              </w:rPr>
            </w:pPr>
            <w:r>
              <w:rPr>
                <w:rFonts w:hint="eastAsia" w:ascii="宋体" w:hAnsi="宋体" w:cs="宋体"/>
                <w:color w:val="0A13C3"/>
                <w:sz w:val="22"/>
                <w:szCs w:val="22"/>
              </w:rPr>
              <w:t xml:space="preserve">（1）合同； </w:t>
            </w:r>
          </w:p>
          <w:p>
            <w:pPr>
              <w:spacing w:line="400" w:lineRule="exact"/>
              <w:rPr>
                <w:rFonts w:hint="eastAsia" w:ascii="宋体" w:hAnsi="宋体" w:cs="宋体"/>
                <w:color w:val="0A13C3"/>
                <w:sz w:val="22"/>
                <w:szCs w:val="22"/>
              </w:rPr>
            </w:pPr>
            <w:r>
              <w:rPr>
                <w:rFonts w:hint="eastAsia" w:ascii="宋体" w:hAnsi="宋体" w:cs="宋体"/>
                <w:color w:val="0A13C3"/>
                <w:sz w:val="22"/>
                <w:szCs w:val="22"/>
              </w:rPr>
              <w:t xml:space="preserve">（2）供货完毕并验收合格的相关证明文件（如验收证书或买方开具的证明等）； </w:t>
            </w:r>
          </w:p>
          <w:p>
            <w:pPr>
              <w:spacing w:line="400" w:lineRule="exact"/>
              <w:rPr>
                <w:rFonts w:hint="eastAsia" w:ascii="宋体" w:hAnsi="宋体" w:cs="宋体"/>
                <w:color w:val="0A13C3"/>
                <w:sz w:val="22"/>
                <w:szCs w:val="22"/>
              </w:rPr>
            </w:pPr>
            <w:r>
              <w:rPr>
                <w:rFonts w:hint="eastAsia" w:ascii="宋体" w:hAnsi="宋体" w:cs="宋体"/>
                <w:color w:val="0A13C3"/>
                <w:sz w:val="22"/>
                <w:szCs w:val="22"/>
              </w:rPr>
              <w:t xml:space="preserve">（3）业绩合同可提供包含甲乙方、项目名称、单个合同中配电箱或配电柜或（配电箱和配电柜）供货金额、合同签订时间、合同供货范围、合同签字盖章页等关键内容的关键页的扫描件； </w:t>
            </w:r>
          </w:p>
          <w:p>
            <w:pPr>
              <w:spacing w:line="400" w:lineRule="exact"/>
              <w:rPr>
                <w:rFonts w:hint="eastAsia" w:ascii="宋体" w:hAnsi="宋体" w:cs="宋体"/>
                <w:b/>
                <w:bCs/>
                <w:sz w:val="22"/>
                <w:szCs w:val="22"/>
              </w:rPr>
            </w:pPr>
            <w:r>
              <w:rPr>
                <w:rFonts w:hint="eastAsia" w:ascii="宋体" w:hAnsi="宋体" w:cs="宋体"/>
                <w:color w:val="0A13C3"/>
                <w:sz w:val="22"/>
                <w:szCs w:val="22"/>
              </w:rPr>
              <w:t>（4）以上</w:t>
            </w:r>
            <w:r>
              <w:rPr>
                <w:rFonts w:hint="eastAsia" w:ascii="宋体" w:hAnsi="宋体" w:cs="宋体"/>
                <w:color w:val="0A13C3"/>
                <w:sz w:val="22"/>
                <w:szCs w:val="22"/>
                <w:lang w:eastAsia="zh-CN"/>
              </w:rPr>
              <w:t>涉及的</w:t>
            </w:r>
            <w:r>
              <w:rPr>
                <w:rFonts w:hint="eastAsia" w:ascii="宋体" w:hAnsi="宋体" w:cs="宋体"/>
                <w:color w:val="0A13C3"/>
                <w:sz w:val="22"/>
                <w:szCs w:val="22"/>
              </w:rPr>
              <w:t xml:space="preserve">材料扫描件信息应完整或能充分反映评审因素。如均未能明确反映出招标文件所要求的内容的（如单个合同中配电箱或配电柜（或配电箱和配电柜）供货金额、合同供货范围等），应另附买方（或合同甲方）出具的证明资料予以明确说明。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0" w:type="pct"/>
            <w:vMerge w:val="continue"/>
            <w:vAlign w:val="center"/>
          </w:tcPr>
          <w:p>
            <w:pPr>
              <w:spacing w:line="400" w:lineRule="exact"/>
              <w:jc w:val="center"/>
              <w:rPr>
                <w:rFonts w:hint="eastAsia" w:ascii="宋体" w:hAnsi="宋体" w:cs="宋体"/>
                <w:b/>
                <w:bCs/>
                <w:sz w:val="22"/>
                <w:szCs w:val="22"/>
              </w:rPr>
            </w:pPr>
          </w:p>
        </w:tc>
        <w:tc>
          <w:tcPr>
            <w:tcW w:w="359" w:type="pct"/>
            <w:vMerge w:val="continue"/>
            <w:vAlign w:val="center"/>
          </w:tcPr>
          <w:p>
            <w:pPr>
              <w:spacing w:line="400" w:lineRule="exact"/>
              <w:jc w:val="center"/>
              <w:rPr>
                <w:rFonts w:hint="eastAsia" w:ascii="宋体" w:hAnsi="宋体" w:cs="宋体"/>
                <w:b/>
                <w:bCs/>
                <w:sz w:val="22"/>
                <w:szCs w:val="22"/>
              </w:rPr>
            </w:pPr>
          </w:p>
        </w:tc>
        <w:tc>
          <w:tcPr>
            <w:tcW w:w="460" w:type="pct"/>
            <w:vAlign w:val="center"/>
          </w:tcPr>
          <w:p>
            <w:pPr>
              <w:spacing w:line="400" w:lineRule="exact"/>
              <w:jc w:val="center"/>
              <w:rPr>
                <w:rFonts w:hint="eastAsia" w:ascii="宋体" w:hAnsi="宋体" w:cs="宋体"/>
                <w:kern w:val="0"/>
                <w:sz w:val="22"/>
                <w:szCs w:val="22"/>
              </w:rPr>
            </w:pPr>
            <w:r>
              <w:rPr>
                <w:rFonts w:hint="eastAsia" w:ascii="宋体" w:hAnsi="宋体" w:cs="宋体"/>
                <w:kern w:val="0"/>
                <w:sz w:val="22"/>
                <w:szCs w:val="22"/>
              </w:rPr>
              <w:t xml:space="preserve">企业管理体系 </w:t>
            </w:r>
          </w:p>
          <w:p>
            <w:pPr>
              <w:spacing w:line="400" w:lineRule="exact"/>
              <w:jc w:val="center"/>
              <w:rPr>
                <w:rFonts w:hint="eastAsia" w:ascii="宋体" w:hAnsi="宋体" w:cs="宋体"/>
                <w:b/>
                <w:bCs/>
                <w:sz w:val="22"/>
                <w:szCs w:val="22"/>
              </w:rPr>
            </w:pPr>
          </w:p>
        </w:tc>
        <w:tc>
          <w:tcPr>
            <w:tcW w:w="610" w:type="pct"/>
            <w:vAlign w:val="center"/>
          </w:tcPr>
          <w:p>
            <w:pPr>
              <w:widowControl/>
              <w:spacing w:line="400" w:lineRule="exact"/>
              <w:jc w:val="center"/>
              <w:rPr>
                <w:rFonts w:hint="eastAsia" w:ascii="宋体" w:hAnsi="宋体" w:cs="宋体"/>
                <w:b/>
                <w:bCs/>
                <w:sz w:val="22"/>
                <w:szCs w:val="22"/>
              </w:rPr>
            </w:pPr>
            <w:r>
              <w:rPr>
                <w:rFonts w:hint="eastAsia" w:ascii="宋体" w:hAnsi="宋体" w:cs="宋体"/>
                <w:bCs/>
                <w:kern w:val="0"/>
                <w:sz w:val="22"/>
                <w:szCs w:val="22"/>
              </w:rPr>
              <w:t>0-4分</w:t>
            </w:r>
          </w:p>
        </w:tc>
        <w:tc>
          <w:tcPr>
            <w:tcW w:w="3269" w:type="pct"/>
            <w:vAlign w:val="center"/>
          </w:tcPr>
          <w:p>
            <w:pPr>
              <w:numPr>
                <w:ilvl w:val="0"/>
                <w:numId w:val="6"/>
              </w:numPr>
              <w:spacing w:line="400" w:lineRule="exact"/>
              <w:rPr>
                <w:rFonts w:hint="eastAsia" w:ascii="宋体" w:hAnsi="宋体" w:cs="宋体"/>
                <w:kern w:val="0"/>
                <w:sz w:val="22"/>
                <w:szCs w:val="22"/>
              </w:rPr>
            </w:pPr>
            <w:r>
              <w:rPr>
                <w:rFonts w:hint="eastAsia" w:ascii="宋体" w:hAnsi="宋体" w:cs="宋体"/>
                <w:kern w:val="0"/>
                <w:sz w:val="22"/>
                <w:szCs w:val="22"/>
              </w:rPr>
              <w:t>投标人具有国家认证认可监督管理委员会认可的认证机构颁发的质量管理体系认证证书和环境管理体系认证证书的，每具备一个</w:t>
            </w:r>
            <w:r>
              <w:rPr>
                <w:rFonts w:hint="eastAsia" w:ascii="宋体" w:hAnsi="宋体" w:cs="宋体"/>
                <w:kern w:val="0"/>
                <w:sz w:val="22"/>
                <w:szCs w:val="22"/>
                <w:lang w:eastAsia="zh-CN"/>
              </w:rPr>
              <w:t>的</w:t>
            </w:r>
            <w:r>
              <w:rPr>
                <w:rFonts w:hint="eastAsia" w:ascii="宋体" w:hAnsi="宋体" w:cs="宋体"/>
                <w:kern w:val="0"/>
                <w:sz w:val="22"/>
                <w:szCs w:val="22"/>
              </w:rPr>
              <w:t xml:space="preserve"> 1分，满分 2分。</w:t>
            </w:r>
          </w:p>
          <w:p>
            <w:pPr>
              <w:spacing w:line="400" w:lineRule="exact"/>
              <w:rPr>
                <w:rFonts w:hint="eastAsia" w:ascii="宋体" w:hAnsi="宋体" w:cs="宋体"/>
                <w:kern w:val="0"/>
                <w:sz w:val="22"/>
                <w:szCs w:val="22"/>
              </w:rPr>
            </w:pPr>
            <w:r>
              <w:rPr>
                <w:rFonts w:hint="eastAsia" w:ascii="宋体" w:hAnsi="宋体" w:cs="宋体"/>
                <w:color w:val="0A13C3"/>
                <w:kern w:val="0"/>
                <w:sz w:val="22"/>
                <w:szCs w:val="22"/>
              </w:rPr>
              <w:t>注：投标文件中须提供证书扫描件作为评审依据，证书中应能体现发证机构已获认监委认证或能体现该证书可在认监委网站查询，否则须同时在投标文件中提供在认监委网站对证书发证机构的查询截图作为评审依据。同类型体系证书仅计取一次。</w:t>
            </w:r>
          </w:p>
          <w:p>
            <w:pPr>
              <w:spacing w:line="400" w:lineRule="exact"/>
              <w:rPr>
                <w:rFonts w:hint="eastAsia" w:ascii="宋体" w:hAnsi="宋体" w:cs="宋体"/>
                <w:kern w:val="0"/>
                <w:sz w:val="22"/>
                <w:szCs w:val="22"/>
              </w:rPr>
            </w:pPr>
            <w:r>
              <w:rPr>
                <w:rFonts w:hint="eastAsia" w:ascii="宋体" w:hAnsi="宋体" w:cs="宋体"/>
                <w:kern w:val="0"/>
                <w:sz w:val="22"/>
                <w:szCs w:val="22"/>
              </w:rPr>
              <w:t>2.投标人具有两化融合管理体系评定证书的，得 2分。</w:t>
            </w:r>
          </w:p>
          <w:p>
            <w:pPr>
              <w:spacing w:line="400" w:lineRule="exact"/>
              <w:rPr>
                <w:rFonts w:hint="eastAsia" w:ascii="宋体" w:hAnsi="宋体" w:cs="宋体"/>
                <w:b/>
                <w:bCs/>
                <w:sz w:val="22"/>
                <w:szCs w:val="22"/>
              </w:rPr>
            </w:pPr>
            <w:r>
              <w:rPr>
                <w:rFonts w:hint="eastAsia" w:ascii="宋体" w:hAnsi="宋体" w:cs="宋体"/>
                <w:color w:val="0000FF"/>
                <w:kern w:val="0"/>
                <w:sz w:val="22"/>
                <w:szCs w:val="22"/>
              </w:rPr>
              <w:t>注：投标文件中提供证书扫描件作为评审依据。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0" w:type="pct"/>
            <w:vMerge w:val="restart"/>
            <w:vAlign w:val="center"/>
          </w:tcPr>
          <w:p>
            <w:pPr>
              <w:spacing w:line="400" w:lineRule="exact"/>
              <w:jc w:val="center"/>
              <w:rPr>
                <w:rFonts w:hint="eastAsia" w:ascii="宋体" w:hAnsi="宋体" w:cs="宋体"/>
                <w:b/>
                <w:bCs/>
                <w:sz w:val="22"/>
                <w:szCs w:val="22"/>
              </w:rPr>
            </w:pPr>
            <w:r>
              <w:rPr>
                <w:rFonts w:hint="eastAsia" w:ascii="宋体" w:hAnsi="宋体" w:cs="宋体"/>
                <w:b/>
                <w:bCs/>
                <w:sz w:val="22"/>
                <w:szCs w:val="22"/>
              </w:rPr>
              <w:t>2.2.3（2）</w:t>
            </w:r>
          </w:p>
        </w:tc>
        <w:tc>
          <w:tcPr>
            <w:tcW w:w="359" w:type="pct"/>
            <w:vMerge w:val="restart"/>
            <w:vAlign w:val="center"/>
          </w:tcPr>
          <w:p>
            <w:pPr>
              <w:spacing w:line="400" w:lineRule="exact"/>
              <w:jc w:val="center"/>
              <w:rPr>
                <w:rFonts w:ascii="宋体" w:hAnsi="宋体" w:cs="宋体"/>
                <w:b/>
                <w:bCs/>
                <w:sz w:val="22"/>
                <w:szCs w:val="22"/>
              </w:rPr>
            </w:pPr>
            <w:r>
              <w:rPr>
                <w:rFonts w:hint="eastAsia" w:ascii="宋体" w:hAnsi="宋体" w:cs="宋体"/>
                <w:b/>
                <w:bCs/>
                <w:sz w:val="22"/>
                <w:szCs w:val="22"/>
              </w:rPr>
              <w:t>技术评分标准（33分）</w:t>
            </w:r>
          </w:p>
        </w:tc>
        <w:tc>
          <w:tcPr>
            <w:tcW w:w="460" w:type="pct"/>
            <w:vAlign w:val="center"/>
          </w:tcPr>
          <w:p>
            <w:pPr>
              <w:spacing w:line="400" w:lineRule="exact"/>
              <w:jc w:val="center"/>
              <w:rPr>
                <w:rFonts w:hint="eastAsia" w:ascii="宋体" w:hAnsi="宋体" w:cs="宋体"/>
                <w:b/>
                <w:bCs/>
                <w:sz w:val="22"/>
                <w:szCs w:val="22"/>
              </w:rPr>
            </w:pPr>
            <w:r>
              <w:rPr>
                <w:rFonts w:hint="eastAsia" w:ascii="宋体" w:hAnsi="宋体" w:cs="宋体"/>
                <w:bCs/>
                <w:sz w:val="22"/>
                <w:szCs w:val="22"/>
              </w:rPr>
              <w:t>生产厂家标准化生产、出厂、质检方案</w:t>
            </w:r>
          </w:p>
        </w:tc>
        <w:tc>
          <w:tcPr>
            <w:tcW w:w="610" w:type="pct"/>
            <w:vAlign w:val="center"/>
          </w:tcPr>
          <w:p>
            <w:pPr>
              <w:widowControl/>
              <w:spacing w:line="400" w:lineRule="exact"/>
              <w:jc w:val="center"/>
              <w:rPr>
                <w:rFonts w:hint="eastAsia" w:ascii="宋体" w:hAnsi="宋体" w:cs="宋体"/>
                <w:b/>
                <w:bCs/>
                <w:sz w:val="22"/>
                <w:szCs w:val="22"/>
              </w:rPr>
            </w:pPr>
            <w:r>
              <w:rPr>
                <w:rFonts w:hint="eastAsia" w:ascii="宋体" w:hAnsi="宋体" w:cs="宋体"/>
                <w:bCs/>
                <w:kern w:val="0"/>
                <w:sz w:val="22"/>
                <w:szCs w:val="22"/>
              </w:rPr>
              <w:t>0-7分</w:t>
            </w:r>
          </w:p>
        </w:tc>
        <w:tc>
          <w:tcPr>
            <w:tcW w:w="3269" w:type="pct"/>
            <w:vAlign w:val="center"/>
          </w:tcPr>
          <w:p>
            <w:pPr>
              <w:spacing w:line="400" w:lineRule="exact"/>
              <w:rPr>
                <w:rFonts w:hint="eastAsia" w:ascii="宋体" w:hAnsi="宋体" w:cs="宋体"/>
                <w:kern w:val="0"/>
                <w:sz w:val="22"/>
                <w:szCs w:val="22"/>
              </w:rPr>
            </w:pPr>
            <w:r>
              <w:rPr>
                <w:rFonts w:hint="eastAsia" w:ascii="宋体" w:hAnsi="宋体" w:cs="宋体"/>
                <w:kern w:val="0"/>
                <w:sz w:val="22"/>
                <w:szCs w:val="22"/>
              </w:rPr>
              <w:t>评委根据投标人提供的产品生产方案的完整性、标准化工艺、技术措施、质量保证措施、成品保护以及与其他单位的配合等方面进行综合打分。</w:t>
            </w:r>
          </w:p>
          <w:p>
            <w:pPr>
              <w:spacing w:line="400" w:lineRule="exact"/>
              <w:rPr>
                <w:rFonts w:hint="eastAsia" w:ascii="宋体" w:hAnsi="宋体" w:cs="宋体"/>
                <w:kern w:val="0"/>
                <w:sz w:val="22"/>
                <w:szCs w:val="22"/>
              </w:rPr>
            </w:pPr>
            <w:r>
              <w:rPr>
                <w:rFonts w:hint="eastAsia" w:ascii="宋体" w:hAnsi="宋体" w:cs="宋体"/>
                <w:kern w:val="0"/>
                <w:sz w:val="22"/>
                <w:szCs w:val="22"/>
              </w:rPr>
              <w:t xml:space="preserve">优秀的，得 5＜F≤7分； </w:t>
            </w:r>
          </w:p>
          <w:p>
            <w:pPr>
              <w:spacing w:line="400" w:lineRule="exact"/>
              <w:rPr>
                <w:rFonts w:hint="eastAsia" w:ascii="宋体" w:hAnsi="宋体" w:cs="宋体"/>
                <w:kern w:val="0"/>
                <w:sz w:val="22"/>
                <w:szCs w:val="22"/>
              </w:rPr>
            </w:pPr>
            <w:r>
              <w:rPr>
                <w:rFonts w:hint="eastAsia" w:ascii="宋体" w:hAnsi="宋体" w:cs="宋体"/>
                <w:kern w:val="0"/>
                <w:sz w:val="22"/>
                <w:szCs w:val="22"/>
              </w:rPr>
              <w:t xml:space="preserve">良好的，得 2＜F≤5 分； </w:t>
            </w:r>
          </w:p>
          <w:p>
            <w:pPr>
              <w:spacing w:line="400" w:lineRule="exact"/>
              <w:rPr>
                <w:rFonts w:hint="eastAsia" w:ascii="宋体" w:hAnsi="宋体" w:cs="宋体"/>
                <w:kern w:val="0"/>
                <w:sz w:val="22"/>
                <w:szCs w:val="22"/>
              </w:rPr>
            </w:pPr>
            <w:r>
              <w:rPr>
                <w:rFonts w:hint="eastAsia" w:ascii="宋体" w:hAnsi="宋体" w:cs="宋体"/>
                <w:kern w:val="0"/>
                <w:sz w:val="22"/>
                <w:szCs w:val="22"/>
              </w:rPr>
              <w:t>一般</w:t>
            </w:r>
            <w:r>
              <w:rPr>
                <w:rFonts w:hint="eastAsia" w:ascii="宋体" w:hAnsi="宋体" w:cs="宋体"/>
                <w:kern w:val="0"/>
                <w:sz w:val="22"/>
                <w:szCs w:val="22"/>
                <w:lang w:eastAsia="zh-CN"/>
              </w:rPr>
              <w:t>地</w:t>
            </w:r>
            <w:r>
              <w:rPr>
                <w:rFonts w:hint="eastAsia" w:ascii="宋体" w:hAnsi="宋体" w:cs="宋体"/>
                <w:kern w:val="0"/>
                <w:sz w:val="22"/>
                <w:szCs w:val="22"/>
              </w:rPr>
              <w:t xml:space="preserve">，得 0＜F≤2 分， </w:t>
            </w:r>
          </w:p>
          <w:p>
            <w:pPr>
              <w:spacing w:line="400" w:lineRule="exact"/>
              <w:rPr>
                <w:rFonts w:hint="eastAsia" w:ascii="宋体" w:hAnsi="宋体" w:cs="宋体"/>
                <w:b/>
                <w:bCs/>
                <w:sz w:val="22"/>
                <w:szCs w:val="22"/>
              </w:rPr>
            </w:pPr>
            <w:r>
              <w:rPr>
                <w:rFonts w:hint="eastAsia" w:ascii="宋体" w:hAnsi="宋体" w:cs="宋体"/>
                <w:color w:val="0000FF"/>
                <w:kern w:val="0"/>
                <w:sz w:val="22"/>
                <w:szCs w:val="22"/>
              </w:rPr>
              <w:t>未提供方案的不得分。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0" w:type="pct"/>
            <w:vMerge w:val="continue"/>
            <w:vAlign w:val="center"/>
          </w:tcPr>
          <w:p>
            <w:pPr>
              <w:spacing w:line="400" w:lineRule="exact"/>
              <w:jc w:val="center"/>
              <w:rPr>
                <w:rFonts w:hint="eastAsia" w:ascii="宋体" w:hAnsi="宋体" w:cs="宋体"/>
                <w:b/>
                <w:bCs/>
                <w:sz w:val="22"/>
                <w:szCs w:val="22"/>
              </w:rPr>
            </w:pPr>
          </w:p>
        </w:tc>
        <w:tc>
          <w:tcPr>
            <w:tcW w:w="359" w:type="pct"/>
            <w:vMerge w:val="continue"/>
            <w:vAlign w:val="center"/>
          </w:tcPr>
          <w:p>
            <w:pPr>
              <w:spacing w:line="400" w:lineRule="exact"/>
              <w:jc w:val="center"/>
              <w:rPr>
                <w:rFonts w:hint="eastAsia" w:ascii="宋体" w:hAnsi="宋体" w:cs="宋体"/>
                <w:b/>
                <w:bCs/>
                <w:sz w:val="22"/>
                <w:szCs w:val="22"/>
              </w:rPr>
            </w:pPr>
          </w:p>
        </w:tc>
        <w:tc>
          <w:tcPr>
            <w:tcW w:w="460" w:type="pct"/>
            <w:vAlign w:val="center"/>
          </w:tcPr>
          <w:p>
            <w:pPr>
              <w:spacing w:line="400" w:lineRule="exact"/>
              <w:jc w:val="center"/>
              <w:rPr>
                <w:rFonts w:hint="eastAsia" w:ascii="宋体" w:hAnsi="宋体" w:cs="宋体"/>
                <w:b/>
                <w:bCs/>
                <w:sz w:val="22"/>
                <w:szCs w:val="22"/>
              </w:rPr>
            </w:pPr>
            <w:r>
              <w:rPr>
                <w:rFonts w:hint="eastAsia" w:ascii="宋体" w:hAnsi="宋体" w:cs="宋体"/>
                <w:kern w:val="0"/>
                <w:sz w:val="22"/>
                <w:szCs w:val="22"/>
              </w:rPr>
              <w:t>售后服务方案</w:t>
            </w:r>
          </w:p>
        </w:tc>
        <w:tc>
          <w:tcPr>
            <w:tcW w:w="610" w:type="pct"/>
            <w:vAlign w:val="center"/>
          </w:tcPr>
          <w:p>
            <w:pPr>
              <w:spacing w:line="400" w:lineRule="exact"/>
              <w:jc w:val="center"/>
              <w:rPr>
                <w:rFonts w:hint="eastAsia" w:ascii="宋体" w:hAnsi="宋体" w:cs="宋体"/>
                <w:b/>
                <w:bCs/>
                <w:sz w:val="22"/>
                <w:szCs w:val="22"/>
              </w:rPr>
            </w:pPr>
            <w:r>
              <w:rPr>
                <w:rFonts w:hint="eastAsia" w:ascii="宋体" w:hAnsi="宋体" w:cs="宋体"/>
                <w:sz w:val="22"/>
                <w:szCs w:val="22"/>
              </w:rPr>
              <w:t>0-7分</w:t>
            </w:r>
          </w:p>
        </w:tc>
        <w:tc>
          <w:tcPr>
            <w:tcW w:w="3269" w:type="pct"/>
            <w:vAlign w:val="center"/>
          </w:tcPr>
          <w:p>
            <w:pPr>
              <w:widowControl/>
              <w:spacing w:line="400" w:lineRule="exact"/>
              <w:rPr>
                <w:rFonts w:hint="eastAsia" w:ascii="宋体" w:hAnsi="宋体" w:cs="宋体"/>
                <w:kern w:val="0"/>
                <w:sz w:val="22"/>
                <w:szCs w:val="22"/>
              </w:rPr>
            </w:pPr>
            <w:r>
              <w:rPr>
                <w:rFonts w:hint="eastAsia" w:ascii="宋体" w:hAnsi="宋体" w:cs="宋体"/>
                <w:kern w:val="0"/>
                <w:sz w:val="22"/>
                <w:szCs w:val="22"/>
              </w:rPr>
              <w:t>评委根据投标人提供质保期及售后服务保障方案，科学合理，切实可行，售后服务完备合理性进行综合打分。质保期内提供 24 小时现场服务；服务保障体系是否完整、可靠，服务措施是否详尽、合理、完备，服务快捷周到，收费明确、条件优惠。评委根据方案内容的完整性、可行性酌情给分：</w:t>
            </w:r>
          </w:p>
          <w:p>
            <w:pPr>
              <w:spacing w:line="400" w:lineRule="exact"/>
              <w:rPr>
                <w:rFonts w:hint="eastAsia" w:ascii="宋体" w:hAnsi="宋体" w:cs="宋体"/>
                <w:kern w:val="0"/>
                <w:sz w:val="22"/>
                <w:szCs w:val="22"/>
              </w:rPr>
            </w:pPr>
            <w:r>
              <w:rPr>
                <w:rFonts w:hint="eastAsia" w:ascii="宋体" w:hAnsi="宋体" w:cs="宋体"/>
                <w:kern w:val="0"/>
                <w:sz w:val="22"/>
                <w:szCs w:val="22"/>
              </w:rPr>
              <w:t xml:space="preserve">优秀的，得 5＜F≤7分； </w:t>
            </w:r>
          </w:p>
          <w:p>
            <w:pPr>
              <w:spacing w:line="400" w:lineRule="exact"/>
              <w:rPr>
                <w:rFonts w:hint="eastAsia" w:ascii="宋体" w:hAnsi="宋体" w:cs="宋体"/>
                <w:kern w:val="0"/>
                <w:sz w:val="22"/>
                <w:szCs w:val="22"/>
              </w:rPr>
            </w:pPr>
            <w:r>
              <w:rPr>
                <w:rFonts w:hint="eastAsia" w:ascii="宋体" w:hAnsi="宋体" w:cs="宋体"/>
                <w:kern w:val="0"/>
                <w:sz w:val="22"/>
                <w:szCs w:val="22"/>
              </w:rPr>
              <w:t xml:space="preserve">良好的，得 2＜F≤5 分； </w:t>
            </w:r>
          </w:p>
          <w:p>
            <w:pPr>
              <w:spacing w:line="400" w:lineRule="exact"/>
              <w:rPr>
                <w:rFonts w:hint="eastAsia" w:ascii="宋体" w:hAnsi="宋体" w:cs="宋体"/>
                <w:kern w:val="0"/>
                <w:sz w:val="22"/>
                <w:szCs w:val="22"/>
              </w:rPr>
            </w:pPr>
            <w:r>
              <w:rPr>
                <w:rFonts w:hint="eastAsia" w:ascii="宋体" w:hAnsi="宋体" w:cs="宋体"/>
                <w:kern w:val="0"/>
                <w:sz w:val="22"/>
                <w:szCs w:val="22"/>
              </w:rPr>
              <w:t>一般</w:t>
            </w:r>
            <w:r>
              <w:rPr>
                <w:rFonts w:hint="eastAsia" w:ascii="宋体" w:hAnsi="宋体" w:cs="宋体"/>
                <w:kern w:val="0"/>
                <w:sz w:val="22"/>
                <w:szCs w:val="22"/>
                <w:lang w:eastAsia="zh-CN"/>
              </w:rPr>
              <w:t>地</w:t>
            </w:r>
            <w:r>
              <w:rPr>
                <w:rFonts w:hint="eastAsia" w:ascii="宋体" w:hAnsi="宋体" w:cs="宋体"/>
                <w:kern w:val="0"/>
                <w:sz w:val="22"/>
                <w:szCs w:val="22"/>
              </w:rPr>
              <w:t xml:space="preserve">，得 0＜F≤2 分， </w:t>
            </w:r>
          </w:p>
          <w:p>
            <w:pPr>
              <w:widowControl/>
              <w:spacing w:line="400" w:lineRule="exact"/>
              <w:rPr>
                <w:rFonts w:hint="eastAsia" w:ascii="宋体" w:hAnsi="宋体" w:cs="宋体"/>
                <w:b/>
                <w:bCs/>
                <w:sz w:val="22"/>
                <w:szCs w:val="22"/>
              </w:rPr>
            </w:pPr>
            <w:r>
              <w:rPr>
                <w:rFonts w:hint="eastAsia" w:ascii="宋体" w:hAnsi="宋体" w:cs="宋体"/>
                <w:color w:val="0000FF"/>
                <w:kern w:val="0"/>
                <w:sz w:val="22"/>
                <w:szCs w:val="22"/>
              </w:rPr>
              <w:t>未提供方案的不得分。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0" w:type="pct"/>
            <w:vMerge w:val="continue"/>
            <w:vAlign w:val="center"/>
          </w:tcPr>
          <w:p>
            <w:pPr>
              <w:spacing w:line="400" w:lineRule="exact"/>
              <w:jc w:val="center"/>
              <w:rPr>
                <w:rFonts w:hint="eastAsia" w:ascii="宋体" w:hAnsi="宋体" w:cs="宋体"/>
                <w:b/>
                <w:bCs/>
                <w:sz w:val="22"/>
                <w:szCs w:val="22"/>
              </w:rPr>
            </w:pPr>
          </w:p>
        </w:tc>
        <w:tc>
          <w:tcPr>
            <w:tcW w:w="359" w:type="pct"/>
            <w:vMerge w:val="continue"/>
            <w:vAlign w:val="center"/>
          </w:tcPr>
          <w:p>
            <w:pPr>
              <w:spacing w:line="400" w:lineRule="exact"/>
              <w:jc w:val="center"/>
              <w:rPr>
                <w:rFonts w:hint="eastAsia" w:ascii="宋体" w:hAnsi="宋体" w:cs="宋体"/>
                <w:b/>
                <w:bCs/>
                <w:sz w:val="22"/>
                <w:szCs w:val="22"/>
              </w:rPr>
            </w:pPr>
          </w:p>
        </w:tc>
        <w:tc>
          <w:tcPr>
            <w:tcW w:w="460" w:type="pct"/>
            <w:vAlign w:val="center"/>
          </w:tcPr>
          <w:p>
            <w:pPr>
              <w:spacing w:line="400" w:lineRule="exact"/>
              <w:jc w:val="center"/>
              <w:rPr>
                <w:rFonts w:hint="eastAsia" w:ascii="宋体" w:hAnsi="宋体" w:cs="宋体"/>
                <w:kern w:val="0"/>
                <w:sz w:val="22"/>
                <w:szCs w:val="22"/>
              </w:rPr>
            </w:pPr>
            <w:r>
              <w:rPr>
                <w:rFonts w:hint="eastAsia" w:ascii="宋体" w:hAnsi="宋体" w:cs="宋体"/>
                <w:kern w:val="0"/>
                <w:sz w:val="22"/>
                <w:szCs w:val="22"/>
              </w:rPr>
              <w:t>投标人综合实力</w:t>
            </w:r>
          </w:p>
        </w:tc>
        <w:tc>
          <w:tcPr>
            <w:tcW w:w="610" w:type="pct"/>
            <w:vAlign w:val="center"/>
          </w:tcPr>
          <w:p>
            <w:pPr>
              <w:spacing w:line="400" w:lineRule="exact"/>
              <w:jc w:val="center"/>
              <w:rPr>
                <w:rFonts w:hint="eastAsia" w:ascii="宋体" w:hAnsi="宋体" w:cs="宋体"/>
                <w:sz w:val="22"/>
                <w:szCs w:val="22"/>
              </w:rPr>
            </w:pPr>
            <w:r>
              <w:rPr>
                <w:rFonts w:hint="eastAsia" w:ascii="宋体" w:hAnsi="宋体" w:cs="宋体"/>
                <w:sz w:val="22"/>
                <w:szCs w:val="22"/>
              </w:rPr>
              <w:t>0-7分</w:t>
            </w:r>
          </w:p>
        </w:tc>
        <w:tc>
          <w:tcPr>
            <w:tcW w:w="3269" w:type="pct"/>
            <w:vAlign w:val="center"/>
          </w:tcPr>
          <w:p>
            <w:pPr>
              <w:widowControl/>
              <w:spacing w:line="400" w:lineRule="exact"/>
              <w:rPr>
                <w:rFonts w:hint="eastAsia" w:ascii="宋体" w:hAnsi="宋体" w:cs="宋体"/>
                <w:kern w:val="0"/>
                <w:sz w:val="22"/>
                <w:szCs w:val="22"/>
              </w:rPr>
            </w:pPr>
            <w:r>
              <w:rPr>
                <w:rFonts w:hint="eastAsia" w:ascii="宋体" w:hAnsi="宋体" w:cs="宋体"/>
                <w:kern w:val="0"/>
                <w:sz w:val="22"/>
                <w:szCs w:val="22"/>
              </w:rPr>
              <w:t>评委根据投标人信誉、履约能力、员工人数、生产设备、业务范围等方面进行综合比较评分。</w:t>
            </w:r>
          </w:p>
          <w:p>
            <w:pPr>
              <w:spacing w:line="400" w:lineRule="exact"/>
              <w:rPr>
                <w:rFonts w:hint="eastAsia" w:ascii="宋体" w:hAnsi="宋体" w:cs="宋体"/>
                <w:kern w:val="0"/>
                <w:sz w:val="22"/>
                <w:szCs w:val="22"/>
              </w:rPr>
            </w:pPr>
            <w:r>
              <w:rPr>
                <w:rFonts w:hint="eastAsia" w:ascii="宋体" w:hAnsi="宋体" w:cs="宋体"/>
                <w:kern w:val="0"/>
                <w:sz w:val="22"/>
                <w:szCs w:val="22"/>
              </w:rPr>
              <w:t xml:space="preserve">优秀的，得 5＜F≤7分； </w:t>
            </w:r>
          </w:p>
          <w:p>
            <w:pPr>
              <w:spacing w:line="400" w:lineRule="exact"/>
              <w:rPr>
                <w:rFonts w:hint="eastAsia" w:ascii="宋体" w:hAnsi="宋体" w:cs="宋体"/>
                <w:kern w:val="0"/>
                <w:sz w:val="22"/>
                <w:szCs w:val="22"/>
              </w:rPr>
            </w:pPr>
            <w:r>
              <w:rPr>
                <w:rFonts w:hint="eastAsia" w:ascii="宋体" w:hAnsi="宋体" w:cs="宋体"/>
                <w:kern w:val="0"/>
                <w:sz w:val="22"/>
                <w:szCs w:val="22"/>
              </w:rPr>
              <w:t xml:space="preserve">良好的，得 2＜F≤5 分； </w:t>
            </w:r>
          </w:p>
          <w:p>
            <w:pPr>
              <w:spacing w:line="400" w:lineRule="exact"/>
              <w:rPr>
                <w:rFonts w:hint="eastAsia" w:ascii="宋体" w:hAnsi="宋体" w:cs="宋体"/>
                <w:kern w:val="0"/>
                <w:sz w:val="22"/>
                <w:szCs w:val="22"/>
              </w:rPr>
            </w:pPr>
            <w:r>
              <w:rPr>
                <w:rFonts w:hint="eastAsia" w:ascii="宋体" w:hAnsi="宋体" w:cs="宋体"/>
                <w:kern w:val="0"/>
                <w:sz w:val="22"/>
                <w:szCs w:val="22"/>
              </w:rPr>
              <w:t>一般</w:t>
            </w:r>
            <w:r>
              <w:rPr>
                <w:rFonts w:hint="eastAsia" w:ascii="宋体" w:hAnsi="宋体" w:cs="宋体"/>
                <w:kern w:val="0"/>
                <w:sz w:val="22"/>
                <w:szCs w:val="22"/>
                <w:lang w:eastAsia="zh-CN"/>
              </w:rPr>
              <w:t>地</w:t>
            </w:r>
            <w:r>
              <w:rPr>
                <w:rFonts w:hint="eastAsia" w:ascii="宋体" w:hAnsi="宋体" w:cs="宋体"/>
                <w:kern w:val="0"/>
                <w:sz w:val="22"/>
                <w:szCs w:val="22"/>
              </w:rPr>
              <w:t xml:space="preserve">，得 0＜F≤2 分， </w:t>
            </w:r>
          </w:p>
          <w:p>
            <w:pPr>
              <w:widowControl/>
              <w:spacing w:line="400" w:lineRule="exact"/>
              <w:rPr>
                <w:rFonts w:hint="eastAsia" w:ascii="宋体" w:hAnsi="宋体" w:cs="宋体"/>
                <w:kern w:val="0"/>
                <w:sz w:val="22"/>
                <w:szCs w:val="22"/>
              </w:rPr>
            </w:pPr>
            <w:r>
              <w:rPr>
                <w:rFonts w:hint="eastAsia" w:ascii="宋体" w:hAnsi="宋体" w:cs="宋体"/>
                <w:color w:val="0000FF"/>
                <w:kern w:val="0"/>
                <w:sz w:val="22"/>
                <w:szCs w:val="22"/>
              </w:rPr>
              <w:t>未提供方案的不得分。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0" w:type="pct"/>
            <w:vMerge w:val="continue"/>
            <w:vAlign w:val="center"/>
          </w:tcPr>
          <w:p>
            <w:pPr>
              <w:spacing w:line="400" w:lineRule="exact"/>
              <w:jc w:val="center"/>
              <w:rPr>
                <w:rFonts w:hint="eastAsia" w:ascii="宋体" w:hAnsi="宋体" w:cs="宋体"/>
                <w:b/>
                <w:bCs/>
                <w:sz w:val="22"/>
                <w:szCs w:val="22"/>
              </w:rPr>
            </w:pPr>
          </w:p>
        </w:tc>
        <w:tc>
          <w:tcPr>
            <w:tcW w:w="359" w:type="pct"/>
            <w:vMerge w:val="continue"/>
            <w:vAlign w:val="center"/>
          </w:tcPr>
          <w:p>
            <w:pPr>
              <w:spacing w:line="400" w:lineRule="exact"/>
              <w:jc w:val="center"/>
              <w:rPr>
                <w:rFonts w:hint="eastAsia" w:ascii="宋体" w:hAnsi="宋体" w:cs="宋体"/>
                <w:b/>
                <w:bCs/>
                <w:sz w:val="22"/>
                <w:szCs w:val="22"/>
              </w:rPr>
            </w:pPr>
          </w:p>
        </w:tc>
        <w:tc>
          <w:tcPr>
            <w:tcW w:w="460" w:type="pct"/>
            <w:vAlign w:val="center"/>
          </w:tcPr>
          <w:p>
            <w:pPr>
              <w:spacing w:line="400" w:lineRule="exact"/>
              <w:jc w:val="center"/>
              <w:rPr>
                <w:rFonts w:hint="eastAsia" w:ascii="宋体" w:hAnsi="宋体" w:cs="宋体"/>
                <w:kern w:val="0"/>
                <w:sz w:val="22"/>
                <w:szCs w:val="22"/>
              </w:rPr>
            </w:pPr>
            <w:r>
              <w:rPr>
                <w:rFonts w:hint="eastAsia" w:ascii="宋体" w:hAnsi="宋体" w:cs="宋体"/>
                <w:kern w:val="0"/>
                <w:sz w:val="22"/>
                <w:szCs w:val="22"/>
              </w:rPr>
              <w:t>本地化服务方案</w:t>
            </w:r>
          </w:p>
        </w:tc>
        <w:tc>
          <w:tcPr>
            <w:tcW w:w="610" w:type="pct"/>
            <w:vAlign w:val="center"/>
          </w:tcPr>
          <w:p>
            <w:pPr>
              <w:spacing w:line="400" w:lineRule="exact"/>
              <w:jc w:val="center"/>
              <w:rPr>
                <w:rFonts w:hint="eastAsia" w:ascii="宋体" w:hAnsi="宋体" w:cs="宋体"/>
                <w:sz w:val="22"/>
                <w:szCs w:val="22"/>
              </w:rPr>
            </w:pPr>
            <w:r>
              <w:rPr>
                <w:rFonts w:hint="eastAsia" w:ascii="宋体" w:hAnsi="宋体" w:cs="宋体"/>
                <w:sz w:val="22"/>
                <w:szCs w:val="22"/>
              </w:rPr>
              <w:t>0-6分</w:t>
            </w:r>
          </w:p>
        </w:tc>
        <w:tc>
          <w:tcPr>
            <w:tcW w:w="3269" w:type="pct"/>
            <w:vAlign w:val="center"/>
          </w:tcPr>
          <w:p>
            <w:pPr>
              <w:widowControl/>
              <w:spacing w:line="400" w:lineRule="exact"/>
              <w:rPr>
                <w:rFonts w:hint="eastAsia" w:ascii="宋体" w:hAnsi="宋体" w:cs="宋体"/>
                <w:kern w:val="0"/>
                <w:sz w:val="22"/>
                <w:szCs w:val="22"/>
              </w:rPr>
            </w:pPr>
            <w:r>
              <w:rPr>
                <w:rFonts w:hint="eastAsia" w:ascii="宋体" w:hAnsi="宋体" w:cs="宋体"/>
                <w:kern w:val="0"/>
                <w:sz w:val="22"/>
                <w:szCs w:val="22"/>
              </w:rPr>
              <w:t>对本地化服务方案的完善性、可操作、响应及时性以及本地化服务人员的技术能力等方面进行综</w:t>
            </w:r>
            <w:r>
              <w:rPr>
                <w:rFonts w:hint="eastAsia" w:ascii="宋体" w:hAnsi="宋体" w:cs="宋体"/>
                <w:kern w:val="0"/>
                <w:sz w:val="22"/>
                <w:szCs w:val="22"/>
                <w:lang w:eastAsia="zh-CN"/>
              </w:rPr>
              <w:t>合评审</w:t>
            </w:r>
            <w:r>
              <w:rPr>
                <w:rFonts w:hint="eastAsia" w:ascii="宋体" w:hAnsi="宋体" w:cs="宋体"/>
                <w:kern w:val="0"/>
                <w:sz w:val="22"/>
                <w:szCs w:val="22"/>
              </w:rPr>
              <w:t>。</w:t>
            </w:r>
          </w:p>
          <w:p>
            <w:pPr>
              <w:spacing w:line="400" w:lineRule="exact"/>
              <w:rPr>
                <w:rFonts w:hint="eastAsia" w:ascii="宋体" w:hAnsi="宋体" w:cs="宋体"/>
                <w:kern w:val="0"/>
                <w:sz w:val="22"/>
                <w:szCs w:val="22"/>
              </w:rPr>
            </w:pPr>
            <w:r>
              <w:rPr>
                <w:rFonts w:hint="eastAsia" w:ascii="宋体" w:hAnsi="宋体" w:cs="宋体"/>
                <w:kern w:val="0"/>
                <w:sz w:val="22"/>
                <w:szCs w:val="22"/>
              </w:rPr>
              <w:t xml:space="preserve">优秀的，得 4＜F≤6分； </w:t>
            </w:r>
          </w:p>
          <w:p>
            <w:pPr>
              <w:spacing w:line="400" w:lineRule="exact"/>
              <w:rPr>
                <w:rFonts w:hint="eastAsia" w:ascii="宋体" w:hAnsi="宋体" w:cs="宋体"/>
                <w:kern w:val="0"/>
                <w:sz w:val="22"/>
                <w:szCs w:val="22"/>
              </w:rPr>
            </w:pPr>
            <w:r>
              <w:rPr>
                <w:rFonts w:hint="eastAsia" w:ascii="宋体" w:hAnsi="宋体" w:cs="宋体"/>
                <w:kern w:val="0"/>
                <w:sz w:val="22"/>
                <w:szCs w:val="22"/>
              </w:rPr>
              <w:t xml:space="preserve">良好的，得 2＜F≤4 分； </w:t>
            </w:r>
          </w:p>
          <w:p>
            <w:pPr>
              <w:spacing w:line="400" w:lineRule="exact"/>
              <w:rPr>
                <w:rFonts w:hint="eastAsia" w:ascii="宋体" w:hAnsi="宋体" w:cs="宋体"/>
                <w:kern w:val="0"/>
                <w:sz w:val="22"/>
                <w:szCs w:val="22"/>
              </w:rPr>
            </w:pPr>
            <w:r>
              <w:rPr>
                <w:rFonts w:hint="eastAsia" w:ascii="宋体" w:hAnsi="宋体" w:cs="宋体"/>
                <w:kern w:val="0"/>
                <w:sz w:val="22"/>
                <w:szCs w:val="22"/>
              </w:rPr>
              <w:t>一般</w:t>
            </w:r>
            <w:r>
              <w:rPr>
                <w:rFonts w:hint="eastAsia" w:ascii="宋体" w:hAnsi="宋体" w:cs="宋体"/>
                <w:kern w:val="0"/>
                <w:sz w:val="22"/>
                <w:szCs w:val="22"/>
                <w:lang w:eastAsia="zh-CN"/>
              </w:rPr>
              <w:t>地</w:t>
            </w:r>
            <w:r>
              <w:rPr>
                <w:rFonts w:hint="eastAsia" w:ascii="宋体" w:hAnsi="宋体" w:cs="宋体"/>
                <w:kern w:val="0"/>
                <w:sz w:val="22"/>
                <w:szCs w:val="22"/>
              </w:rPr>
              <w:t xml:space="preserve">，得 0＜F≤2 分，  </w:t>
            </w:r>
          </w:p>
          <w:p>
            <w:pPr>
              <w:widowControl/>
              <w:spacing w:line="400" w:lineRule="exact"/>
              <w:rPr>
                <w:rFonts w:hint="eastAsia" w:ascii="宋体" w:hAnsi="宋体" w:cs="宋体"/>
                <w:kern w:val="0"/>
                <w:sz w:val="22"/>
                <w:szCs w:val="22"/>
              </w:rPr>
            </w:pPr>
            <w:r>
              <w:rPr>
                <w:rFonts w:hint="eastAsia" w:ascii="宋体" w:hAnsi="宋体" w:cs="宋体"/>
                <w:color w:val="0000FF"/>
                <w:kern w:val="0"/>
                <w:sz w:val="22"/>
                <w:szCs w:val="22"/>
              </w:rPr>
              <w:t>未提供不得分。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0" w:type="pct"/>
            <w:vMerge w:val="continue"/>
            <w:vAlign w:val="center"/>
          </w:tcPr>
          <w:p>
            <w:pPr>
              <w:spacing w:line="400" w:lineRule="exact"/>
              <w:jc w:val="center"/>
              <w:rPr>
                <w:rFonts w:hint="eastAsia" w:ascii="宋体" w:hAnsi="宋体" w:cs="宋体"/>
                <w:b/>
                <w:bCs/>
                <w:sz w:val="22"/>
                <w:szCs w:val="22"/>
              </w:rPr>
            </w:pPr>
          </w:p>
        </w:tc>
        <w:tc>
          <w:tcPr>
            <w:tcW w:w="359" w:type="pct"/>
            <w:vMerge w:val="continue"/>
            <w:vAlign w:val="center"/>
          </w:tcPr>
          <w:p>
            <w:pPr>
              <w:spacing w:line="400" w:lineRule="exact"/>
              <w:jc w:val="center"/>
              <w:rPr>
                <w:rFonts w:hint="eastAsia" w:ascii="宋体" w:hAnsi="宋体" w:cs="宋体"/>
                <w:b/>
                <w:bCs/>
                <w:sz w:val="22"/>
                <w:szCs w:val="22"/>
              </w:rPr>
            </w:pPr>
          </w:p>
        </w:tc>
        <w:tc>
          <w:tcPr>
            <w:tcW w:w="460" w:type="pct"/>
            <w:vAlign w:val="center"/>
          </w:tcPr>
          <w:p>
            <w:pPr>
              <w:spacing w:line="400" w:lineRule="exact"/>
              <w:jc w:val="center"/>
              <w:rPr>
                <w:rFonts w:hint="eastAsia" w:ascii="宋体" w:hAnsi="宋体" w:cs="宋体"/>
                <w:kern w:val="0"/>
                <w:sz w:val="22"/>
                <w:szCs w:val="22"/>
              </w:rPr>
            </w:pPr>
            <w:r>
              <w:rPr>
                <w:rFonts w:hint="eastAsia" w:ascii="宋体" w:hAnsi="宋体" w:cs="宋体"/>
                <w:kern w:val="0"/>
                <w:sz w:val="22"/>
                <w:szCs w:val="22"/>
              </w:rPr>
              <w:t>配套的售后承诺及质保期</w:t>
            </w:r>
          </w:p>
        </w:tc>
        <w:tc>
          <w:tcPr>
            <w:tcW w:w="610" w:type="pct"/>
            <w:vAlign w:val="center"/>
          </w:tcPr>
          <w:p>
            <w:pPr>
              <w:spacing w:line="400" w:lineRule="exact"/>
              <w:jc w:val="center"/>
              <w:rPr>
                <w:rFonts w:hint="eastAsia" w:ascii="宋体" w:hAnsi="宋体" w:cs="宋体"/>
                <w:sz w:val="22"/>
                <w:szCs w:val="22"/>
              </w:rPr>
            </w:pPr>
            <w:r>
              <w:rPr>
                <w:rFonts w:hint="eastAsia" w:ascii="宋体" w:hAnsi="宋体" w:cs="宋体"/>
                <w:sz w:val="22"/>
                <w:szCs w:val="22"/>
              </w:rPr>
              <w:t>0-6分</w:t>
            </w:r>
          </w:p>
        </w:tc>
        <w:tc>
          <w:tcPr>
            <w:tcW w:w="3269" w:type="pct"/>
            <w:vAlign w:val="center"/>
          </w:tcPr>
          <w:p>
            <w:pPr>
              <w:spacing w:line="400" w:lineRule="exact"/>
              <w:rPr>
                <w:rFonts w:hint="eastAsia" w:ascii="宋体" w:hAnsi="宋体" w:cs="宋体"/>
                <w:kern w:val="0"/>
                <w:sz w:val="22"/>
                <w:szCs w:val="22"/>
              </w:rPr>
            </w:pPr>
            <w:r>
              <w:rPr>
                <w:rFonts w:hint="eastAsia" w:ascii="宋体" w:hAnsi="宋体" w:cs="宋体"/>
                <w:kern w:val="0"/>
                <w:sz w:val="22"/>
                <w:szCs w:val="22"/>
              </w:rPr>
              <w:t>投标人在响应招标文件要求的免费质保期（2年）的基础上，每个增加一年（不足 1 年不得分）得 2分，最多得 6 分。</w:t>
            </w:r>
          </w:p>
          <w:p>
            <w:pPr>
              <w:spacing w:line="400" w:lineRule="exact"/>
              <w:rPr>
                <w:rFonts w:hint="eastAsia" w:ascii="宋体" w:hAnsi="宋体" w:cs="宋体"/>
                <w:kern w:val="0"/>
                <w:sz w:val="22"/>
                <w:szCs w:val="22"/>
              </w:rPr>
            </w:pPr>
            <w:r>
              <w:rPr>
                <w:rFonts w:hint="eastAsia" w:ascii="宋体" w:hAnsi="宋体" w:cs="宋体"/>
                <w:kern w:val="0"/>
                <w:sz w:val="22"/>
                <w:szCs w:val="22"/>
              </w:rPr>
              <w:t>注：投标文件中提供承诺函扫描件（格式自拟）。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0" w:type="pct"/>
            <w:vAlign w:val="center"/>
          </w:tcPr>
          <w:p>
            <w:pPr>
              <w:spacing w:line="400" w:lineRule="exact"/>
              <w:jc w:val="center"/>
              <w:rPr>
                <w:rFonts w:hint="eastAsia" w:ascii="宋体" w:hAnsi="宋体" w:cs="宋体"/>
                <w:b/>
                <w:bCs/>
                <w:sz w:val="22"/>
                <w:szCs w:val="22"/>
              </w:rPr>
            </w:pPr>
            <w:r>
              <w:rPr>
                <w:rFonts w:hint="eastAsia" w:ascii="宋体" w:hAnsi="宋体" w:cs="宋体"/>
                <w:b/>
                <w:bCs/>
                <w:sz w:val="22"/>
                <w:szCs w:val="22"/>
              </w:rPr>
              <w:t>2.2.3（3）</w:t>
            </w:r>
          </w:p>
        </w:tc>
        <w:tc>
          <w:tcPr>
            <w:tcW w:w="820" w:type="pct"/>
            <w:gridSpan w:val="2"/>
            <w:vAlign w:val="center"/>
          </w:tcPr>
          <w:p>
            <w:pPr>
              <w:spacing w:line="400" w:lineRule="exact"/>
              <w:jc w:val="center"/>
              <w:rPr>
                <w:rFonts w:hint="eastAsia" w:ascii="宋体" w:hAnsi="宋体" w:cs="宋体"/>
                <w:b/>
                <w:bCs/>
                <w:sz w:val="22"/>
                <w:szCs w:val="22"/>
              </w:rPr>
            </w:pPr>
            <w:r>
              <w:rPr>
                <w:rFonts w:hint="eastAsia" w:ascii="宋体" w:hAnsi="宋体" w:cs="宋体"/>
                <w:b/>
                <w:bCs/>
                <w:sz w:val="22"/>
                <w:szCs w:val="22"/>
              </w:rPr>
              <w:t>投标报价评分</w:t>
            </w:r>
          </w:p>
          <w:p>
            <w:pPr>
              <w:spacing w:line="400" w:lineRule="exact"/>
              <w:jc w:val="center"/>
              <w:rPr>
                <w:rFonts w:ascii="宋体" w:hAnsi="宋体" w:cs="宋体"/>
                <w:sz w:val="22"/>
                <w:szCs w:val="22"/>
              </w:rPr>
            </w:pPr>
            <w:r>
              <w:rPr>
                <w:rFonts w:hint="eastAsia" w:ascii="宋体" w:hAnsi="宋体" w:cs="宋体"/>
                <w:b/>
                <w:bCs/>
                <w:sz w:val="22"/>
                <w:szCs w:val="22"/>
              </w:rPr>
              <w:t>（50分）</w:t>
            </w:r>
          </w:p>
        </w:tc>
        <w:tc>
          <w:tcPr>
            <w:tcW w:w="610" w:type="pct"/>
            <w:vAlign w:val="center"/>
          </w:tcPr>
          <w:p>
            <w:pPr>
              <w:spacing w:line="400" w:lineRule="exact"/>
              <w:jc w:val="center"/>
              <w:rPr>
                <w:rFonts w:hint="eastAsia" w:ascii="宋体" w:hAnsi="宋体" w:cs="宋体"/>
                <w:sz w:val="22"/>
                <w:szCs w:val="22"/>
              </w:rPr>
            </w:pPr>
            <w:r>
              <w:rPr>
                <w:rFonts w:hint="eastAsia" w:ascii="宋体" w:hAnsi="宋体" w:cs="宋体"/>
                <w:sz w:val="22"/>
                <w:szCs w:val="22"/>
              </w:rPr>
              <w:t>0-50分</w:t>
            </w:r>
          </w:p>
        </w:tc>
        <w:tc>
          <w:tcPr>
            <w:tcW w:w="3269" w:type="pct"/>
            <w:vAlign w:val="center"/>
          </w:tcPr>
          <w:p>
            <w:pPr>
              <w:spacing w:line="400" w:lineRule="exact"/>
              <w:rPr>
                <w:rFonts w:hint="eastAsia" w:ascii="宋体" w:hAnsi="宋体" w:cs="宋体"/>
                <w:sz w:val="22"/>
                <w:szCs w:val="22"/>
              </w:rPr>
            </w:pPr>
            <w:r>
              <w:rPr>
                <w:rFonts w:hint="eastAsia" w:ascii="宋体" w:hAnsi="宋体" w:cs="宋体"/>
                <w:sz w:val="22"/>
                <w:szCs w:val="22"/>
              </w:rPr>
              <w:t>（1）评标价的偏差率计算</w:t>
            </w:r>
          </w:p>
          <w:p>
            <w:pPr>
              <w:spacing w:line="400" w:lineRule="exact"/>
              <w:rPr>
                <w:rFonts w:hint="eastAsia" w:ascii="宋体" w:hAnsi="宋体" w:cs="宋体"/>
                <w:sz w:val="22"/>
                <w:szCs w:val="22"/>
              </w:rPr>
            </w:pPr>
            <w:r>
              <w:rPr>
                <w:rFonts w:hint="eastAsia" w:ascii="宋体" w:hAnsi="宋体" w:cs="宋体"/>
                <w:sz w:val="22"/>
                <w:szCs w:val="22"/>
              </w:rPr>
              <w:t>偏差率=100%×（投标人评标价-评标基准价）/评标基准价</w:t>
            </w:r>
          </w:p>
          <w:p>
            <w:pPr>
              <w:spacing w:line="400" w:lineRule="exact"/>
              <w:rPr>
                <w:rFonts w:hint="eastAsia" w:ascii="宋体" w:hAnsi="宋体" w:cs="宋体"/>
                <w:sz w:val="22"/>
                <w:szCs w:val="22"/>
              </w:rPr>
            </w:pPr>
            <w:r>
              <w:rPr>
                <w:rFonts w:hint="eastAsia" w:ascii="宋体" w:hAnsi="宋体" w:cs="宋体"/>
                <w:sz w:val="22"/>
                <w:szCs w:val="22"/>
              </w:rPr>
              <w:t>偏差率保留两位小数（小数点后第三位“四舍五入”），即为</w:t>
            </w:r>
          </w:p>
          <w:p>
            <w:pPr>
              <w:spacing w:line="400" w:lineRule="exact"/>
              <w:rPr>
                <w:rFonts w:hint="eastAsia" w:ascii="宋体" w:hAnsi="宋体" w:cs="宋体"/>
                <w:sz w:val="22"/>
                <w:szCs w:val="22"/>
              </w:rPr>
            </w:pPr>
            <w:r>
              <w:rPr>
                <w:rFonts w:hint="eastAsia" w:ascii="宋体" w:hAnsi="宋体" w:cs="宋体"/>
                <w:sz w:val="22"/>
                <w:szCs w:val="22"/>
              </w:rPr>
              <w:t>*.**%。</w:t>
            </w:r>
          </w:p>
          <w:p>
            <w:pPr>
              <w:spacing w:line="400" w:lineRule="exact"/>
              <w:rPr>
                <w:rFonts w:hint="eastAsia" w:ascii="宋体" w:hAnsi="宋体" w:cs="宋体"/>
                <w:sz w:val="22"/>
                <w:szCs w:val="22"/>
              </w:rPr>
            </w:pPr>
            <w:r>
              <w:rPr>
                <w:rFonts w:hint="eastAsia" w:ascii="宋体" w:hAnsi="宋体" w:cs="宋体"/>
                <w:sz w:val="22"/>
                <w:szCs w:val="22"/>
              </w:rPr>
              <w:t>（2）评标价得分计算</w:t>
            </w:r>
          </w:p>
          <w:p>
            <w:pPr>
              <w:spacing w:line="400" w:lineRule="exact"/>
              <w:rPr>
                <w:rFonts w:hint="eastAsia" w:ascii="宋体" w:hAnsi="宋体" w:cs="宋体"/>
                <w:sz w:val="22"/>
                <w:szCs w:val="22"/>
              </w:rPr>
            </w:pPr>
            <w:r>
              <w:rPr>
                <w:rFonts w:hint="eastAsia" w:ascii="宋体" w:hAnsi="宋体" w:cs="宋体"/>
                <w:sz w:val="22"/>
                <w:szCs w:val="22"/>
              </w:rPr>
              <w:t>①当投标人评标价＞评标基准价，评标价得分=F-偏差率</w:t>
            </w:r>
          </w:p>
          <w:p>
            <w:pPr>
              <w:spacing w:line="400" w:lineRule="exact"/>
              <w:rPr>
                <w:rFonts w:hint="eastAsia" w:ascii="宋体" w:hAnsi="宋体" w:cs="宋体"/>
                <w:sz w:val="22"/>
                <w:szCs w:val="22"/>
              </w:rPr>
            </w:pPr>
            <w:r>
              <w:rPr>
                <w:rFonts w:hint="eastAsia" w:ascii="宋体" w:hAnsi="宋体" w:cs="宋体"/>
                <w:sz w:val="22"/>
                <w:szCs w:val="22"/>
              </w:rPr>
              <w:t>*100*E1</w:t>
            </w:r>
          </w:p>
          <w:p>
            <w:pPr>
              <w:spacing w:line="400" w:lineRule="exact"/>
              <w:rPr>
                <w:rFonts w:hint="eastAsia" w:ascii="宋体" w:hAnsi="宋体" w:cs="宋体"/>
                <w:sz w:val="22"/>
                <w:szCs w:val="22"/>
              </w:rPr>
            </w:pPr>
            <w:r>
              <w:rPr>
                <w:rFonts w:hint="eastAsia" w:ascii="宋体" w:hAnsi="宋体" w:cs="宋体"/>
                <w:sz w:val="22"/>
                <w:szCs w:val="22"/>
              </w:rPr>
              <w:t>②当投标人评标价≤评标基准价，评标价得分=F+偏差率</w:t>
            </w:r>
          </w:p>
          <w:p>
            <w:pPr>
              <w:spacing w:line="400" w:lineRule="exact"/>
              <w:rPr>
                <w:rFonts w:hint="eastAsia" w:ascii="宋体" w:hAnsi="宋体" w:cs="宋体"/>
                <w:sz w:val="22"/>
                <w:szCs w:val="22"/>
              </w:rPr>
            </w:pPr>
            <w:r>
              <w:rPr>
                <w:rFonts w:hint="eastAsia" w:ascii="宋体" w:hAnsi="宋体" w:cs="宋体"/>
                <w:sz w:val="22"/>
                <w:szCs w:val="22"/>
              </w:rPr>
              <w:t>*100*E2</w:t>
            </w:r>
          </w:p>
          <w:p>
            <w:pPr>
              <w:spacing w:line="400" w:lineRule="exact"/>
              <w:rPr>
                <w:rFonts w:hint="eastAsia" w:ascii="宋体" w:hAnsi="宋体" w:cs="宋体"/>
                <w:sz w:val="22"/>
                <w:szCs w:val="22"/>
              </w:rPr>
            </w:pPr>
            <w:r>
              <w:rPr>
                <w:rFonts w:hint="eastAsia" w:ascii="宋体" w:hAnsi="宋体" w:cs="宋体"/>
                <w:sz w:val="22"/>
                <w:szCs w:val="22"/>
              </w:rPr>
              <w:t>其中：F=50分。E1=1；E2=0.5。</w:t>
            </w:r>
          </w:p>
          <w:p>
            <w:pPr>
              <w:spacing w:line="400" w:lineRule="exact"/>
              <w:rPr>
                <w:rFonts w:hint="eastAsia" w:ascii="宋体" w:hAnsi="宋体" w:cs="宋体"/>
                <w:sz w:val="22"/>
                <w:szCs w:val="22"/>
              </w:rPr>
            </w:pPr>
            <w:r>
              <w:rPr>
                <w:rFonts w:hint="eastAsia" w:ascii="宋体" w:hAnsi="宋体" w:cs="宋体"/>
                <w:sz w:val="22"/>
                <w:szCs w:val="22"/>
              </w:rPr>
              <w:t>当评标价得分为负时，均按0分计算。评分分值计算保</w:t>
            </w:r>
          </w:p>
          <w:p>
            <w:pPr>
              <w:spacing w:line="400" w:lineRule="exact"/>
              <w:rPr>
                <w:rFonts w:hint="eastAsia" w:ascii="宋体" w:hAnsi="宋体" w:cs="宋体"/>
                <w:sz w:val="22"/>
                <w:szCs w:val="22"/>
              </w:rPr>
            </w:pPr>
            <w:r>
              <w:rPr>
                <w:rFonts w:hint="eastAsia" w:ascii="宋体" w:hAnsi="宋体" w:cs="宋体"/>
                <w:sz w:val="22"/>
                <w:szCs w:val="22"/>
              </w:rPr>
              <w:t>留小数点后两位，小数点后第三位“四舍五入”。</w:t>
            </w:r>
          </w:p>
        </w:tc>
      </w:tr>
    </w:tbl>
    <w:p>
      <w:pPr>
        <w:keepNext/>
        <w:keepLines/>
        <w:spacing w:before="120" w:after="120" w:line="400" w:lineRule="exact"/>
        <w:outlineLvl w:val="1"/>
        <w:rPr>
          <w:rFonts w:eastAsia="黑体"/>
          <w:b/>
          <w:bCs/>
          <w:szCs w:val="21"/>
        </w:rPr>
        <w:sectPr>
          <w:footnotePr>
            <w:numFmt w:val="decimalEnclosedCircleChinese"/>
            <w:numRestart w:val="eachPage"/>
          </w:footnotePr>
          <w:pgSz w:w="11907" w:h="16840"/>
          <w:pgMar w:top="1440" w:right="1080" w:bottom="1440" w:left="1080" w:header="799" w:footer="907" w:gutter="0"/>
          <w:cols w:space="720" w:num="1"/>
          <w:titlePg/>
          <w:docGrid w:linePitch="286" w:charSpace="0"/>
        </w:sectPr>
      </w:pPr>
    </w:p>
    <w:bookmarkEnd w:id="269"/>
    <w:p>
      <w:pPr>
        <w:keepNext/>
        <w:keepLines/>
        <w:spacing w:line="480" w:lineRule="exact"/>
        <w:outlineLvl w:val="1"/>
        <w:rPr>
          <w:rFonts w:hint="eastAsia" w:ascii="宋体" w:hAnsi="宋体" w:cs="宋体"/>
          <w:b/>
          <w:bCs/>
          <w:sz w:val="22"/>
          <w:szCs w:val="22"/>
        </w:rPr>
      </w:pPr>
      <w:bookmarkStart w:id="270" w:name="_Toc16005"/>
      <w:r>
        <w:rPr>
          <w:rFonts w:hint="eastAsia" w:ascii="宋体" w:hAnsi="宋体" w:cs="宋体"/>
          <w:b/>
          <w:bCs/>
          <w:sz w:val="22"/>
          <w:szCs w:val="22"/>
        </w:rPr>
        <w:t>1. 评标方法</w:t>
      </w:r>
      <w:bookmarkEnd w:id="270"/>
    </w:p>
    <w:p>
      <w:pPr>
        <w:keepNext/>
        <w:keepLines/>
        <w:spacing w:line="480" w:lineRule="exact"/>
        <w:ind w:firstLine="440" w:firstLineChars="200"/>
        <w:outlineLvl w:val="1"/>
        <w:rPr>
          <w:rFonts w:hint="eastAsia" w:ascii="宋体" w:hAnsi="宋体" w:cs="宋体"/>
          <w:sz w:val="22"/>
          <w:szCs w:val="22"/>
        </w:rPr>
      </w:pPr>
      <w:bookmarkStart w:id="271" w:name="_Toc24269"/>
      <w:r>
        <w:rPr>
          <w:rFonts w:hint="eastAsia" w:ascii="宋体" w:hAnsi="宋体" w:cs="宋体"/>
          <w:sz w:val="22"/>
          <w:szCs w:val="22"/>
        </w:rPr>
        <w:t>本次评标采用综合评估法（一次平均）。评标委员会对满足招标文件实质性要求的投标文件，按照本章第 2.2 款规定的评分标准进行打分，并按得分由高到低顺序推荐中标候选人，或根据招标人授权直接确定中标人，但投标报价低于其成本的除外。综合评分相等时，以投标报价低的优先；投标报价也相等的，以技术得分高的优先；如果技术得分也相等，按照评标办法前附表中的规定确定中标候选人顺序。</w:t>
      </w:r>
      <w:bookmarkEnd w:id="271"/>
    </w:p>
    <w:p>
      <w:pPr>
        <w:keepNext/>
        <w:keepLines/>
        <w:spacing w:line="480" w:lineRule="exact"/>
        <w:outlineLvl w:val="1"/>
        <w:rPr>
          <w:rFonts w:hint="eastAsia" w:ascii="宋体" w:hAnsi="宋体" w:cs="宋体"/>
          <w:b/>
          <w:bCs/>
          <w:sz w:val="22"/>
          <w:szCs w:val="22"/>
        </w:rPr>
      </w:pPr>
      <w:bookmarkStart w:id="272" w:name="_Toc2961"/>
      <w:r>
        <w:rPr>
          <w:rFonts w:hint="eastAsia" w:ascii="宋体" w:hAnsi="宋体" w:cs="宋体"/>
          <w:b/>
          <w:bCs/>
          <w:sz w:val="22"/>
          <w:szCs w:val="22"/>
        </w:rPr>
        <w:t>2. 评审标准</w:t>
      </w:r>
      <w:bookmarkEnd w:id="272"/>
    </w:p>
    <w:p>
      <w:pPr>
        <w:keepNext/>
        <w:keepLines/>
        <w:spacing w:line="480" w:lineRule="exact"/>
        <w:ind w:firstLine="440" w:firstLineChars="200"/>
        <w:outlineLvl w:val="1"/>
        <w:rPr>
          <w:rFonts w:hint="eastAsia" w:ascii="宋体" w:hAnsi="宋体" w:cs="宋体"/>
          <w:sz w:val="22"/>
          <w:szCs w:val="22"/>
        </w:rPr>
      </w:pPr>
      <w:bookmarkStart w:id="273" w:name="_Toc26271"/>
      <w:r>
        <w:rPr>
          <w:rFonts w:hint="eastAsia" w:ascii="宋体" w:hAnsi="宋体" w:cs="宋体"/>
          <w:sz w:val="22"/>
          <w:szCs w:val="22"/>
        </w:rPr>
        <w:t>2.1 初步评审标准</w:t>
      </w:r>
      <w:bookmarkEnd w:id="273"/>
    </w:p>
    <w:p>
      <w:pPr>
        <w:keepNext/>
        <w:keepLines/>
        <w:spacing w:line="480" w:lineRule="exact"/>
        <w:ind w:firstLine="440" w:firstLineChars="200"/>
        <w:outlineLvl w:val="1"/>
        <w:rPr>
          <w:rFonts w:hint="eastAsia" w:ascii="宋体" w:hAnsi="宋体" w:cs="宋体"/>
          <w:sz w:val="22"/>
          <w:szCs w:val="22"/>
        </w:rPr>
      </w:pPr>
      <w:bookmarkStart w:id="274" w:name="_Toc21208"/>
      <w:r>
        <w:rPr>
          <w:rFonts w:hint="eastAsia" w:ascii="宋体" w:hAnsi="宋体" w:cs="宋体"/>
          <w:sz w:val="22"/>
          <w:szCs w:val="22"/>
        </w:rPr>
        <w:t>2.1.1 形式评审标准：见评标办法前附表。</w:t>
      </w:r>
      <w:bookmarkEnd w:id="274"/>
    </w:p>
    <w:p>
      <w:pPr>
        <w:keepNext/>
        <w:keepLines/>
        <w:spacing w:line="480" w:lineRule="exact"/>
        <w:ind w:firstLine="440" w:firstLineChars="200"/>
        <w:outlineLvl w:val="1"/>
        <w:rPr>
          <w:rFonts w:hint="eastAsia" w:ascii="宋体" w:hAnsi="宋体" w:cs="宋体"/>
          <w:sz w:val="22"/>
          <w:szCs w:val="22"/>
        </w:rPr>
      </w:pPr>
      <w:bookmarkStart w:id="275" w:name="_Toc29105"/>
      <w:r>
        <w:rPr>
          <w:rFonts w:hint="eastAsia" w:ascii="宋体" w:hAnsi="宋体" w:cs="宋体"/>
          <w:sz w:val="22"/>
          <w:szCs w:val="22"/>
        </w:rPr>
        <w:t>2.1.2 资格评审标准：见评标办法前附表。</w:t>
      </w:r>
      <w:bookmarkEnd w:id="275"/>
    </w:p>
    <w:p>
      <w:pPr>
        <w:keepNext/>
        <w:keepLines/>
        <w:spacing w:line="480" w:lineRule="exact"/>
        <w:ind w:firstLine="440" w:firstLineChars="200"/>
        <w:outlineLvl w:val="1"/>
        <w:rPr>
          <w:rFonts w:hint="eastAsia" w:ascii="宋体" w:hAnsi="宋体" w:cs="宋体"/>
          <w:sz w:val="22"/>
          <w:szCs w:val="22"/>
        </w:rPr>
      </w:pPr>
      <w:bookmarkStart w:id="276" w:name="_Toc6019"/>
      <w:r>
        <w:rPr>
          <w:rFonts w:hint="eastAsia" w:ascii="宋体" w:hAnsi="宋体" w:cs="宋体"/>
          <w:sz w:val="22"/>
          <w:szCs w:val="22"/>
        </w:rPr>
        <w:t>2.1.3 响应性评审标准：见评标办法前附表。</w:t>
      </w:r>
      <w:bookmarkEnd w:id="276"/>
    </w:p>
    <w:p>
      <w:pPr>
        <w:keepNext/>
        <w:keepLines/>
        <w:spacing w:line="480" w:lineRule="exact"/>
        <w:ind w:firstLine="440" w:firstLineChars="200"/>
        <w:outlineLvl w:val="1"/>
        <w:rPr>
          <w:rFonts w:hint="eastAsia" w:ascii="宋体" w:hAnsi="宋体" w:cs="宋体"/>
          <w:sz w:val="22"/>
          <w:szCs w:val="22"/>
        </w:rPr>
      </w:pPr>
      <w:bookmarkStart w:id="277" w:name="_Toc22568"/>
      <w:r>
        <w:rPr>
          <w:rFonts w:hint="eastAsia" w:ascii="宋体" w:hAnsi="宋体" w:cs="宋体"/>
          <w:sz w:val="22"/>
          <w:szCs w:val="22"/>
        </w:rPr>
        <w:t>2.2 分值构成与评分标准</w:t>
      </w:r>
      <w:bookmarkEnd w:id="277"/>
    </w:p>
    <w:p>
      <w:pPr>
        <w:keepNext/>
        <w:keepLines/>
        <w:spacing w:line="480" w:lineRule="exact"/>
        <w:ind w:firstLine="440" w:firstLineChars="200"/>
        <w:outlineLvl w:val="1"/>
        <w:rPr>
          <w:rFonts w:hint="eastAsia" w:ascii="宋体" w:hAnsi="宋体" w:cs="宋体"/>
          <w:sz w:val="22"/>
          <w:szCs w:val="22"/>
        </w:rPr>
      </w:pPr>
      <w:bookmarkStart w:id="278" w:name="_Toc5209"/>
      <w:r>
        <w:rPr>
          <w:rFonts w:hint="eastAsia" w:ascii="宋体" w:hAnsi="宋体" w:cs="宋体"/>
          <w:sz w:val="22"/>
          <w:szCs w:val="22"/>
        </w:rPr>
        <w:t>2.2.1 分值构成</w:t>
      </w:r>
      <w:bookmarkEnd w:id="278"/>
    </w:p>
    <w:p>
      <w:pPr>
        <w:keepNext/>
        <w:keepLines/>
        <w:spacing w:line="480" w:lineRule="exact"/>
        <w:ind w:firstLine="440" w:firstLineChars="200"/>
        <w:outlineLvl w:val="1"/>
        <w:rPr>
          <w:rFonts w:hint="eastAsia" w:ascii="宋体" w:hAnsi="宋体" w:cs="宋体"/>
          <w:sz w:val="22"/>
          <w:szCs w:val="22"/>
        </w:rPr>
      </w:pPr>
      <w:bookmarkStart w:id="279" w:name="_Toc26644"/>
      <w:r>
        <w:rPr>
          <w:rFonts w:hint="eastAsia" w:ascii="宋体" w:hAnsi="宋体" w:cs="宋体"/>
          <w:sz w:val="22"/>
          <w:szCs w:val="22"/>
        </w:rPr>
        <w:t>（1）商务部分：见评标办法前附表；</w:t>
      </w:r>
      <w:bookmarkEnd w:id="279"/>
    </w:p>
    <w:p>
      <w:pPr>
        <w:keepNext/>
        <w:keepLines/>
        <w:spacing w:line="480" w:lineRule="exact"/>
        <w:ind w:firstLine="440" w:firstLineChars="200"/>
        <w:outlineLvl w:val="1"/>
        <w:rPr>
          <w:rFonts w:hint="eastAsia" w:ascii="宋体" w:hAnsi="宋体" w:cs="宋体"/>
          <w:sz w:val="22"/>
          <w:szCs w:val="22"/>
        </w:rPr>
      </w:pPr>
      <w:bookmarkStart w:id="280" w:name="_Toc3052"/>
      <w:r>
        <w:rPr>
          <w:rFonts w:hint="eastAsia" w:ascii="宋体" w:hAnsi="宋体" w:cs="宋体"/>
          <w:sz w:val="22"/>
          <w:szCs w:val="22"/>
        </w:rPr>
        <w:t>（2）技术部分：见评标办法前附表；</w:t>
      </w:r>
      <w:bookmarkEnd w:id="280"/>
    </w:p>
    <w:p>
      <w:pPr>
        <w:keepNext/>
        <w:keepLines/>
        <w:spacing w:line="480" w:lineRule="exact"/>
        <w:ind w:firstLine="440" w:firstLineChars="200"/>
        <w:outlineLvl w:val="1"/>
        <w:rPr>
          <w:rFonts w:hint="eastAsia" w:ascii="宋体" w:hAnsi="宋体" w:cs="宋体"/>
          <w:sz w:val="22"/>
          <w:szCs w:val="22"/>
        </w:rPr>
      </w:pPr>
      <w:bookmarkStart w:id="281" w:name="_Toc23419"/>
      <w:r>
        <w:rPr>
          <w:rFonts w:hint="eastAsia" w:ascii="宋体" w:hAnsi="宋体" w:cs="宋体"/>
          <w:sz w:val="22"/>
          <w:szCs w:val="22"/>
        </w:rPr>
        <w:t>（3）投标报价：见评标办法前附表。</w:t>
      </w:r>
      <w:bookmarkEnd w:id="281"/>
    </w:p>
    <w:p>
      <w:pPr>
        <w:keepNext/>
        <w:keepLines/>
        <w:spacing w:line="480" w:lineRule="exact"/>
        <w:ind w:firstLine="440" w:firstLineChars="200"/>
        <w:outlineLvl w:val="1"/>
        <w:rPr>
          <w:rFonts w:hint="eastAsia" w:ascii="宋体" w:hAnsi="宋体" w:cs="宋体"/>
          <w:sz w:val="22"/>
          <w:szCs w:val="22"/>
        </w:rPr>
      </w:pPr>
      <w:bookmarkStart w:id="282" w:name="_Toc13050"/>
      <w:r>
        <w:rPr>
          <w:rFonts w:hint="eastAsia" w:ascii="宋体" w:hAnsi="宋体" w:cs="宋体"/>
          <w:sz w:val="22"/>
          <w:szCs w:val="22"/>
        </w:rPr>
        <w:t>2.2.2 评标基准价计算</w:t>
      </w:r>
      <w:bookmarkEnd w:id="282"/>
    </w:p>
    <w:p>
      <w:pPr>
        <w:keepNext/>
        <w:keepLines/>
        <w:spacing w:line="480" w:lineRule="exact"/>
        <w:ind w:firstLine="440" w:firstLineChars="200"/>
        <w:outlineLvl w:val="1"/>
        <w:rPr>
          <w:rFonts w:hint="eastAsia" w:ascii="宋体" w:hAnsi="宋体" w:cs="宋体"/>
          <w:sz w:val="22"/>
          <w:szCs w:val="22"/>
        </w:rPr>
      </w:pPr>
      <w:bookmarkStart w:id="283" w:name="_Toc13227"/>
      <w:r>
        <w:rPr>
          <w:rFonts w:hint="eastAsia" w:ascii="宋体" w:hAnsi="宋体" w:cs="宋体"/>
          <w:sz w:val="22"/>
          <w:szCs w:val="22"/>
        </w:rPr>
        <w:t>评标基准价计算方法：见评标办法前附表。</w:t>
      </w:r>
      <w:bookmarkEnd w:id="283"/>
    </w:p>
    <w:p>
      <w:pPr>
        <w:keepNext/>
        <w:keepLines/>
        <w:spacing w:line="480" w:lineRule="exact"/>
        <w:ind w:firstLine="440" w:firstLineChars="200"/>
        <w:outlineLvl w:val="1"/>
        <w:rPr>
          <w:rFonts w:hint="eastAsia" w:ascii="宋体" w:hAnsi="宋体" w:cs="宋体"/>
          <w:sz w:val="22"/>
          <w:szCs w:val="22"/>
        </w:rPr>
      </w:pPr>
      <w:bookmarkStart w:id="284" w:name="_Toc20217"/>
      <w:r>
        <w:rPr>
          <w:rFonts w:hint="eastAsia" w:ascii="宋体" w:hAnsi="宋体" w:cs="宋体"/>
          <w:sz w:val="22"/>
          <w:szCs w:val="22"/>
        </w:rPr>
        <w:t>2.2.3 评分标准</w:t>
      </w:r>
      <w:bookmarkEnd w:id="284"/>
    </w:p>
    <w:p>
      <w:pPr>
        <w:keepNext/>
        <w:keepLines/>
        <w:spacing w:line="480" w:lineRule="exact"/>
        <w:ind w:firstLine="440" w:firstLineChars="200"/>
        <w:outlineLvl w:val="1"/>
        <w:rPr>
          <w:rFonts w:hint="eastAsia" w:ascii="宋体" w:hAnsi="宋体" w:cs="宋体"/>
          <w:sz w:val="22"/>
          <w:szCs w:val="22"/>
        </w:rPr>
      </w:pPr>
      <w:bookmarkStart w:id="285" w:name="_Toc19488"/>
      <w:r>
        <w:rPr>
          <w:rFonts w:hint="eastAsia" w:ascii="宋体" w:hAnsi="宋体" w:cs="宋体"/>
          <w:sz w:val="22"/>
          <w:szCs w:val="22"/>
        </w:rPr>
        <w:t>（1）商务评分标准：见评标办法前附表；</w:t>
      </w:r>
      <w:bookmarkEnd w:id="285"/>
    </w:p>
    <w:p>
      <w:pPr>
        <w:keepNext/>
        <w:keepLines/>
        <w:spacing w:line="480" w:lineRule="exact"/>
        <w:ind w:firstLine="440" w:firstLineChars="200"/>
        <w:outlineLvl w:val="1"/>
        <w:rPr>
          <w:rFonts w:hint="eastAsia" w:ascii="宋体" w:hAnsi="宋体" w:cs="宋体"/>
          <w:sz w:val="22"/>
          <w:szCs w:val="22"/>
        </w:rPr>
      </w:pPr>
      <w:bookmarkStart w:id="286" w:name="_Toc12778"/>
      <w:r>
        <w:rPr>
          <w:rFonts w:hint="eastAsia" w:ascii="宋体" w:hAnsi="宋体" w:cs="宋体"/>
          <w:sz w:val="22"/>
          <w:szCs w:val="22"/>
        </w:rPr>
        <w:t>（2）技术评分标准：见评标办法前附表；</w:t>
      </w:r>
      <w:bookmarkEnd w:id="286"/>
    </w:p>
    <w:p>
      <w:pPr>
        <w:keepNext/>
        <w:keepLines/>
        <w:spacing w:line="480" w:lineRule="exact"/>
        <w:ind w:firstLine="440" w:firstLineChars="200"/>
        <w:outlineLvl w:val="1"/>
        <w:rPr>
          <w:rFonts w:hint="eastAsia" w:ascii="宋体" w:hAnsi="宋体" w:cs="宋体"/>
          <w:sz w:val="22"/>
          <w:szCs w:val="22"/>
        </w:rPr>
      </w:pPr>
      <w:bookmarkStart w:id="287" w:name="_Toc18812"/>
      <w:r>
        <w:rPr>
          <w:rFonts w:hint="eastAsia" w:ascii="宋体" w:hAnsi="宋体" w:cs="宋体"/>
          <w:sz w:val="22"/>
          <w:szCs w:val="22"/>
        </w:rPr>
        <w:t>（3）投标报价评分标准：见评标办法前附表。</w:t>
      </w:r>
      <w:bookmarkEnd w:id="287"/>
    </w:p>
    <w:p>
      <w:pPr>
        <w:keepNext/>
        <w:keepLines/>
        <w:spacing w:line="480" w:lineRule="exact"/>
        <w:outlineLvl w:val="1"/>
        <w:rPr>
          <w:rFonts w:hint="eastAsia" w:ascii="宋体" w:hAnsi="宋体" w:cs="宋体"/>
          <w:b/>
          <w:bCs/>
          <w:sz w:val="22"/>
          <w:szCs w:val="22"/>
        </w:rPr>
      </w:pPr>
      <w:bookmarkStart w:id="288" w:name="_Toc17898"/>
      <w:r>
        <w:rPr>
          <w:rFonts w:hint="eastAsia" w:ascii="宋体" w:hAnsi="宋体" w:cs="宋体"/>
          <w:b/>
          <w:bCs/>
          <w:sz w:val="22"/>
          <w:szCs w:val="22"/>
        </w:rPr>
        <w:t>3. 评标程序</w:t>
      </w:r>
      <w:bookmarkEnd w:id="288"/>
    </w:p>
    <w:p>
      <w:pPr>
        <w:keepNext/>
        <w:keepLines/>
        <w:spacing w:line="480" w:lineRule="exact"/>
        <w:ind w:firstLine="442" w:firstLineChars="200"/>
        <w:outlineLvl w:val="1"/>
        <w:rPr>
          <w:rFonts w:hint="eastAsia" w:ascii="宋体" w:hAnsi="宋体" w:cs="宋体"/>
          <w:b/>
          <w:bCs/>
          <w:sz w:val="22"/>
          <w:szCs w:val="22"/>
        </w:rPr>
      </w:pPr>
      <w:bookmarkStart w:id="289" w:name="_Toc28005"/>
      <w:r>
        <w:rPr>
          <w:rFonts w:hint="eastAsia" w:ascii="宋体" w:hAnsi="宋体" w:cs="宋体"/>
          <w:b/>
          <w:bCs/>
          <w:sz w:val="22"/>
          <w:szCs w:val="22"/>
        </w:rPr>
        <w:t>3.1 商务及技术文件初步评审</w:t>
      </w:r>
      <w:bookmarkEnd w:id="289"/>
    </w:p>
    <w:p>
      <w:pPr>
        <w:keepNext/>
        <w:keepLines/>
        <w:spacing w:line="480" w:lineRule="exact"/>
        <w:ind w:firstLine="440" w:firstLineChars="200"/>
        <w:outlineLvl w:val="1"/>
        <w:rPr>
          <w:rFonts w:hint="eastAsia" w:ascii="宋体" w:hAnsi="宋体" w:cs="宋体"/>
          <w:sz w:val="22"/>
          <w:szCs w:val="22"/>
        </w:rPr>
      </w:pPr>
      <w:bookmarkStart w:id="290" w:name="_Toc11797"/>
      <w:r>
        <w:rPr>
          <w:rFonts w:hint="eastAsia" w:ascii="宋体" w:hAnsi="宋体" w:cs="宋体"/>
          <w:sz w:val="22"/>
          <w:szCs w:val="22"/>
        </w:rPr>
        <w:t>评标委员会依据本章第 2.1.1 项、第 2.1.2 项、第 2.1.3 项规定的评审标准对商务及技术文件进</w:t>
      </w:r>
      <w:bookmarkEnd w:id="290"/>
      <w:bookmarkStart w:id="291" w:name="_Toc24141"/>
      <w:r>
        <w:rPr>
          <w:rFonts w:hint="eastAsia" w:ascii="宋体" w:hAnsi="宋体" w:cs="宋体"/>
          <w:sz w:val="22"/>
          <w:szCs w:val="22"/>
        </w:rPr>
        <w:t>行初步评审。有一项不符合评审标准的，评标委员会应否决其投标。</w:t>
      </w:r>
      <w:bookmarkEnd w:id="291"/>
    </w:p>
    <w:p>
      <w:pPr>
        <w:keepNext/>
        <w:keepLines/>
        <w:spacing w:line="480" w:lineRule="exact"/>
        <w:ind w:firstLine="442" w:firstLineChars="200"/>
        <w:outlineLvl w:val="1"/>
        <w:rPr>
          <w:rFonts w:hint="eastAsia" w:ascii="宋体" w:hAnsi="宋体" w:cs="宋体"/>
          <w:b/>
          <w:bCs/>
          <w:sz w:val="22"/>
          <w:szCs w:val="22"/>
        </w:rPr>
      </w:pPr>
      <w:bookmarkStart w:id="292" w:name="_Toc28602"/>
      <w:r>
        <w:rPr>
          <w:rFonts w:hint="eastAsia" w:ascii="宋体" w:hAnsi="宋体" w:cs="宋体"/>
          <w:b/>
          <w:bCs/>
          <w:sz w:val="22"/>
          <w:szCs w:val="22"/>
        </w:rPr>
        <w:t>3.2 报价文件初步评审</w:t>
      </w:r>
      <w:bookmarkEnd w:id="292"/>
    </w:p>
    <w:p>
      <w:pPr>
        <w:keepNext/>
        <w:keepLines/>
        <w:spacing w:line="480" w:lineRule="exact"/>
        <w:ind w:firstLine="440" w:firstLineChars="200"/>
        <w:outlineLvl w:val="1"/>
        <w:rPr>
          <w:rFonts w:hint="eastAsia" w:ascii="宋体" w:hAnsi="宋体" w:cs="宋体"/>
          <w:sz w:val="22"/>
          <w:szCs w:val="22"/>
        </w:rPr>
      </w:pPr>
      <w:bookmarkStart w:id="293" w:name="_Toc10856"/>
      <w:r>
        <w:rPr>
          <w:rFonts w:hint="eastAsia" w:ascii="宋体" w:hAnsi="宋体" w:cs="宋体"/>
          <w:sz w:val="22"/>
          <w:szCs w:val="22"/>
        </w:rPr>
        <w:t>3.2.1 评标委员会依据本章第 2.1.1 款、第 2.1.3 款规定的评审标准对报价文件进行评审。有一项</w:t>
      </w:r>
      <w:bookmarkEnd w:id="293"/>
      <w:bookmarkStart w:id="294" w:name="_Toc28142"/>
      <w:r>
        <w:rPr>
          <w:rFonts w:hint="eastAsia" w:ascii="宋体" w:hAnsi="宋体" w:cs="宋体"/>
          <w:sz w:val="22"/>
          <w:szCs w:val="22"/>
        </w:rPr>
        <w:t>不符合评审标准的，评标委员会应否决其投标。</w:t>
      </w:r>
      <w:bookmarkEnd w:id="294"/>
    </w:p>
    <w:p>
      <w:pPr>
        <w:keepNext/>
        <w:keepLines/>
        <w:spacing w:line="480" w:lineRule="exact"/>
        <w:ind w:firstLine="440" w:firstLineChars="200"/>
        <w:outlineLvl w:val="1"/>
        <w:rPr>
          <w:rFonts w:hint="eastAsia" w:ascii="宋体" w:hAnsi="宋体" w:cs="宋体"/>
          <w:sz w:val="22"/>
          <w:szCs w:val="22"/>
        </w:rPr>
      </w:pPr>
      <w:bookmarkStart w:id="295" w:name="_Toc18268"/>
      <w:r>
        <w:rPr>
          <w:rFonts w:hint="eastAsia" w:ascii="宋体" w:hAnsi="宋体" w:cs="宋体"/>
          <w:sz w:val="22"/>
          <w:szCs w:val="22"/>
        </w:rPr>
        <w:t>3.2.2 投标报价有算术错误及其他错误的，评标委员会按以下原则对投标报价进行修正，并要求投</w:t>
      </w:r>
      <w:bookmarkEnd w:id="295"/>
      <w:bookmarkStart w:id="296" w:name="_Toc4866"/>
      <w:r>
        <w:rPr>
          <w:rFonts w:hint="eastAsia" w:ascii="宋体" w:hAnsi="宋体" w:cs="宋体"/>
          <w:sz w:val="22"/>
          <w:szCs w:val="22"/>
        </w:rPr>
        <w:t>标人书面澄清确认。投标人拒不澄清确认的，评标委员会应当否决其投标：</w:t>
      </w:r>
      <w:bookmarkEnd w:id="296"/>
    </w:p>
    <w:p>
      <w:pPr>
        <w:keepNext/>
        <w:keepLines/>
        <w:spacing w:line="480" w:lineRule="exact"/>
        <w:ind w:firstLine="440" w:firstLineChars="200"/>
        <w:outlineLvl w:val="1"/>
        <w:rPr>
          <w:rFonts w:hint="eastAsia" w:ascii="宋体" w:hAnsi="宋体" w:cs="宋体"/>
          <w:sz w:val="22"/>
          <w:szCs w:val="22"/>
        </w:rPr>
      </w:pPr>
      <w:bookmarkStart w:id="297" w:name="_Toc7282"/>
      <w:r>
        <w:rPr>
          <w:rFonts w:hint="eastAsia" w:ascii="宋体" w:hAnsi="宋体" w:cs="宋体"/>
          <w:sz w:val="22"/>
          <w:szCs w:val="22"/>
        </w:rPr>
        <w:t>（1）投标文件中的大写金额与小写金额不一致的，以大写金额为准；</w:t>
      </w:r>
      <w:bookmarkEnd w:id="297"/>
    </w:p>
    <w:p>
      <w:pPr>
        <w:keepNext/>
        <w:keepLines/>
        <w:spacing w:line="480" w:lineRule="exact"/>
        <w:ind w:firstLine="440" w:firstLineChars="200"/>
        <w:outlineLvl w:val="1"/>
        <w:rPr>
          <w:rFonts w:hint="eastAsia" w:ascii="宋体" w:hAnsi="宋体" w:cs="宋体"/>
          <w:sz w:val="22"/>
          <w:szCs w:val="22"/>
        </w:rPr>
      </w:pPr>
      <w:bookmarkStart w:id="298" w:name="_Toc7788"/>
      <w:r>
        <w:rPr>
          <w:rFonts w:hint="eastAsia" w:ascii="宋体" w:hAnsi="宋体" w:cs="宋体"/>
          <w:sz w:val="22"/>
          <w:szCs w:val="22"/>
        </w:rPr>
        <w:t>（2）总价金额与单价金额不一致的，以单价金额为准，但单价金额小数点有明显错误的除外；</w:t>
      </w:r>
      <w:bookmarkEnd w:id="298"/>
    </w:p>
    <w:p>
      <w:pPr>
        <w:keepNext/>
        <w:keepLines/>
        <w:spacing w:line="480" w:lineRule="exact"/>
        <w:ind w:firstLine="440" w:firstLineChars="200"/>
        <w:outlineLvl w:val="1"/>
        <w:rPr>
          <w:rFonts w:hint="eastAsia" w:ascii="宋体" w:hAnsi="宋体" w:cs="宋体"/>
          <w:sz w:val="22"/>
          <w:szCs w:val="22"/>
        </w:rPr>
      </w:pPr>
      <w:bookmarkStart w:id="299" w:name="_Toc21328"/>
      <w:r>
        <w:rPr>
          <w:rFonts w:hint="eastAsia" w:ascii="宋体" w:hAnsi="宋体" w:cs="宋体"/>
          <w:sz w:val="22"/>
          <w:szCs w:val="22"/>
        </w:rPr>
        <w:t>（3）投标报价为各分项报价金额之和，投标报价与分项报价的合价不一致的，应以各分项合价累</w:t>
      </w:r>
      <w:bookmarkEnd w:id="299"/>
      <w:bookmarkStart w:id="300" w:name="_Toc795"/>
      <w:r>
        <w:rPr>
          <w:rFonts w:hint="eastAsia" w:ascii="宋体" w:hAnsi="宋体" w:cs="宋体"/>
          <w:sz w:val="22"/>
          <w:szCs w:val="22"/>
        </w:rPr>
        <w:t>计数为准，修正投标报价；</w:t>
      </w:r>
      <w:bookmarkEnd w:id="300"/>
    </w:p>
    <w:p>
      <w:pPr>
        <w:keepNext/>
        <w:keepLines/>
        <w:numPr>
          <w:ilvl w:val="0"/>
          <w:numId w:val="5"/>
        </w:numPr>
        <w:spacing w:line="480" w:lineRule="exact"/>
        <w:ind w:firstLine="440" w:firstLineChars="200"/>
        <w:outlineLvl w:val="1"/>
        <w:rPr>
          <w:rFonts w:hint="eastAsia" w:ascii="宋体" w:hAnsi="宋体" w:cs="宋体"/>
          <w:sz w:val="22"/>
          <w:szCs w:val="22"/>
        </w:rPr>
      </w:pPr>
      <w:bookmarkStart w:id="301" w:name="_Toc19334"/>
      <w:r>
        <w:rPr>
          <w:rFonts w:hint="eastAsia" w:ascii="宋体" w:hAnsi="宋体" w:cs="宋体"/>
          <w:sz w:val="22"/>
          <w:szCs w:val="22"/>
        </w:rPr>
        <w:t>如果分项报价中存在缺漏项，则视为缺漏项价格已包含在其他分项报价之中。</w:t>
      </w:r>
      <w:bookmarkEnd w:id="301"/>
    </w:p>
    <w:p>
      <w:pPr>
        <w:keepNext/>
        <w:keepLines/>
        <w:spacing w:line="480" w:lineRule="exact"/>
        <w:ind w:firstLine="440" w:firstLineChars="200"/>
        <w:outlineLvl w:val="1"/>
        <w:rPr>
          <w:rFonts w:hint="eastAsia" w:ascii="宋体" w:hAnsi="宋体" w:cs="宋体"/>
          <w:sz w:val="22"/>
          <w:szCs w:val="22"/>
        </w:rPr>
      </w:pPr>
      <w:bookmarkStart w:id="302" w:name="_Toc24914"/>
      <w:r>
        <w:rPr>
          <w:rFonts w:hint="eastAsia" w:ascii="宋体" w:hAnsi="宋体" w:cs="宋体"/>
          <w:sz w:val="22"/>
          <w:szCs w:val="22"/>
        </w:rPr>
        <w:t>3.2.3 投标人投标报价明显缺乏竞争性的，评标委员会可以否决所有投标。</w:t>
      </w:r>
      <w:bookmarkEnd w:id="302"/>
    </w:p>
    <w:p>
      <w:pPr>
        <w:keepNext/>
        <w:keepLines/>
        <w:spacing w:line="480" w:lineRule="exact"/>
        <w:ind w:firstLine="442" w:firstLineChars="200"/>
        <w:outlineLvl w:val="1"/>
        <w:rPr>
          <w:rFonts w:hint="eastAsia" w:ascii="宋体" w:hAnsi="宋体" w:cs="宋体"/>
          <w:b/>
          <w:bCs/>
          <w:sz w:val="22"/>
          <w:szCs w:val="22"/>
        </w:rPr>
      </w:pPr>
      <w:bookmarkStart w:id="303" w:name="_Toc12144"/>
      <w:r>
        <w:rPr>
          <w:rFonts w:hint="eastAsia" w:ascii="宋体" w:hAnsi="宋体" w:cs="宋体"/>
          <w:b/>
          <w:bCs/>
          <w:sz w:val="22"/>
          <w:szCs w:val="22"/>
        </w:rPr>
        <w:t>3.3 详细评审</w:t>
      </w:r>
      <w:bookmarkEnd w:id="303"/>
    </w:p>
    <w:p>
      <w:pPr>
        <w:keepNext/>
        <w:keepLines/>
        <w:spacing w:line="480" w:lineRule="exact"/>
        <w:ind w:firstLine="440" w:firstLineChars="200"/>
        <w:outlineLvl w:val="1"/>
        <w:rPr>
          <w:rFonts w:hint="eastAsia" w:ascii="宋体" w:hAnsi="宋体" w:cs="宋体"/>
          <w:sz w:val="22"/>
          <w:szCs w:val="22"/>
        </w:rPr>
      </w:pPr>
      <w:bookmarkStart w:id="304" w:name="_Toc16514"/>
      <w:r>
        <w:rPr>
          <w:rFonts w:hint="eastAsia" w:ascii="宋体" w:hAnsi="宋体" w:cs="宋体"/>
          <w:sz w:val="22"/>
          <w:szCs w:val="22"/>
        </w:rPr>
        <w:t>3.3.1 评标委员会按本章第 2.2 款规定的量化因素和分值进行打分，并计算出综合评估得分。</w:t>
      </w:r>
      <w:bookmarkEnd w:id="304"/>
    </w:p>
    <w:p>
      <w:pPr>
        <w:keepNext/>
        <w:keepLines/>
        <w:spacing w:line="480" w:lineRule="exact"/>
        <w:ind w:firstLine="440" w:firstLineChars="200"/>
        <w:outlineLvl w:val="1"/>
        <w:rPr>
          <w:rFonts w:hint="eastAsia" w:ascii="宋体" w:hAnsi="宋体" w:cs="宋体"/>
          <w:sz w:val="22"/>
          <w:szCs w:val="22"/>
        </w:rPr>
      </w:pPr>
      <w:bookmarkStart w:id="305" w:name="_Toc23866"/>
      <w:r>
        <w:rPr>
          <w:rFonts w:hint="eastAsia" w:ascii="宋体" w:hAnsi="宋体" w:cs="宋体"/>
          <w:sz w:val="22"/>
          <w:szCs w:val="22"/>
        </w:rPr>
        <w:t>评标委员会成员总数为 5 人时，投标人本章第 2.2.3 项第（1）目</w:t>
      </w:r>
      <w:r>
        <w:rPr>
          <w:rFonts w:hint="eastAsia" w:ascii="宋体" w:hAnsi="宋体" w:cs="宋体"/>
          <w:sz w:val="22"/>
          <w:szCs w:val="22"/>
          <w:lang w:eastAsia="zh-CN"/>
        </w:rPr>
        <w:t>～</w:t>
      </w:r>
      <w:r>
        <w:rPr>
          <w:rFonts w:hint="eastAsia" w:ascii="宋体" w:hAnsi="宋体" w:cs="宋体"/>
          <w:sz w:val="22"/>
          <w:szCs w:val="22"/>
        </w:rPr>
        <w:t>第（3）目的得分以评标委员</w:t>
      </w:r>
      <w:bookmarkEnd w:id="305"/>
      <w:bookmarkStart w:id="306" w:name="_Toc4276"/>
      <w:r>
        <w:rPr>
          <w:rFonts w:hint="eastAsia" w:ascii="宋体" w:hAnsi="宋体" w:cs="宋体"/>
          <w:sz w:val="22"/>
          <w:szCs w:val="22"/>
        </w:rPr>
        <w:t>会各成员的打分平均值确定。评标委员会成员总数为 7 人及以上时，投标人本章第 2.2.3 项第（1）</w:t>
      </w:r>
      <w:bookmarkEnd w:id="306"/>
      <w:bookmarkStart w:id="307" w:name="_Toc11539"/>
      <w:r>
        <w:rPr>
          <w:rFonts w:hint="eastAsia" w:ascii="宋体" w:hAnsi="宋体" w:cs="宋体"/>
          <w:sz w:val="22"/>
          <w:szCs w:val="22"/>
        </w:rPr>
        <w:t>目</w:t>
      </w:r>
      <w:r>
        <w:rPr>
          <w:rFonts w:hint="eastAsia" w:ascii="宋体" w:hAnsi="宋体" w:cs="宋体"/>
          <w:sz w:val="22"/>
          <w:szCs w:val="22"/>
          <w:lang w:eastAsia="zh-CN"/>
        </w:rPr>
        <w:t>～</w:t>
      </w:r>
      <w:r>
        <w:rPr>
          <w:rFonts w:hint="eastAsia" w:ascii="宋体" w:hAnsi="宋体" w:cs="宋体"/>
          <w:sz w:val="22"/>
          <w:szCs w:val="22"/>
        </w:rPr>
        <w:t xml:space="preserve"> 第（3）目规定的得分以去掉一个最高分和一个最低分后的打分平均值确定。</w:t>
      </w:r>
      <w:bookmarkEnd w:id="307"/>
    </w:p>
    <w:p>
      <w:pPr>
        <w:keepNext/>
        <w:keepLines/>
        <w:spacing w:line="480" w:lineRule="exact"/>
        <w:ind w:firstLine="440" w:firstLineChars="200"/>
        <w:outlineLvl w:val="1"/>
        <w:rPr>
          <w:rFonts w:hint="eastAsia" w:ascii="宋体" w:hAnsi="宋体" w:cs="宋体"/>
          <w:sz w:val="22"/>
          <w:szCs w:val="22"/>
        </w:rPr>
      </w:pPr>
      <w:bookmarkStart w:id="308" w:name="_Toc30849"/>
      <w:r>
        <w:rPr>
          <w:rFonts w:hint="eastAsia" w:ascii="宋体" w:hAnsi="宋体" w:cs="宋体"/>
          <w:sz w:val="22"/>
          <w:szCs w:val="22"/>
        </w:rPr>
        <w:t>（1）按本章第 2.2.3（1）目规定的评审因素和分值对商务部分计算出得分 A；</w:t>
      </w:r>
      <w:bookmarkEnd w:id="308"/>
    </w:p>
    <w:p>
      <w:pPr>
        <w:keepNext/>
        <w:keepLines/>
        <w:spacing w:line="480" w:lineRule="exact"/>
        <w:ind w:firstLine="440" w:firstLineChars="200"/>
        <w:outlineLvl w:val="1"/>
        <w:rPr>
          <w:rFonts w:hint="eastAsia" w:ascii="宋体" w:hAnsi="宋体" w:cs="宋体"/>
          <w:sz w:val="22"/>
          <w:szCs w:val="22"/>
        </w:rPr>
      </w:pPr>
      <w:bookmarkStart w:id="309" w:name="_Toc9670"/>
      <w:r>
        <w:rPr>
          <w:rFonts w:hint="eastAsia" w:ascii="宋体" w:hAnsi="宋体" w:cs="宋体"/>
          <w:sz w:val="22"/>
          <w:szCs w:val="22"/>
        </w:rPr>
        <w:t>（2）按本章第 2.2.3（2）目规定的评审因素和分值对技术部分计算出得分 B；</w:t>
      </w:r>
      <w:bookmarkEnd w:id="309"/>
    </w:p>
    <w:p>
      <w:pPr>
        <w:keepNext/>
        <w:keepLines/>
        <w:spacing w:line="480" w:lineRule="exact"/>
        <w:ind w:firstLine="440" w:firstLineChars="200"/>
        <w:outlineLvl w:val="1"/>
        <w:rPr>
          <w:rFonts w:hint="eastAsia" w:ascii="宋体" w:hAnsi="宋体" w:cs="宋体"/>
          <w:sz w:val="22"/>
          <w:szCs w:val="22"/>
        </w:rPr>
      </w:pPr>
      <w:bookmarkStart w:id="310" w:name="_Toc23479"/>
      <w:r>
        <w:rPr>
          <w:rFonts w:hint="eastAsia" w:ascii="宋体" w:hAnsi="宋体" w:cs="宋体"/>
          <w:sz w:val="22"/>
          <w:szCs w:val="22"/>
        </w:rPr>
        <w:t>（3）按本章第 2.2.3（3）目规定的评审因素和分值对投标报价计算出得分 C。</w:t>
      </w:r>
      <w:bookmarkEnd w:id="310"/>
    </w:p>
    <w:p>
      <w:pPr>
        <w:keepNext/>
        <w:keepLines/>
        <w:spacing w:line="480" w:lineRule="exact"/>
        <w:ind w:firstLine="440" w:firstLineChars="200"/>
        <w:outlineLvl w:val="1"/>
        <w:rPr>
          <w:rFonts w:hint="eastAsia" w:ascii="宋体" w:hAnsi="宋体" w:cs="宋体"/>
          <w:sz w:val="22"/>
          <w:szCs w:val="22"/>
        </w:rPr>
      </w:pPr>
      <w:bookmarkStart w:id="311" w:name="_Toc31575"/>
      <w:r>
        <w:rPr>
          <w:rFonts w:hint="eastAsia" w:ascii="宋体" w:hAnsi="宋体" w:cs="宋体"/>
          <w:sz w:val="22"/>
          <w:szCs w:val="22"/>
        </w:rPr>
        <w:t>3.3.2 评分分值计算保留小数点后两位，小数点后第三位“四舍五入”。</w:t>
      </w:r>
      <w:bookmarkEnd w:id="311"/>
    </w:p>
    <w:p>
      <w:pPr>
        <w:keepNext/>
        <w:keepLines/>
        <w:spacing w:line="480" w:lineRule="exact"/>
        <w:ind w:firstLine="440" w:firstLineChars="200"/>
        <w:outlineLvl w:val="1"/>
        <w:rPr>
          <w:rFonts w:hint="eastAsia" w:ascii="宋体" w:hAnsi="宋体" w:cs="宋体"/>
          <w:sz w:val="22"/>
          <w:szCs w:val="22"/>
        </w:rPr>
      </w:pPr>
      <w:bookmarkStart w:id="312" w:name="_Toc10252"/>
      <w:r>
        <w:rPr>
          <w:rFonts w:hint="eastAsia" w:ascii="宋体" w:hAnsi="宋体" w:cs="宋体"/>
          <w:sz w:val="22"/>
          <w:szCs w:val="22"/>
        </w:rPr>
        <w:t>3.3.3 投标人得分=A+B+C。</w:t>
      </w:r>
      <w:bookmarkEnd w:id="312"/>
    </w:p>
    <w:p>
      <w:pPr>
        <w:keepNext/>
        <w:keepLines/>
        <w:spacing w:line="480" w:lineRule="exact"/>
        <w:ind w:firstLine="440" w:firstLineChars="200"/>
        <w:outlineLvl w:val="1"/>
        <w:rPr>
          <w:rFonts w:hint="eastAsia" w:ascii="宋体" w:hAnsi="宋体" w:cs="宋体"/>
          <w:sz w:val="22"/>
          <w:szCs w:val="22"/>
        </w:rPr>
      </w:pPr>
      <w:bookmarkStart w:id="313" w:name="_Toc20315"/>
      <w:r>
        <w:rPr>
          <w:rFonts w:hint="eastAsia" w:ascii="宋体" w:hAnsi="宋体" w:cs="宋体"/>
          <w:sz w:val="22"/>
          <w:szCs w:val="22"/>
        </w:rPr>
        <w:t>3.3.4 评标委员会发现投标人的报价明显低于其他投标报价，使得其投标报价可能低于其个别成本</w:t>
      </w:r>
      <w:bookmarkEnd w:id="313"/>
      <w:bookmarkStart w:id="314" w:name="_Toc8344"/>
      <w:r>
        <w:rPr>
          <w:rFonts w:hint="eastAsia" w:ascii="宋体" w:hAnsi="宋体" w:cs="宋体"/>
          <w:sz w:val="22"/>
          <w:szCs w:val="22"/>
        </w:rPr>
        <w:t>的，应当要求该投标人作出书面说明并提供相应的证明材料。投标人不能合理说明或者不能提供相应</w:t>
      </w:r>
      <w:bookmarkEnd w:id="314"/>
      <w:bookmarkStart w:id="315" w:name="_Toc10518"/>
      <w:r>
        <w:rPr>
          <w:rFonts w:hint="eastAsia" w:ascii="宋体" w:hAnsi="宋体" w:cs="宋体"/>
          <w:sz w:val="22"/>
          <w:szCs w:val="22"/>
        </w:rPr>
        <w:t>证明材料的，评标委员会应当认定该投标人以低于成本报价竞标，并否决其投标。</w:t>
      </w:r>
      <w:bookmarkEnd w:id="315"/>
    </w:p>
    <w:p>
      <w:pPr>
        <w:keepNext/>
        <w:keepLines/>
        <w:spacing w:line="480" w:lineRule="exact"/>
        <w:ind w:firstLine="442" w:firstLineChars="200"/>
        <w:outlineLvl w:val="1"/>
        <w:rPr>
          <w:rFonts w:hint="eastAsia" w:ascii="宋体" w:hAnsi="宋体" w:cs="宋体"/>
          <w:b/>
          <w:bCs/>
          <w:sz w:val="22"/>
          <w:szCs w:val="22"/>
        </w:rPr>
      </w:pPr>
      <w:bookmarkStart w:id="316" w:name="_Toc26090"/>
      <w:r>
        <w:rPr>
          <w:rFonts w:hint="eastAsia" w:ascii="宋体" w:hAnsi="宋体" w:cs="宋体"/>
          <w:b/>
          <w:bCs/>
          <w:sz w:val="22"/>
          <w:szCs w:val="22"/>
        </w:rPr>
        <w:t>3.4 否决投标的其他情形</w:t>
      </w:r>
      <w:bookmarkEnd w:id="316"/>
    </w:p>
    <w:p>
      <w:pPr>
        <w:keepNext/>
        <w:keepLines/>
        <w:spacing w:line="480" w:lineRule="exact"/>
        <w:ind w:firstLine="440" w:firstLineChars="200"/>
        <w:outlineLvl w:val="1"/>
        <w:rPr>
          <w:rFonts w:hint="eastAsia" w:ascii="宋体" w:hAnsi="宋体" w:cs="宋体"/>
          <w:sz w:val="22"/>
          <w:szCs w:val="22"/>
        </w:rPr>
      </w:pPr>
      <w:bookmarkStart w:id="317" w:name="_Toc2998"/>
      <w:r>
        <w:rPr>
          <w:rFonts w:hint="eastAsia" w:ascii="宋体" w:hAnsi="宋体" w:cs="宋体"/>
          <w:sz w:val="22"/>
          <w:szCs w:val="22"/>
        </w:rPr>
        <w:t>3.4.1 评标委员会应对在评标过程中发现的投标人与投标人之间、投标人与招标人之间存在的串通</w:t>
      </w:r>
      <w:bookmarkEnd w:id="317"/>
      <w:bookmarkStart w:id="318" w:name="_Toc10224"/>
      <w:r>
        <w:rPr>
          <w:rFonts w:hint="eastAsia" w:ascii="宋体" w:hAnsi="宋体" w:cs="宋体"/>
          <w:sz w:val="22"/>
          <w:szCs w:val="22"/>
        </w:rPr>
        <w:t>投标的情形进行评审和认定。投标人存在串通投标、弄虚作假、行贿等违法行为的，评标委员会应否</w:t>
      </w:r>
      <w:bookmarkEnd w:id="318"/>
      <w:bookmarkStart w:id="319" w:name="_Toc790"/>
      <w:r>
        <w:rPr>
          <w:rFonts w:hint="eastAsia" w:ascii="宋体" w:hAnsi="宋体" w:cs="宋体"/>
          <w:sz w:val="22"/>
          <w:szCs w:val="22"/>
        </w:rPr>
        <w:t>决其投标。</w:t>
      </w:r>
      <w:bookmarkEnd w:id="319"/>
    </w:p>
    <w:p>
      <w:pPr>
        <w:keepNext/>
        <w:keepLines/>
        <w:spacing w:line="480" w:lineRule="exact"/>
        <w:ind w:firstLine="440" w:firstLineChars="200"/>
        <w:outlineLvl w:val="1"/>
        <w:rPr>
          <w:rFonts w:hint="eastAsia" w:ascii="宋体" w:hAnsi="宋体" w:cs="宋体"/>
          <w:sz w:val="22"/>
          <w:szCs w:val="22"/>
        </w:rPr>
      </w:pPr>
      <w:bookmarkStart w:id="320" w:name="_Toc6165"/>
      <w:r>
        <w:rPr>
          <w:rFonts w:hint="eastAsia" w:ascii="宋体" w:hAnsi="宋体" w:cs="宋体"/>
          <w:sz w:val="22"/>
          <w:szCs w:val="22"/>
        </w:rPr>
        <w:t>（1）有下列情形之一的，属于投标人相互串通投标：</w:t>
      </w:r>
      <w:bookmarkEnd w:id="320"/>
    </w:p>
    <w:p>
      <w:pPr>
        <w:keepNext/>
        <w:keepLines/>
        <w:spacing w:line="480" w:lineRule="exact"/>
        <w:ind w:firstLine="440" w:firstLineChars="200"/>
        <w:outlineLvl w:val="1"/>
        <w:rPr>
          <w:rFonts w:hint="eastAsia" w:ascii="宋体" w:hAnsi="宋体" w:cs="宋体"/>
          <w:sz w:val="22"/>
          <w:szCs w:val="22"/>
        </w:rPr>
      </w:pPr>
      <w:bookmarkStart w:id="321" w:name="_Toc1012"/>
      <w:r>
        <w:rPr>
          <w:rFonts w:hint="eastAsia" w:ascii="宋体" w:hAnsi="宋体" w:cs="宋体"/>
          <w:sz w:val="22"/>
          <w:szCs w:val="22"/>
        </w:rPr>
        <w:t>a.投标人之间协商投标报价等投标文件的实质性内容；</w:t>
      </w:r>
      <w:bookmarkEnd w:id="321"/>
    </w:p>
    <w:p>
      <w:pPr>
        <w:keepNext/>
        <w:keepLines/>
        <w:spacing w:line="480" w:lineRule="exact"/>
        <w:ind w:firstLine="440" w:firstLineChars="200"/>
        <w:outlineLvl w:val="1"/>
        <w:rPr>
          <w:rFonts w:hint="eastAsia" w:ascii="宋体" w:hAnsi="宋体" w:cs="宋体"/>
          <w:sz w:val="22"/>
          <w:szCs w:val="22"/>
        </w:rPr>
      </w:pPr>
      <w:bookmarkStart w:id="322" w:name="_Toc9526"/>
      <w:r>
        <w:rPr>
          <w:rFonts w:hint="eastAsia" w:ascii="宋体" w:hAnsi="宋体" w:cs="宋体"/>
          <w:sz w:val="22"/>
          <w:szCs w:val="22"/>
        </w:rPr>
        <w:t>b.投标人之间约定中标人；</w:t>
      </w:r>
      <w:bookmarkEnd w:id="322"/>
    </w:p>
    <w:p>
      <w:pPr>
        <w:keepNext/>
        <w:keepLines/>
        <w:spacing w:line="480" w:lineRule="exact"/>
        <w:ind w:firstLine="440" w:firstLineChars="200"/>
        <w:outlineLvl w:val="1"/>
        <w:rPr>
          <w:rFonts w:hint="eastAsia" w:ascii="宋体" w:hAnsi="宋体" w:cs="宋体"/>
          <w:sz w:val="22"/>
          <w:szCs w:val="22"/>
        </w:rPr>
      </w:pPr>
      <w:bookmarkStart w:id="323" w:name="_Toc8832"/>
      <w:r>
        <w:rPr>
          <w:rFonts w:hint="eastAsia" w:ascii="宋体" w:hAnsi="宋体" w:cs="宋体"/>
          <w:sz w:val="22"/>
          <w:szCs w:val="22"/>
        </w:rPr>
        <w:t>c.投标人之间约定部分投标人放弃投标或中标；</w:t>
      </w:r>
      <w:bookmarkEnd w:id="323"/>
    </w:p>
    <w:p>
      <w:pPr>
        <w:keepNext/>
        <w:keepLines/>
        <w:spacing w:line="480" w:lineRule="exact"/>
        <w:ind w:firstLine="440" w:firstLineChars="200"/>
        <w:outlineLvl w:val="1"/>
        <w:rPr>
          <w:rFonts w:hint="eastAsia" w:ascii="宋体" w:hAnsi="宋体" w:cs="宋体"/>
          <w:sz w:val="22"/>
          <w:szCs w:val="22"/>
        </w:rPr>
      </w:pPr>
      <w:bookmarkStart w:id="324" w:name="_Toc6242"/>
      <w:r>
        <w:rPr>
          <w:rFonts w:hint="eastAsia" w:ascii="宋体" w:hAnsi="宋体" w:cs="宋体"/>
          <w:sz w:val="22"/>
          <w:szCs w:val="22"/>
        </w:rPr>
        <w:t>d.属于同一集团、协会、商会等组织成员的投标人按照该组织要求协同投标；</w:t>
      </w:r>
      <w:bookmarkEnd w:id="324"/>
    </w:p>
    <w:p>
      <w:pPr>
        <w:keepNext/>
        <w:keepLines/>
        <w:spacing w:line="480" w:lineRule="exact"/>
        <w:ind w:firstLine="440" w:firstLineChars="200"/>
        <w:outlineLvl w:val="1"/>
        <w:rPr>
          <w:rFonts w:hint="eastAsia" w:ascii="宋体" w:hAnsi="宋体" w:cs="宋体"/>
          <w:sz w:val="22"/>
          <w:szCs w:val="22"/>
        </w:rPr>
      </w:pPr>
      <w:bookmarkStart w:id="325" w:name="_Toc31400"/>
      <w:r>
        <w:rPr>
          <w:rFonts w:hint="eastAsia" w:ascii="宋体" w:hAnsi="宋体" w:cs="宋体"/>
          <w:sz w:val="22"/>
          <w:szCs w:val="22"/>
        </w:rPr>
        <w:t>e.投标人之间为谋取中标或排斥特定投标人而采取的其他联合行动。</w:t>
      </w:r>
      <w:bookmarkEnd w:id="325"/>
    </w:p>
    <w:p>
      <w:pPr>
        <w:keepNext/>
        <w:keepLines/>
        <w:spacing w:line="480" w:lineRule="exact"/>
        <w:ind w:firstLine="440" w:firstLineChars="200"/>
        <w:outlineLvl w:val="1"/>
        <w:rPr>
          <w:rFonts w:hint="eastAsia" w:ascii="宋体" w:hAnsi="宋体" w:cs="宋体"/>
          <w:sz w:val="22"/>
          <w:szCs w:val="22"/>
        </w:rPr>
      </w:pPr>
      <w:bookmarkStart w:id="326" w:name="_Toc8325"/>
      <w:r>
        <w:rPr>
          <w:rFonts w:hint="eastAsia" w:ascii="宋体" w:hAnsi="宋体" w:cs="宋体"/>
          <w:sz w:val="22"/>
          <w:szCs w:val="22"/>
        </w:rPr>
        <w:t>（2）有下列情形之一的，视为投标人相互串通投标：</w:t>
      </w:r>
      <w:bookmarkEnd w:id="326"/>
    </w:p>
    <w:p>
      <w:pPr>
        <w:keepNext/>
        <w:keepLines/>
        <w:spacing w:line="480" w:lineRule="exact"/>
        <w:ind w:firstLine="440" w:firstLineChars="200"/>
        <w:outlineLvl w:val="1"/>
        <w:rPr>
          <w:rFonts w:hint="eastAsia" w:ascii="宋体" w:hAnsi="宋体" w:cs="宋体"/>
          <w:sz w:val="22"/>
          <w:szCs w:val="22"/>
        </w:rPr>
      </w:pPr>
      <w:bookmarkStart w:id="327" w:name="_Toc16276"/>
      <w:r>
        <w:rPr>
          <w:rFonts w:hint="eastAsia" w:ascii="宋体" w:hAnsi="宋体" w:cs="宋体"/>
          <w:sz w:val="22"/>
          <w:szCs w:val="22"/>
        </w:rPr>
        <w:t>a.不同投标人的投标文件由同一单位或个人编制；</w:t>
      </w:r>
      <w:bookmarkEnd w:id="327"/>
    </w:p>
    <w:p>
      <w:pPr>
        <w:keepNext/>
        <w:keepLines/>
        <w:spacing w:line="480" w:lineRule="exact"/>
        <w:ind w:firstLine="440" w:firstLineChars="200"/>
        <w:outlineLvl w:val="1"/>
        <w:rPr>
          <w:rFonts w:hint="eastAsia" w:ascii="宋体" w:hAnsi="宋体" w:cs="宋体"/>
          <w:sz w:val="22"/>
          <w:szCs w:val="22"/>
        </w:rPr>
      </w:pPr>
      <w:bookmarkStart w:id="328" w:name="_Toc3172"/>
      <w:r>
        <w:rPr>
          <w:rFonts w:hint="eastAsia" w:ascii="宋体" w:hAnsi="宋体" w:cs="宋体"/>
          <w:sz w:val="22"/>
          <w:szCs w:val="22"/>
        </w:rPr>
        <w:t>b.不同投标人委托同一单位或个人办理投标事宜；</w:t>
      </w:r>
      <w:bookmarkEnd w:id="328"/>
    </w:p>
    <w:p>
      <w:pPr>
        <w:keepNext/>
        <w:keepLines/>
        <w:spacing w:line="480" w:lineRule="exact"/>
        <w:ind w:firstLine="440" w:firstLineChars="200"/>
        <w:outlineLvl w:val="1"/>
        <w:rPr>
          <w:rFonts w:hint="eastAsia" w:ascii="宋体" w:hAnsi="宋体" w:cs="宋体"/>
          <w:sz w:val="22"/>
          <w:szCs w:val="22"/>
        </w:rPr>
      </w:pPr>
      <w:bookmarkStart w:id="329" w:name="_Toc21547"/>
      <w:r>
        <w:rPr>
          <w:rFonts w:hint="eastAsia" w:ascii="宋体" w:hAnsi="宋体" w:cs="宋体"/>
          <w:sz w:val="22"/>
          <w:szCs w:val="22"/>
        </w:rPr>
        <w:t>c.不同投标人的投标文件载明的项目管理成员为同一人；</w:t>
      </w:r>
      <w:bookmarkEnd w:id="329"/>
    </w:p>
    <w:p>
      <w:pPr>
        <w:keepNext/>
        <w:keepLines/>
        <w:spacing w:line="480" w:lineRule="exact"/>
        <w:ind w:firstLine="440" w:firstLineChars="200"/>
        <w:outlineLvl w:val="1"/>
        <w:rPr>
          <w:rFonts w:hint="eastAsia" w:ascii="宋体" w:hAnsi="宋体" w:cs="宋体"/>
          <w:sz w:val="22"/>
          <w:szCs w:val="22"/>
        </w:rPr>
      </w:pPr>
      <w:bookmarkStart w:id="330" w:name="_Toc11679"/>
      <w:r>
        <w:rPr>
          <w:rFonts w:hint="eastAsia" w:ascii="宋体" w:hAnsi="宋体" w:cs="宋体"/>
          <w:sz w:val="22"/>
          <w:szCs w:val="22"/>
        </w:rPr>
        <w:t>d.不同投标人的投标文件异常一致或投标报价呈规律性差异；</w:t>
      </w:r>
      <w:bookmarkEnd w:id="330"/>
    </w:p>
    <w:p>
      <w:pPr>
        <w:keepNext/>
        <w:keepLines/>
        <w:spacing w:line="480" w:lineRule="exact"/>
        <w:ind w:firstLine="440" w:firstLineChars="200"/>
        <w:outlineLvl w:val="1"/>
        <w:rPr>
          <w:rFonts w:hint="eastAsia" w:ascii="宋体" w:hAnsi="宋体" w:cs="宋体"/>
          <w:sz w:val="22"/>
          <w:szCs w:val="22"/>
        </w:rPr>
      </w:pPr>
      <w:bookmarkStart w:id="331" w:name="_Toc7322"/>
      <w:r>
        <w:rPr>
          <w:rFonts w:hint="eastAsia" w:ascii="宋体" w:hAnsi="宋体" w:cs="宋体"/>
          <w:sz w:val="22"/>
          <w:szCs w:val="22"/>
        </w:rPr>
        <w:t>e.不同投标人的投标文件相互混装；</w:t>
      </w:r>
      <w:bookmarkEnd w:id="331"/>
    </w:p>
    <w:p>
      <w:pPr>
        <w:keepNext/>
        <w:keepLines/>
        <w:spacing w:line="480" w:lineRule="exact"/>
        <w:ind w:firstLine="440" w:firstLineChars="200"/>
        <w:outlineLvl w:val="1"/>
        <w:rPr>
          <w:rFonts w:hint="eastAsia" w:ascii="宋体" w:hAnsi="宋体" w:cs="宋体"/>
          <w:sz w:val="22"/>
          <w:szCs w:val="22"/>
        </w:rPr>
      </w:pPr>
      <w:bookmarkStart w:id="332" w:name="_Toc29838"/>
      <w:r>
        <w:rPr>
          <w:rFonts w:hint="eastAsia" w:ascii="宋体" w:hAnsi="宋体" w:cs="宋体"/>
          <w:sz w:val="22"/>
          <w:szCs w:val="22"/>
        </w:rPr>
        <w:t>f.不同投标人的投标保证金从同一单位或个人的账户转出。</w:t>
      </w:r>
      <w:bookmarkEnd w:id="332"/>
    </w:p>
    <w:p>
      <w:pPr>
        <w:keepNext/>
        <w:keepLines/>
        <w:spacing w:line="480" w:lineRule="exact"/>
        <w:ind w:firstLine="440" w:firstLineChars="200"/>
        <w:outlineLvl w:val="1"/>
        <w:rPr>
          <w:rFonts w:hint="eastAsia" w:ascii="宋体" w:hAnsi="宋体" w:cs="宋体"/>
          <w:sz w:val="22"/>
          <w:szCs w:val="22"/>
        </w:rPr>
      </w:pPr>
      <w:bookmarkStart w:id="333" w:name="_Toc31027"/>
      <w:r>
        <w:rPr>
          <w:rFonts w:hint="eastAsia" w:ascii="宋体" w:hAnsi="宋体" w:cs="宋体"/>
          <w:sz w:val="22"/>
          <w:szCs w:val="22"/>
        </w:rPr>
        <w:t>（3）有下列情形之一的，属于招标人与投标人串通投标：</w:t>
      </w:r>
      <w:bookmarkEnd w:id="333"/>
    </w:p>
    <w:p>
      <w:pPr>
        <w:keepNext/>
        <w:keepLines/>
        <w:spacing w:line="480" w:lineRule="exact"/>
        <w:ind w:firstLine="440" w:firstLineChars="200"/>
        <w:outlineLvl w:val="1"/>
        <w:rPr>
          <w:rFonts w:hint="eastAsia" w:ascii="宋体" w:hAnsi="宋体" w:cs="宋体"/>
          <w:sz w:val="22"/>
          <w:szCs w:val="22"/>
        </w:rPr>
      </w:pPr>
      <w:bookmarkStart w:id="334" w:name="_Toc5171"/>
      <w:r>
        <w:rPr>
          <w:rFonts w:hint="eastAsia" w:ascii="宋体" w:hAnsi="宋体" w:cs="宋体"/>
          <w:sz w:val="22"/>
          <w:szCs w:val="22"/>
        </w:rPr>
        <w:t>a.招标人在开标前开启投标文件并将有关信息泄露给其他投标人；</w:t>
      </w:r>
      <w:bookmarkEnd w:id="334"/>
    </w:p>
    <w:p>
      <w:pPr>
        <w:keepNext/>
        <w:keepLines/>
        <w:spacing w:line="480" w:lineRule="exact"/>
        <w:ind w:firstLine="440" w:firstLineChars="200"/>
        <w:outlineLvl w:val="1"/>
        <w:rPr>
          <w:rFonts w:hint="eastAsia" w:ascii="宋体" w:hAnsi="宋体" w:cs="宋体"/>
          <w:sz w:val="22"/>
          <w:szCs w:val="22"/>
        </w:rPr>
      </w:pPr>
      <w:bookmarkStart w:id="335" w:name="_Toc7452"/>
      <w:r>
        <w:rPr>
          <w:rFonts w:hint="eastAsia" w:ascii="宋体" w:hAnsi="宋体" w:cs="宋体"/>
          <w:sz w:val="22"/>
          <w:szCs w:val="22"/>
        </w:rPr>
        <w:t>b.招标人直接或间接向投标人泄露标底、评标委员会成员等信息；</w:t>
      </w:r>
      <w:bookmarkEnd w:id="335"/>
    </w:p>
    <w:p>
      <w:pPr>
        <w:keepNext/>
        <w:keepLines/>
        <w:spacing w:line="480" w:lineRule="exact"/>
        <w:ind w:firstLine="440" w:firstLineChars="200"/>
        <w:outlineLvl w:val="1"/>
        <w:rPr>
          <w:rFonts w:hint="eastAsia" w:ascii="宋体" w:hAnsi="宋体" w:cs="宋体"/>
          <w:sz w:val="22"/>
          <w:szCs w:val="22"/>
        </w:rPr>
      </w:pPr>
      <w:bookmarkStart w:id="336" w:name="_Toc13977"/>
      <w:r>
        <w:rPr>
          <w:rFonts w:hint="eastAsia" w:ascii="宋体" w:hAnsi="宋体" w:cs="宋体"/>
          <w:sz w:val="22"/>
          <w:szCs w:val="22"/>
        </w:rPr>
        <w:t>c.招标人明示或暗示投标人压低或抬高投标报价；</w:t>
      </w:r>
      <w:bookmarkEnd w:id="336"/>
    </w:p>
    <w:p>
      <w:pPr>
        <w:keepNext/>
        <w:keepLines/>
        <w:spacing w:line="480" w:lineRule="exact"/>
        <w:ind w:firstLine="440" w:firstLineChars="200"/>
        <w:outlineLvl w:val="1"/>
        <w:rPr>
          <w:rFonts w:hint="eastAsia" w:ascii="宋体" w:hAnsi="宋体" w:cs="宋体"/>
          <w:sz w:val="22"/>
          <w:szCs w:val="22"/>
        </w:rPr>
      </w:pPr>
      <w:bookmarkStart w:id="337" w:name="_Toc18343"/>
      <w:r>
        <w:rPr>
          <w:rFonts w:hint="eastAsia" w:ascii="宋体" w:hAnsi="宋体" w:cs="宋体"/>
          <w:sz w:val="22"/>
          <w:szCs w:val="22"/>
        </w:rPr>
        <w:t>d.招标人授意投标人撤换、修改投标文件；</w:t>
      </w:r>
      <w:bookmarkEnd w:id="337"/>
    </w:p>
    <w:p>
      <w:pPr>
        <w:keepNext/>
        <w:keepLines/>
        <w:spacing w:line="480" w:lineRule="exact"/>
        <w:ind w:firstLine="440" w:firstLineChars="200"/>
        <w:outlineLvl w:val="1"/>
        <w:rPr>
          <w:rFonts w:hint="eastAsia" w:ascii="宋体" w:hAnsi="宋体" w:cs="宋体"/>
          <w:sz w:val="22"/>
          <w:szCs w:val="22"/>
        </w:rPr>
      </w:pPr>
      <w:bookmarkStart w:id="338" w:name="_Toc19803"/>
      <w:r>
        <w:rPr>
          <w:rFonts w:hint="eastAsia" w:ascii="宋体" w:hAnsi="宋体" w:cs="宋体"/>
          <w:sz w:val="22"/>
          <w:szCs w:val="22"/>
        </w:rPr>
        <w:t>e.招标人明示或暗示投标人为特定投标人中标提供方便；</w:t>
      </w:r>
      <w:bookmarkEnd w:id="338"/>
    </w:p>
    <w:p>
      <w:pPr>
        <w:keepNext/>
        <w:keepLines/>
        <w:spacing w:line="480" w:lineRule="exact"/>
        <w:ind w:firstLine="440" w:firstLineChars="200"/>
        <w:outlineLvl w:val="1"/>
        <w:rPr>
          <w:rFonts w:hint="eastAsia" w:ascii="宋体" w:hAnsi="宋体" w:cs="宋体"/>
          <w:sz w:val="22"/>
          <w:szCs w:val="22"/>
        </w:rPr>
      </w:pPr>
      <w:bookmarkStart w:id="339" w:name="_Toc23890"/>
      <w:r>
        <w:rPr>
          <w:rFonts w:hint="eastAsia" w:ascii="宋体" w:hAnsi="宋体" w:cs="宋体"/>
          <w:sz w:val="22"/>
          <w:szCs w:val="22"/>
        </w:rPr>
        <w:t>f.招标人与投标人为谋求特定投标人中标而采取的其他串通行为。</w:t>
      </w:r>
      <w:bookmarkEnd w:id="339"/>
    </w:p>
    <w:p>
      <w:pPr>
        <w:keepNext/>
        <w:keepLines/>
        <w:spacing w:line="480" w:lineRule="exact"/>
        <w:ind w:firstLine="440" w:firstLineChars="200"/>
        <w:outlineLvl w:val="1"/>
        <w:rPr>
          <w:rFonts w:hint="eastAsia" w:ascii="宋体" w:hAnsi="宋体" w:cs="宋体"/>
          <w:sz w:val="22"/>
          <w:szCs w:val="22"/>
        </w:rPr>
      </w:pPr>
      <w:bookmarkStart w:id="340" w:name="_Toc10021"/>
      <w:r>
        <w:rPr>
          <w:rFonts w:hint="eastAsia" w:ascii="宋体" w:hAnsi="宋体" w:cs="宋体"/>
          <w:sz w:val="22"/>
          <w:szCs w:val="22"/>
        </w:rPr>
        <w:t>（4）投标人有下列情形之一的，属于弄虚作假的行为：</w:t>
      </w:r>
      <w:bookmarkEnd w:id="340"/>
    </w:p>
    <w:p>
      <w:pPr>
        <w:keepNext/>
        <w:keepLines/>
        <w:spacing w:line="480" w:lineRule="exact"/>
        <w:ind w:firstLine="440" w:firstLineChars="200"/>
        <w:outlineLvl w:val="1"/>
        <w:rPr>
          <w:rFonts w:hint="eastAsia" w:ascii="宋体" w:hAnsi="宋体" w:cs="宋体"/>
          <w:sz w:val="22"/>
          <w:szCs w:val="22"/>
        </w:rPr>
      </w:pPr>
      <w:bookmarkStart w:id="341" w:name="_Toc1458"/>
      <w:r>
        <w:rPr>
          <w:rFonts w:hint="eastAsia" w:ascii="宋体" w:hAnsi="宋体" w:cs="宋体"/>
          <w:sz w:val="22"/>
          <w:szCs w:val="22"/>
        </w:rPr>
        <w:t>a.使用通过受让或租借等方式获取的资格、资质证书投标；</w:t>
      </w:r>
      <w:bookmarkEnd w:id="341"/>
    </w:p>
    <w:p>
      <w:pPr>
        <w:keepNext/>
        <w:keepLines/>
        <w:spacing w:line="480" w:lineRule="exact"/>
        <w:ind w:firstLine="440" w:firstLineChars="200"/>
        <w:outlineLvl w:val="1"/>
        <w:rPr>
          <w:rFonts w:hint="eastAsia" w:ascii="宋体" w:hAnsi="宋体" w:cs="宋体"/>
          <w:sz w:val="22"/>
          <w:szCs w:val="22"/>
        </w:rPr>
      </w:pPr>
      <w:bookmarkStart w:id="342" w:name="_Toc31337"/>
      <w:r>
        <w:rPr>
          <w:rFonts w:hint="eastAsia" w:ascii="宋体" w:hAnsi="宋体" w:cs="宋体"/>
          <w:sz w:val="22"/>
          <w:szCs w:val="22"/>
        </w:rPr>
        <w:t>b.使用伪造、变造的许可证件；</w:t>
      </w:r>
      <w:bookmarkEnd w:id="342"/>
    </w:p>
    <w:p>
      <w:pPr>
        <w:keepNext/>
        <w:keepLines/>
        <w:spacing w:line="480" w:lineRule="exact"/>
        <w:ind w:firstLine="440" w:firstLineChars="200"/>
        <w:outlineLvl w:val="1"/>
        <w:rPr>
          <w:rFonts w:hint="eastAsia" w:ascii="宋体" w:hAnsi="宋体" w:cs="宋体"/>
          <w:sz w:val="22"/>
          <w:szCs w:val="22"/>
        </w:rPr>
      </w:pPr>
      <w:bookmarkStart w:id="343" w:name="_Toc24030"/>
      <w:r>
        <w:rPr>
          <w:rFonts w:hint="eastAsia" w:ascii="宋体" w:hAnsi="宋体" w:cs="宋体"/>
          <w:sz w:val="22"/>
          <w:szCs w:val="22"/>
        </w:rPr>
        <w:t>c.提供虚假的财务状况或业绩；</w:t>
      </w:r>
      <w:bookmarkEnd w:id="343"/>
    </w:p>
    <w:p>
      <w:pPr>
        <w:keepNext/>
        <w:keepLines/>
        <w:spacing w:line="480" w:lineRule="exact"/>
        <w:ind w:firstLine="440" w:firstLineChars="200"/>
        <w:outlineLvl w:val="1"/>
        <w:rPr>
          <w:rFonts w:hint="eastAsia" w:ascii="宋体" w:hAnsi="宋体" w:cs="宋体"/>
          <w:sz w:val="22"/>
          <w:szCs w:val="22"/>
        </w:rPr>
      </w:pPr>
      <w:bookmarkStart w:id="344" w:name="_Toc22179"/>
      <w:r>
        <w:rPr>
          <w:rFonts w:hint="eastAsia" w:ascii="宋体" w:hAnsi="宋体" w:cs="宋体"/>
          <w:sz w:val="22"/>
          <w:szCs w:val="22"/>
        </w:rPr>
        <w:t>d.提供虚假的项目经理或主要技术人员简历、劳动关系证明；</w:t>
      </w:r>
      <w:bookmarkEnd w:id="344"/>
    </w:p>
    <w:p>
      <w:pPr>
        <w:keepNext/>
        <w:keepLines/>
        <w:spacing w:line="480" w:lineRule="exact"/>
        <w:ind w:firstLine="440" w:firstLineChars="200"/>
        <w:outlineLvl w:val="1"/>
        <w:rPr>
          <w:rFonts w:hint="eastAsia" w:ascii="宋体" w:hAnsi="宋体" w:cs="宋体"/>
          <w:sz w:val="22"/>
          <w:szCs w:val="22"/>
        </w:rPr>
      </w:pPr>
      <w:bookmarkStart w:id="345" w:name="_Toc2839"/>
      <w:r>
        <w:rPr>
          <w:rFonts w:hint="eastAsia" w:ascii="宋体" w:hAnsi="宋体" w:cs="宋体"/>
          <w:sz w:val="22"/>
          <w:szCs w:val="22"/>
        </w:rPr>
        <w:t>e.提供虚假的信用状况；</w:t>
      </w:r>
      <w:bookmarkEnd w:id="345"/>
    </w:p>
    <w:p>
      <w:pPr>
        <w:keepNext/>
        <w:keepLines/>
        <w:spacing w:line="480" w:lineRule="exact"/>
        <w:ind w:firstLine="440" w:firstLineChars="200"/>
        <w:outlineLvl w:val="1"/>
        <w:rPr>
          <w:rFonts w:hint="eastAsia" w:ascii="宋体" w:hAnsi="宋体" w:cs="宋体"/>
          <w:sz w:val="22"/>
          <w:szCs w:val="22"/>
        </w:rPr>
      </w:pPr>
      <w:bookmarkStart w:id="346" w:name="_Toc14563"/>
      <w:r>
        <w:rPr>
          <w:rFonts w:hint="eastAsia" w:ascii="宋体" w:hAnsi="宋体" w:cs="宋体"/>
          <w:sz w:val="22"/>
          <w:szCs w:val="22"/>
        </w:rPr>
        <w:t>f.其他弄虚作假的行为。</w:t>
      </w:r>
      <w:bookmarkEnd w:id="346"/>
    </w:p>
    <w:p>
      <w:pPr>
        <w:keepNext/>
        <w:keepLines/>
        <w:spacing w:line="480" w:lineRule="exact"/>
        <w:ind w:firstLine="442" w:firstLineChars="200"/>
        <w:outlineLvl w:val="1"/>
        <w:rPr>
          <w:rFonts w:hint="eastAsia" w:ascii="宋体" w:hAnsi="宋体" w:cs="宋体"/>
          <w:b/>
          <w:bCs/>
          <w:sz w:val="22"/>
          <w:szCs w:val="22"/>
        </w:rPr>
      </w:pPr>
      <w:bookmarkStart w:id="347" w:name="_Toc6074"/>
      <w:r>
        <w:rPr>
          <w:rFonts w:hint="eastAsia" w:ascii="宋体" w:hAnsi="宋体" w:cs="宋体"/>
          <w:b/>
          <w:bCs/>
          <w:sz w:val="22"/>
          <w:szCs w:val="22"/>
        </w:rPr>
        <w:t>3.5 投标文件的澄清、说明或补正</w:t>
      </w:r>
      <w:bookmarkEnd w:id="347"/>
    </w:p>
    <w:p>
      <w:pPr>
        <w:keepNext/>
        <w:keepLines/>
        <w:spacing w:line="480" w:lineRule="exact"/>
        <w:ind w:firstLine="440" w:firstLineChars="200"/>
        <w:outlineLvl w:val="1"/>
        <w:rPr>
          <w:rFonts w:hint="eastAsia" w:ascii="宋体" w:hAnsi="宋体" w:cs="宋体"/>
          <w:sz w:val="22"/>
          <w:szCs w:val="22"/>
        </w:rPr>
      </w:pPr>
      <w:bookmarkStart w:id="348" w:name="_Toc9586"/>
      <w:r>
        <w:rPr>
          <w:rFonts w:hint="eastAsia" w:ascii="宋体" w:hAnsi="宋体" w:cs="宋体"/>
          <w:sz w:val="22"/>
          <w:szCs w:val="22"/>
        </w:rPr>
        <w:t>3.5.1 在评标过程中，评标委员会可以书面形式要求投标人对投标文件中含义不明确、对同类问题</w:t>
      </w:r>
      <w:bookmarkEnd w:id="348"/>
      <w:bookmarkStart w:id="349" w:name="_Toc5316"/>
      <w:r>
        <w:rPr>
          <w:rFonts w:hint="eastAsia" w:ascii="宋体" w:hAnsi="宋体" w:cs="宋体"/>
          <w:sz w:val="22"/>
          <w:szCs w:val="22"/>
        </w:rPr>
        <w:t>表述不一致或者有明显文字和计算错误的内容作必要的澄清、说明或补正。评标委员会不接受投标人</w:t>
      </w:r>
      <w:bookmarkEnd w:id="349"/>
      <w:bookmarkStart w:id="350" w:name="_Toc30668"/>
      <w:r>
        <w:rPr>
          <w:rFonts w:hint="eastAsia" w:ascii="宋体" w:hAnsi="宋体" w:cs="宋体"/>
          <w:sz w:val="22"/>
          <w:szCs w:val="22"/>
        </w:rPr>
        <w:t>主动提出的澄清、说明或补正。</w:t>
      </w:r>
      <w:bookmarkEnd w:id="350"/>
    </w:p>
    <w:p>
      <w:pPr>
        <w:keepNext/>
        <w:keepLines/>
        <w:spacing w:line="480" w:lineRule="exact"/>
        <w:ind w:firstLine="440" w:firstLineChars="200"/>
        <w:outlineLvl w:val="1"/>
        <w:rPr>
          <w:rFonts w:hint="eastAsia" w:ascii="宋体" w:hAnsi="宋体" w:cs="宋体"/>
          <w:sz w:val="22"/>
          <w:szCs w:val="22"/>
        </w:rPr>
      </w:pPr>
      <w:bookmarkStart w:id="351" w:name="_Toc3182"/>
      <w:r>
        <w:rPr>
          <w:rFonts w:hint="eastAsia" w:ascii="宋体" w:hAnsi="宋体" w:cs="宋体"/>
          <w:sz w:val="22"/>
          <w:szCs w:val="22"/>
        </w:rPr>
        <w:t>3.5.2 投标人须在规定的时间内作出澄清、说明或补正且不得超出投标文件的范围且不得改变投标</w:t>
      </w:r>
      <w:bookmarkEnd w:id="351"/>
      <w:bookmarkStart w:id="352" w:name="_Toc25416"/>
      <w:r>
        <w:rPr>
          <w:rFonts w:hint="eastAsia" w:ascii="宋体" w:hAnsi="宋体" w:cs="宋体"/>
          <w:sz w:val="22"/>
          <w:szCs w:val="22"/>
        </w:rPr>
        <w:t>文件的实质性内容，并构成投标文件的组成部分。</w:t>
      </w:r>
      <w:bookmarkEnd w:id="352"/>
    </w:p>
    <w:p>
      <w:pPr>
        <w:keepNext/>
        <w:keepLines/>
        <w:spacing w:line="480" w:lineRule="exact"/>
        <w:ind w:firstLine="440" w:firstLineChars="200"/>
        <w:outlineLvl w:val="1"/>
        <w:rPr>
          <w:rFonts w:hint="eastAsia" w:ascii="宋体" w:hAnsi="宋体" w:cs="宋体"/>
          <w:sz w:val="22"/>
          <w:szCs w:val="22"/>
        </w:rPr>
      </w:pPr>
      <w:bookmarkStart w:id="353" w:name="_Toc30377"/>
      <w:r>
        <w:rPr>
          <w:rFonts w:hint="eastAsia" w:ascii="宋体" w:hAnsi="宋体" w:cs="宋体"/>
          <w:sz w:val="22"/>
          <w:szCs w:val="22"/>
        </w:rPr>
        <w:t>3.5.3 评标委员会对投标人在线提交的澄清、说明或补正有疑问的，可以要求投标人在规定的时间</w:t>
      </w:r>
      <w:bookmarkEnd w:id="353"/>
      <w:bookmarkStart w:id="354" w:name="_Toc12837"/>
      <w:r>
        <w:rPr>
          <w:rFonts w:hint="eastAsia" w:ascii="宋体" w:hAnsi="宋体" w:cs="宋体"/>
          <w:sz w:val="22"/>
          <w:szCs w:val="22"/>
        </w:rPr>
        <w:t>内进一步澄清、说明或补正，直至满足评标委员会的要求。</w:t>
      </w:r>
      <w:bookmarkEnd w:id="354"/>
    </w:p>
    <w:p>
      <w:pPr>
        <w:keepNext/>
        <w:keepLines/>
        <w:spacing w:line="480" w:lineRule="exact"/>
        <w:ind w:firstLine="442" w:firstLineChars="200"/>
        <w:outlineLvl w:val="1"/>
        <w:rPr>
          <w:rFonts w:hint="eastAsia" w:ascii="宋体" w:hAnsi="宋体" w:cs="宋体"/>
          <w:b/>
          <w:bCs/>
          <w:sz w:val="22"/>
          <w:szCs w:val="22"/>
        </w:rPr>
      </w:pPr>
      <w:bookmarkStart w:id="355" w:name="_Toc9862"/>
      <w:r>
        <w:rPr>
          <w:rFonts w:hint="eastAsia" w:ascii="宋体" w:hAnsi="宋体" w:cs="宋体"/>
          <w:b/>
          <w:bCs/>
          <w:sz w:val="22"/>
          <w:szCs w:val="22"/>
        </w:rPr>
        <w:t>3.6 评标结果</w:t>
      </w:r>
      <w:bookmarkEnd w:id="355"/>
    </w:p>
    <w:p>
      <w:pPr>
        <w:keepNext/>
        <w:keepLines/>
        <w:spacing w:line="480" w:lineRule="exact"/>
        <w:ind w:firstLine="440" w:firstLineChars="200"/>
        <w:outlineLvl w:val="1"/>
        <w:rPr>
          <w:rFonts w:hint="eastAsia" w:ascii="宋体" w:hAnsi="宋体" w:cs="宋体"/>
          <w:sz w:val="22"/>
          <w:szCs w:val="22"/>
        </w:rPr>
      </w:pPr>
      <w:bookmarkStart w:id="356" w:name="_Toc32212"/>
      <w:r>
        <w:rPr>
          <w:rFonts w:hint="eastAsia" w:ascii="宋体" w:hAnsi="宋体" w:cs="宋体"/>
          <w:sz w:val="22"/>
          <w:szCs w:val="22"/>
        </w:rPr>
        <w:t>3.6.1 除第二章投标人须知前附表授权直接确定中标人外，评标委员会按照得分由高到低的顺序推</w:t>
      </w:r>
      <w:bookmarkEnd w:id="356"/>
      <w:bookmarkStart w:id="357" w:name="_Toc8138"/>
      <w:r>
        <w:rPr>
          <w:rFonts w:hint="eastAsia" w:ascii="宋体" w:hAnsi="宋体" w:cs="宋体"/>
          <w:sz w:val="22"/>
          <w:szCs w:val="22"/>
        </w:rPr>
        <w:t>荐中标候选人，并标明排列顺序。</w:t>
      </w:r>
      <w:bookmarkEnd w:id="357"/>
    </w:p>
    <w:p>
      <w:pPr>
        <w:keepNext/>
        <w:keepLines/>
        <w:spacing w:line="480" w:lineRule="exact"/>
        <w:ind w:firstLine="440" w:firstLineChars="200"/>
        <w:outlineLvl w:val="1"/>
        <w:rPr>
          <w:rFonts w:hint="eastAsia" w:ascii="宋体" w:hAnsi="宋体" w:cs="宋体"/>
          <w:sz w:val="22"/>
          <w:szCs w:val="22"/>
        </w:rPr>
      </w:pPr>
      <w:bookmarkStart w:id="358" w:name="_Toc12980"/>
      <w:r>
        <w:rPr>
          <w:rFonts w:hint="eastAsia" w:ascii="宋体" w:hAnsi="宋体" w:cs="宋体"/>
          <w:sz w:val="22"/>
          <w:szCs w:val="22"/>
        </w:rPr>
        <w:t>3.6.2 评标委员会完成评标后，应当向招标人提交评标报告。评标报告应当如实记载以下内容：</w:t>
      </w:r>
      <w:bookmarkEnd w:id="358"/>
    </w:p>
    <w:p>
      <w:pPr>
        <w:keepNext/>
        <w:keepLines/>
        <w:spacing w:line="480" w:lineRule="exact"/>
        <w:ind w:firstLine="440" w:firstLineChars="200"/>
        <w:outlineLvl w:val="1"/>
        <w:rPr>
          <w:rFonts w:hint="eastAsia" w:ascii="宋体" w:hAnsi="宋体" w:cs="宋体"/>
          <w:sz w:val="22"/>
          <w:szCs w:val="22"/>
        </w:rPr>
      </w:pPr>
      <w:bookmarkStart w:id="359" w:name="_Toc32323"/>
      <w:r>
        <w:rPr>
          <w:rFonts w:hint="eastAsia" w:ascii="宋体" w:hAnsi="宋体" w:cs="宋体"/>
          <w:sz w:val="22"/>
          <w:szCs w:val="22"/>
        </w:rPr>
        <w:t>（1）基本情况和数据表；</w:t>
      </w:r>
      <w:bookmarkEnd w:id="359"/>
    </w:p>
    <w:p>
      <w:pPr>
        <w:keepNext/>
        <w:keepLines/>
        <w:spacing w:line="480" w:lineRule="exact"/>
        <w:ind w:firstLine="440" w:firstLineChars="200"/>
        <w:outlineLvl w:val="1"/>
        <w:rPr>
          <w:rFonts w:hint="eastAsia" w:ascii="宋体" w:hAnsi="宋体" w:cs="宋体"/>
          <w:sz w:val="22"/>
          <w:szCs w:val="22"/>
        </w:rPr>
      </w:pPr>
      <w:bookmarkStart w:id="360" w:name="_Toc674"/>
      <w:r>
        <w:rPr>
          <w:rFonts w:hint="eastAsia" w:ascii="宋体" w:hAnsi="宋体" w:cs="宋体"/>
          <w:sz w:val="22"/>
          <w:szCs w:val="22"/>
        </w:rPr>
        <w:t>（2）评标委员会成员名单；</w:t>
      </w:r>
      <w:bookmarkEnd w:id="360"/>
    </w:p>
    <w:p>
      <w:pPr>
        <w:keepNext/>
        <w:keepLines/>
        <w:spacing w:line="480" w:lineRule="exact"/>
        <w:ind w:firstLine="440" w:firstLineChars="200"/>
        <w:outlineLvl w:val="1"/>
        <w:rPr>
          <w:rFonts w:hint="eastAsia" w:ascii="宋体" w:hAnsi="宋体" w:cs="宋体"/>
          <w:sz w:val="22"/>
          <w:szCs w:val="22"/>
        </w:rPr>
      </w:pPr>
      <w:bookmarkStart w:id="361" w:name="_Toc9363"/>
      <w:r>
        <w:rPr>
          <w:rFonts w:hint="eastAsia" w:ascii="宋体" w:hAnsi="宋体" w:cs="宋体"/>
          <w:sz w:val="22"/>
          <w:szCs w:val="22"/>
        </w:rPr>
        <w:t>（3）开标记录；</w:t>
      </w:r>
      <w:bookmarkEnd w:id="361"/>
    </w:p>
    <w:p>
      <w:pPr>
        <w:keepNext/>
        <w:keepLines/>
        <w:spacing w:line="480" w:lineRule="exact"/>
        <w:ind w:firstLine="440" w:firstLineChars="200"/>
        <w:outlineLvl w:val="1"/>
        <w:rPr>
          <w:rFonts w:hint="eastAsia" w:ascii="宋体" w:hAnsi="宋体" w:cs="宋体"/>
          <w:sz w:val="22"/>
          <w:szCs w:val="22"/>
        </w:rPr>
      </w:pPr>
      <w:bookmarkStart w:id="362" w:name="_Toc17668"/>
      <w:r>
        <w:rPr>
          <w:rFonts w:hint="eastAsia" w:ascii="宋体" w:hAnsi="宋体" w:cs="宋体"/>
          <w:sz w:val="22"/>
          <w:szCs w:val="22"/>
        </w:rPr>
        <w:t>（4）符合要求的投标人一览表；</w:t>
      </w:r>
      <w:bookmarkEnd w:id="362"/>
    </w:p>
    <w:p>
      <w:pPr>
        <w:keepNext/>
        <w:keepLines/>
        <w:spacing w:line="480" w:lineRule="exact"/>
        <w:ind w:firstLine="440" w:firstLineChars="200"/>
        <w:outlineLvl w:val="1"/>
        <w:rPr>
          <w:rFonts w:hint="eastAsia" w:ascii="宋体" w:hAnsi="宋体" w:cs="宋体"/>
          <w:sz w:val="22"/>
          <w:szCs w:val="22"/>
        </w:rPr>
      </w:pPr>
      <w:bookmarkStart w:id="363" w:name="_Toc22161"/>
      <w:r>
        <w:rPr>
          <w:rFonts w:hint="eastAsia" w:ascii="宋体" w:hAnsi="宋体" w:cs="宋体"/>
          <w:sz w:val="22"/>
          <w:szCs w:val="22"/>
        </w:rPr>
        <w:t>（5）否决投标情况说明；</w:t>
      </w:r>
      <w:bookmarkEnd w:id="363"/>
    </w:p>
    <w:p>
      <w:pPr>
        <w:keepNext/>
        <w:keepLines/>
        <w:spacing w:line="480" w:lineRule="exact"/>
        <w:ind w:firstLine="440" w:firstLineChars="200"/>
        <w:outlineLvl w:val="1"/>
        <w:rPr>
          <w:rFonts w:hint="eastAsia" w:ascii="宋体" w:hAnsi="宋体" w:cs="宋体"/>
          <w:sz w:val="22"/>
          <w:szCs w:val="22"/>
        </w:rPr>
      </w:pPr>
      <w:bookmarkStart w:id="364" w:name="_Toc30782"/>
      <w:r>
        <w:rPr>
          <w:rFonts w:hint="eastAsia" w:ascii="宋体" w:hAnsi="宋体" w:cs="宋体"/>
          <w:sz w:val="22"/>
          <w:szCs w:val="22"/>
        </w:rPr>
        <w:t>（6）评标标准、评标方法或者评标因素一览表；</w:t>
      </w:r>
      <w:bookmarkEnd w:id="364"/>
    </w:p>
    <w:p>
      <w:pPr>
        <w:keepNext/>
        <w:keepLines/>
        <w:spacing w:line="480" w:lineRule="exact"/>
        <w:ind w:firstLine="440" w:firstLineChars="200"/>
        <w:outlineLvl w:val="1"/>
        <w:rPr>
          <w:rFonts w:hint="eastAsia" w:ascii="宋体" w:hAnsi="宋体" w:cs="宋体"/>
          <w:sz w:val="22"/>
          <w:szCs w:val="22"/>
        </w:rPr>
      </w:pPr>
      <w:bookmarkStart w:id="365" w:name="_Toc17260"/>
      <w:r>
        <w:rPr>
          <w:rFonts w:hint="eastAsia" w:ascii="宋体" w:hAnsi="宋体" w:cs="宋体"/>
          <w:sz w:val="22"/>
          <w:szCs w:val="22"/>
        </w:rPr>
        <w:t>（7）评分比较一览表；</w:t>
      </w:r>
      <w:bookmarkEnd w:id="365"/>
    </w:p>
    <w:p>
      <w:pPr>
        <w:keepNext/>
        <w:keepLines/>
        <w:spacing w:line="480" w:lineRule="exact"/>
        <w:ind w:firstLine="440" w:firstLineChars="200"/>
        <w:outlineLvl w:val="1"/>
        <w:rPr>
          <w:rFonts w:hint="eastAsia" w:ascii="宋体" w:hAnsi="宋体" w:cs="宋体"/>
          <w:sz w:val="22"/>
          <w:szCs w:val="22"/>
        </w:rPr>
      </w:pPr>
      <w:bookmarkStart w:id="366" w:name="_Toc30637"/>
      <w:r>
        <w:rPr>
          <w:rFonts w:hint="eastAsia" w:ascii="宋体" w:hAnsi="宋体" w:cs="宋体"/>
          <w:sz w:val="22"/>
          <w:szCs w:val="22"/>
        </w:rPr>
        <w:t>（8）经评审的投标人排序；</w:t>
      </w:r>
      <w:bookmarkEnd w:id="366"/>
    </w:p>
    <w:p>
      <w:pPr>
        <w:keepNext/>
        <w:keepLines/>
        <w:spacing w:line="480" w:lineRule="exact"/>
        <w:ind w:firstLine="440" w:firstLineChars="200"/>
        <w:outlineLvl w:val="1"/>
        <w:rPr>
          <w:rFonts w:hint="eastAsia" w:ascii="宋体" w:hAnsi="宋体" w:cs="宋体"/>
          <w:sz w:val="22"/>
          <w:szCs w:val="22"/>
        </w:rPr>
      </w:pPr>
      <w:bookmarkStart w:id="367" w:name="_Toc26169"/>
      <w:r>
        <w:rPr>
          <w:rFonts w:hint="eastAsia" w:ascii="宋体" w:hAnsi="宋体" w:cs="宋体"/>
          <w:sz w:val="22"/>
          <w:szCs w:val="22"/>
        </w:rPr>
        <w:t>（9）推荐的中标候选人名单与签订合同前要处理的事宜；</w:t>
      </w:r>
      <w:bookmarkEnd w:id="367"/>
    </w:p>
    <w:p>
      <w:pPr>
        <w:keepNext/>
        <w:keepLines/>
        <w:spacing w:line="480" w:lineRule="exact"/>
        <w:ind w:firstLine="440" w:firstLineChars="200"/>
        <w:rPr>
          <w:rFonts w:hint="eastAsia" w:ascii="宋体" w:hAnsi="宋体" w:cs="宋体"/>
          <w:sz w:val="22"/>
          <w:szCs w:val="22"/>
        </w:rPr>
      </w:pPr>
      <w:bookmarkStart w:id="368" w:name="_Toc21148"/>
      <w:r>
        <w:rPr>
          <w:rFonts w:hint="eastAsia" w:ascii="宋体" w:hAnsi="宋体" w:cs="宋体"/>
          <w:sz w:val="22"/>
          <w:szCs w:val="22"/>
        </w:rPr>
        <w:t>（10）澄清、说明事项纪要。</w:t>
      </w:r>
      <w:bookmarkEnd w:id="368"/>
    </w:p>
    <w:p>
      <w:pPr>
        <w:adjustRightInd w:val="0"/>
        <w:snapToGrid w:val="0"/>
        <w:spacing w:line="360" w:lineRule="auto"/>
        <w:ind w:firstLine="440" w:firstLineChars="200"/>
        <w:textAlignment w:val="baseline"/>
        <w:rPr>
          <w:rFonts w:hint="eastAsia"/>
          <w:color w:val="000000"/>
          <w:sz w:val="22"/>
          <w:highlight w:val="white"/>
        </w:rPr>
      </w:pPr>
    </w:p>
    <w:p>
      <w:pPr>
        <w:keepNext/>
        <w:keepLines/>
        <w:spacing w:line="360" w:lineRule="auto"/>
        <w:jc w:val="center"/>
        <w:outlineLvl w:val="0"/>
        <w:rPr>
          <w:rFonts w:hint="eastAsia" w:ascii="宋体" w:hAnsi="宋体" w:cs="宋体"/>
          <w:b/>
          <w:bCs/>
          <w:color w:val="FF0000"/>
          <w:sz w:val="28"/>
          <w:szCs w:val="36"/>
          <w:highlight w:val="yellow"/>
        </w:rPr>
        <w:sectPr>
          <w:footerReference r:id="rId8" w:type="default"/>
          <w:pgSz w:w="11907" w:h="16840"/>
          <w:pgMar w:top="1440" w:right="1247" w:bottom="1440" w:left="1247" w:header="851" w:footer="992" w:gutter="0"/>
          <w:cols w:space="720" w:num="1"/>
          <w:docGrid w:linePitch="303" w:charSpace="0"/>
        </w:sectPr>
      </w:pPr>
      <w:bookmarkStart w:id="369" w:name="_Toc25918"/>
      <w:bookmarkStart w:id="370" w:name="_Toc28799360"/>
      <w:bookmarkStart w:id="371" w:name="_Toc6611"/>
      <w:bookmarkStart w:id="372" w:name="_Toc11078184"/>
      <w:bookmarkStart w:id="373" w:name="_Toc26781084"/>
    </w:p>
    <w:bookmarkEnd w:id="369"/>
    <w:bookmarkEnd w:id="370"/>
    <w:bookmarkEnd w:id="371"/>
    <w:bookmarkEnd w:id="372"/>
    <w:p>
      <w:pPr>
        <w:pStyle w:val="2"/>
        <w:jc w:val="center"/>
        <w:rPr>
          <w:rFonts w:hint="eastAsia" w:eastAsia="黑体"/>
          <w:b w:val="0"/>
        </w:rPr>
      </w:pPr>
      <w:r>
        <w:rPr>
          <w:rFonts w:hint="eastAsia" w:eastAsia="黑体"/>
          <w:b w:val="0"/>
        </w:rPr>
        <w:t>第四章  合同条款及格式</w:t>
      </w:r>
      <w:bookmarkEnd w:id="373"/>
    </w:p>
    <w:p>
      <w:pPr>
        <w:pStyle w:val="3"/>
        <w:jc w:val="center"/>
        <w:rPr>
          <w:rFonts w:ascii="Times New Roman" w:hAnsi="Times New Roman"/>
          <w:color w:val="000000"/>
        </w:rPr>
      </w:pPr>
      <w:bookmarkStart w:id="374" w:name="_Toc501460683"/>
      <w:bookmarkStart w:id="375" w:name="_Toc15928646"/>
      <w:bookmarkStart w:id="376" w:name="_Toc26781085"/>
      <w:bookmarkStart w:id="377" w:name="_Toc152045767"/>
      <w:bookmarkStart w:id="378" w:name="_Toc152042546"/>
      <w:bookmarkStart w:id="379" w:name="_Toc179632785"/>
      <w:bookmarkStart w:id="380" w:name="_Toc144974826"/>
      <w:r>
        <w:rPr>
          <w:rFonts w:ascii="Times New Roman" w:hAnsi="Times New Roman"/>
          <w:color w:val="000000"/>
        </w:rPr>
        <w:t>第一节</w:t>
      </w:r>
      <w:r>
        <w:rPr>
          <w:rFonts w:hint="eastAsia" w:ascii="Times New Roman" w:hAnsi="Times New Roman"/>
          <w:color w:val="000000"/>
        </w:rPr>
        <w:t xml:space="preserve">  </w:t>
      </w:r>
      <w:r>
        <w:rPr>
          <w:rFonts w:ascii="Times New Roman" w:hAnsi="Times New Roman"/>
          <w:color w:val="000000"/>
        </w:rPr>
        <w:t>通用合同条款</w:t>
      </w:r>
      <w:bookmarkEnd w:id="374"/>
      <w:bookmarkEnd w:id="375"/>
      <w:bookmarkEnd w:id="376"/>
    </w:p>
    <w:p>
      <w:pPr>
        <w:pStyle w:val="3"/>
        <w:ind w:firstLine="105"/>
        <w:rPr>
          <w:rFonts w:ascii="Times New Roman" w:hAnsi="Times New Roman"/>
          <w:bCs w:val="0"/>
        </w:rPr>
      </w:pPr>
      <w:bookmarkStart w:id="381" w:name="_Toc26698147"/>
      <w:bookmarkStart w:id="382" w:name="_Toc26781086"/>
      <w:bookmarkStart w:id="383" w:name="_Toc30942"/>
      <w:bookmarkStart w:id="384" w:name="_Toc300835032"/>
      <w:bookmarkStart w:id="385" w:name="_Toc18333250"/>
      <w:bookmarkStart w:id="386" w:name="_Toc15928647"/>
      <w:bookmarkStart w:id="387" w:name="_Toc247514035"/>
      <w:bookmarkStart w:id="388" w:name="_Toc369531601"/>
      <w:bookmarkStart w:id="389" w:name="_Toc23183680"/>
      <w:bookmarkStart w:id="390" w:name="_Toc501460684"/>
      <w:bookmarkStart w:id="391" w:name="_Toc247527636"/>
      <w:r>
        <w:rPr>
          <w:rFonts w:ascii="Times New Roman" w:hAnsi="Times New Roman"/>
        </w:rPr>
        <w:t>1. 一般约定</w:t>
      </w:r>
      <w:bookmarkEnd w:id="381"/>
      <w:bookmarkEnd w:id="382"/>
      <w:bookmarkEnd w:id="383"/>
      <w:bookmarkEnd w:id="384"/>
      <w:bookmarkEnd w:id="385"/>
      <w:bookmarkEnd w:id="386"/>
      <w:bookmarkEnd w:id="387"/>
      <w:bookmarkEnd w:id="388"/>
      <w:bookmarkEnd w:id="389"/>
      <w:bookmarkEnd w:id="390"/>
      <w:bookmarkEnd w:id="391"/>
    </w:p>
    <w:p>
      <w:pPr>
        <w:pStyle w:val="4"/>
        <w:spacing w:line="240" w:lineRule="auto"/>
        <w:ind w:firstLine="137"/>
        <w:rPr>
          <w:rFonts w:ascii="Times New Roman" w:hAnsi="Times New Roman"/>
          <w:color w:val="000000"/>
        </w:rPr>
      </w:pPr>
      <w:bookmarkStart w:id="392" w:name="_Toc369531602"/>
      <w:bookmarkStart w:id="393" w:name="_Toc296602500"/>
      <w:bookmarkStart w:id="394" w:name="_Toc3381"/>
      <w:bookmarkStart w:id="395" w:name="_Toc246996998"/>
      <w:bookmarkStart w:id="396" w:name="_Toc246996255"/>
      <w:bookmarkStart w:id="397" w:name="_Toc247085770"/>
      <w:bookmarkStart w:id="398" w:name="_Toc501460685"/>
      <w:r>
        <w:rPr>
          <w:rFonts w:ascii="Times New Roman" w:hAnsi="Times New Roman"/>
          <w:color w:val="000000"/>
        </w:rPr>
        <w:t xml:space="preserve">1.1 </w:t>
      </w:r>
      <w:r>
        <w:rPr>
          <w:rFonts w:hint="eastAsia" w:ascii="Times New Roman" w:hAnsi="Times New Roman"/>
          <w:color w:val="000000"/>
        </w:rPr>
        <w:t>词语定义</w:t>
      </w:r>
      <w:bookmarkEnd w:id="392"/>
      <w:bookmarkEnd w:id="393"/>
      <w:bookmarkEnd w:id="394"/>
      <w:bookmarkEnd w:id="395"/>
      <w:bookmarkEnd w:id="396"/>
      <w:bookmarkEnd w:id="397"/>
      <w:bookmarkEnd w:id="398"/>
    </w:p>
    <w:p>
      <w:pPr>
        <w:spacing w:line="480" w:lineRule="exact"/>
        <w:ind w:firstLine="420" w:firstLineChars="200"/>
        <w:rPr>
          <w:szCs w:val="21"/>
        </w:rPr>
      </w:pPr>
      <w:r>
        <w:rPr>
          <w:szCs w:val="21"/>
        </w:rPr>
        <w:t>除专用合同条款另有约定外，合同中的下列词语应具有本款所赋予的含义。</w:t>
      </w:r>
    </w:p>
    <w:p>
      <w:pPr>
        <w:widowControl/>
        <w:spacing w:line="480" w:lineRule="exact"/>
        <w:ind w:firstLine="422" w:firstLineChars="200"/>
        <w:jc w:val="left"/>
      </w:pPr>
      <w:r>
        <w:rPr>
          <w:b/>
          <w:bCs/>
          <w:color w:val="000000"/>
          <w:kern w:val="0"/>
          <w:szCs w:val="21"/>
        </w:rPr>
        <w:t xml:space="preserve">1.1.1 </w:t>
      </w:r>
      <w:r>
        <w:rPr>
          <w:rFonts w:hint="eastAsia" w:ascii="宋体" w:hAnsi="宋体" w:cs="宋体"/>
          <w:b/>
          <w:bCs/>
          <w:color w:val="000000"/>
          <w:kern w:val="0"/>
          <w:szCs w:val="21"/>
        </w:rPr>
        <w:t xml:space="preserve">合同 </w:t>
      </w:r>
    </w:p>
    <w:p>
      <w:pPr>
        <w:widowControl/>
        <w:spacing w:line="480" w:lineRule="exact"/>
        <w:ind w:firstLine="420" w:firstLineChars="200"/>
        <w:jc w:val="left"/>
      </w:pPr>
      <w:r>
        <w:rPr>
          <w:color w:val="000000"/>
          <w:kern w:val="0"/>
          <w:szCs w:val="21"/>
        </w:rPr>
        <w:t xml:space="preserve">1.1.1.1 </w:t>
      </w:r>
      <w:r>
        <w:rPr>
          <w:rFonts w:hint="eastAsia" w:ascii="宋体" w:hAnsi="宋体" w:cs="宋体"/>
          <w:color w:val="000000"/>
          <w:kern w:val="0"/>
          <w:szCs w:val="21"/>
        </w:rPr>
        <w:t xml:space="preserve">合同文件（或称合同）：指合同协议书、中标通知书、投标函、商务和技术偏离表、专用合同条款、通用合同条款、供货要求、分项报价表、中标设备技术性能指标的详细描述、技术服务和质保期服务计划，以及其他构成合同组成部分的文件。 </w:t>
      </w:r>
    </w:p>
    <w:p>
      <w:pPr>
        <w:widowControl/>
        <w:spacing w:line="480" w:lineRule="exact"/>
        <w:ind w:firstLine="420" w:firstLineChars="200"/>
        <w:jc w:val="left"/>
      </w:pPr>
      <w:r>
        <w:rPr>
          <w:color w:val="000000"/>
          <w:kern w:val="0"/>
          <w:szCs w:val="21"/>
        </w:rPr>
        <w:t xml:space="preserve">1.1.1.2 </w:t>
      </w:r>
      <w:r>
        <w:rPr>
          <w:rFonts w:hint="eastAsia" w:ascii="宋体" w:hAnsi="宋体" w:cs="宋体"/>
          <w:color w:val="000000"/>
          <w:kern w:val="0"/>
          <w:szCs w:val="21"/>
        </w:rPr>
        <w:t xml:space="preserve">合同协议书：指买方和卖方共同签署的合同协议书。 </w:t>
      </w:r>
    </w:p>
    <w:p>
      <w:pPr>
        <w:widowControl/>
        <w:spacing w:line="480" w:lineRule="exact"/>
        <w:ind w:firstLine="420" w:firstLineChars="200"/>
        <w:jc w:val="left"/>
      </w:pPr>
      <w:r>
        <w:rPr>
          <w:color w:val="000000"/>
          <w:kern w:val="0"/>
          <w:szCs w:val="21"/>
        </w:rPr>
        <w:t xml:space="preserve">1.1.1.3 </w:t>
      </w:r>
      <w:r>
        <w:rPr>
          <w:rFonts w:hint="eastAsia" w:ascii="宋体" w:hAnsi="宋体" w:cs="宋体"/>
          <w:color w:val="000000"/>
          <w:kern w:val="0"/>
          <w:szCs w:val="21"/>
        </w:rPr>
        <w:t xml:space="preserve">中标通知书：指买方通知卖方中标的函件。 </w:t>
      </w:r>
    </w:p>
    <w:p>
      <w:pPr>
        <w:widowControl/>
        <w:spacing w:line="480" w:lineRule="exact"/>
        <w:ind w:firstLine="420" w:firstLineChars="200"/>
        <w:jc w:val="left"/>
      </w:pPr>
      <w:r>
        <w:rPr>
          <w:color w:val="000000"/>
          <w:kern w:val="0"/>
          <w:szCs w:val="21"/>
        </w:rPr>
        <w:t xml:space="preserve">1.1.1.4 </w:t>
      </w:r>
      <w:r>
        <w:rPr>
          <w:rFonts w:hint="eastAsia" w:ascii="宋体" w:hAnsi="宋体" w:cs="宋体"/>
          <w:color w:val="000000"/>
          <w:kern w:val="0"/>
          <w:szCs w:val="21"/>
        </w:rPr>
        <w:t xml:space="preserve">投标函：指由卖方填写并签署的，名为“投标函”的函件。 </w:t>
      </w:r>
    </w:p>
    <w:p>
      <w:pPr>
        <w:widowControl/>
        <w:spacing w:line="480" w:lineRule="exact"/>
        <w:ind w:firstLine="420" w:firstLineChars="200"/>
        <w:jc w:val="left"/>
      </w:pPr>
      <w:r>
        <w:rPr>
          <w:color w:val="000000"/>
          <w:kern w:val="0"/>
          <w:szCs w:val="21"/>
        </w:rPr>
        <w:t xml:space="preserve">1.1.1.5 </w:t>
      </w:r>
      <w:r>
        <w:rPr>
          <w:rFonts w:hint="eastAsia" w:ascii="宋体" w:hAnsi="宋体" w:cs="宋体"/>
          <w:color w:val="000000"/>
          <w:kern w:val="0"/>
          <w:szCs w:val="21"/>
        </w:rPr>
        <w:t xml:space="preserve">商务和技术偏离表：指卖方投标文件中的商务和技术偏离表。 </w:t>
      </w:r>
    </w:p>
    <w:p>
      <w:pPr>
        <w:widowControl/>
        <w:spacing w:line="480" w:lineRule="exact"/>
        <w:ind w:firstLine="420" w:firstLineChars="200"/>
        <w:jc w:val="left"/>
      </w:pPr>
      <w:r>
        <w:rPr>
          <w:color w:val="000000"/>
          <w:kern w:val="0"/>
          <w:szCs w:val="21"/>
        </w:rPr>
        <w:t xml:space="preserve">1.1.1.6 </w:t>
      </w:r>
      <w:r>
        <w:rPr>
          <w:rFonts w:hint="eastAsia" w:ascii="宋体" w:hAnsi="宋体" w:cs="宋体"/>
          <w:color w:val="000000"/>
          <w:kern w:val="0"/>
          <w:szCs w:val="21"/>
        </w:rPr>
        <w:t xml:space="preserve">供货要求：指合同文件中名为“供货要求”的文件。 </w:t>
      </w:r>
    </w:p>
    <w:p>
      <w:pPr>
        <w:widowControl/>
        <w:spacing w:line="480" w:lineRule="exact"/>
        <w:ind w:firstLine="420" w:firstLineChars="200"/>
        <w:jc w:val="left"/>
      </w:pPr>
      <w:r>
        <w:rPr>
          <w:color w:val="000000"/>
          <w:kern w:val="0"/>
          <w:szCs w:val="21"/>
        </w:rPr>
        <w:t xml:space="preserve">1.1.1.7 </w:t>
      </w:r>
      <w:r>
        <w:rPr>
          <w:rFonts w:hint="eastAsia" w:ascii="宋体" w:hAnsi="宋体" w:cs="宋体"/>
          <w:color w:val="000000"/>
          <w:kern w:val="0"/>
          <w:szCs w:val="21"/>
        </w:rPr>
        <w:t xml:space="preserve">中标设备技术性能指标的详细描述：指卖方投标文件中的投标设备技术性能指标的详细描述。 </w:t>
      </w:r>
    </w:p>
    <w:p>
      <w:pPr>
        <w:widowControl/>
        <w:spacing w:line="480" w:lineRule="exact"/>
        <w:ind w:firstLine="420" w:firstLineChars="200"/>
        <w:jc w:val="left"/>
      </w:pPr>
      <w:r>
        <w:rPr>
          <w:color w:val="000000"/>
          <w:kern w:val="0"/>
          <w:szCs w:val="21"/>
        </w:rPr>
        <w:t xml:space="preserve">1.1.1.8 </w:t>
      </w:r>
      <w:r>
        <w:rPr>
          <w:rFonts w:hint="eastAsia" w:ascii="宋体" w:hAnsi="宋体" w:cs="宋体"/>
          <w:color w:val="000000"/>
          <w:kern w:val="0"/>
          <w:szCs w:val="21"/>
        </w:rPr>
        <w:t xml:space="preserve">技术服务和质保期服务计划：指卖方投标文件中的技术服务和质保期服务计划。 </w:t>
      </w:r>
    </w:p>
    <w:p>
      <w:pPr>
        <w:widowControl/>
        <w:spacing w:line="480" w:lineRule="exact"/>
        <w:ind w:firstLine="420" w:firstLineChars="200"/>
        <w:jc w:val="left"/>
      </w:pPr>
      <w:r>
        <w:rPr>
          <w:color w:val="000000"/>
          <w:kern w:val="0"/>
          <w:szCs w:val="21"/>
        </w:rPr>
        <w:t xml:space="preserve">1.1.1.9 </w:t>
      </w:r>
      <w:r>
        <w:rPr>
          <w:rFonts w:hint="eastAsia" w:ascii="宋体" w:hAnsi="宋体" w:cs="宋体"/>
          <w:color w:val="000000"/>
          <w:kern w:val="0"/>
          <w:szCs w:val="21"/>
        </w:rPr>
        <w:t xml:space="preserve">分项报价表：指卖方投标文件中的分项报价表。 </w:t>
      </w:r>
    </w:p>
    <w:p>
      <w:pPr>
        <w:widowControl/>
        <w:spacing w:line="480" w:lineRule="exact"/>
        <w:ind w:firstLine="420" w:firstLineChars="200"/>
        <w:jc w:val="left"/>
      </w:pPr>
      <w:r>
        <w:rPr>
          <w:color w:val="000000"/>
          <w:kern w:val="0"/>
          <w:szCs w:val="21"/>
        </w:rPr>
        <w:t xml:space="preserve">1.1.1.10 </w:t>
      </w:r>
      <w:r>
        <w:rPr>
          <w:rFonts w:hint="eastAsia" w:ascii="宋体" w:hAnsi="宋体" w:cs="宋体"/>
          <w:color w:val="000000"/>
          <w:kern w:val="0"/>
          <w:szCs w:val="21"/>
        </w:rPr>
        <w:t xml:space="preserve">其他合同文件：指经合同双方当事人确认构成合同文件的其他文件。 </w:t>
      </w:r>
    </w:p>
    <w:p>
      <w:pPr>
        <w:widowControl/>
        <w:spacing w:line="480" w:lineRule="exact"/>
        <w:ind w:firstLine="422" w:firstLineChars="200"/>
        <w:jc w:val="left"/>
      </w:pPr>
      <w:r>
        <w:rPr>
          <w:b/>
          <w:bCs/>
          <w:color w:val="000000"/>
          <w:kern w:val="0"/>
          <w:szCs w:val="21"/>
        </w:rPr>
        <w:t xml:space="preserve">1.1.2 </w:t>
      </w:r>
      <w:r>
        <w:rPr>
          <w:rFonts w:hint="eastAsia" w:ascii="宋体" w:hAnsi="宋体" w:cs="宋体"/>
          <w:b/>
          <w:bCs/>
          <w:color w:val="000000"/>
          <w:kern w:val="0"/>
          <w:szCs w:val="21"/>
        </w:rPr>
        <w:t xml:space="preserve">合同当事人 </w:t>
      </w:r>
    </w:p>
    <w:p>
      <w:pPr>
        <w:widowControl/>
        <w:spacing w:line="480" w:lineRule="exact"/>
        <w:ind w:firstLine="420" w:firstLineChars="200"/>
        <w:jc w:val="left"/>
      </w:pPr>
      <w:r>
        <w:rPr>
          <w:color w:val="000000"/>
          <w:kern w:val="0"/>
          <w:szCs w:val="21"/>
        </w:rPr>
        <w:t xml:space="preserve">1.1.2.1 </w:t>
      </w:r>
      <w:r>
        <w:rPr>
          <w:rFonts w:hint="eastAsia" w:ascii="宋体" w:hAnsi="宋体" w:cs="宋体"/>
          <w:color w:val="000000"/>
          <w:kern w:val="0"/>
          <w:szCs w:val="21"/>
        </w:rPr>
        <w:t xml:space="preserve">合同当事人：指买方和（或）卖方。 </w:t>
      </w:r>
    </w:p>
    <w:p>
      <w:pPr>
        <w:widowControl/>
        <w:spacing w:line="480" w:lineRule="exact"/>
        <w:ind w:firstLine="420" w:firstLineChars="200"/>
        <w:jc w:val="left"/>
      </w:pPr>
      <w:r>
        <w:rPr>
          <w:color w:val="000000"/>
          <w:kern w:val="0"/>
          <w:szCs w:val="21"/>
        </w:rPr>
        <w:t xml:space="preserve">1.1.2.2 </w:t>
      </w:r>
      <w:r>
        <w:rPr>
          <w:rFonts w:hint="eastAsia" w:ascii="宋体" w:hAnsi="宋体" w:cs="宋体"/>
          <w:color w:val="000000"/>
          <w:kern w:val="0"/>
          <w:szCs w:val="21"/>
        </w:rPr>
        <w:t xml:space="preserve">买方：指与卖方签订合同协议书，购买合同设备和技术服务和质保期服务的当事人，及其合法继承人。 </w:t>
      </w:r>
    </w:p>
    <w:p>
      <w:pPr>
        <w:widowControl/>
        <w:spacing w:line="480" w:lineRule="exact"/>
        <w:ind w:firstLine="420" w:firstLineChars="200"/>
        <w:jc w:val="left"/>
      </w:pPr>
      <w:r>
        <w:rPr>
          <w:color w:val="000000"/>
          <w:kern w:val="0"/>
          <w:szCs w:val="21"/>
        </w:rPr>
        <w:t xml:space="preserve">1.1.2.3 </w:t>
      </w:r>
      <w:r>
        <w:rPr>
          <w:rFonts w:hint="eastAsia" w:ascii="宋体" w:hAnsi="宋体" w:cs="宋体"/>
          <w:color w:val="000000"/>
          <w:kern w:val="0"/>
          <w:szCs w:val="21"/>
        </w:rPr>
        <w:t xml:space="preserve">卖方：指与买方签订合同协议书，提供合同设备和技术服务和质保期服务的当事人，及其合法继承人。 </w:t>
      </w:r>
    </w:p>
    <w:p>
      <w:pPr>
        <w:widowControl/>
        <w:spacing w:line="480" w:lineRule="exact"/>
        <w:ind w:firstLine="422" w:firstLineChars="200"/>
        <w:jc w:val="left"/>
      </w:pPr>
      <w:r>
        <w:rPr>
          <w:b/>
          <w:bCs/>
          <w:color w:val="000000"/>
          <w:kern w:val="0"/>
          <w:szCs w:val="21"/>
        </w:rPr>
        <w:t xml:space="preserve">1.1.3 </w:t>
      </w:r>
      <w:r>
        <w:rPr>
          <w:rFonts w:hint="eastAsia" w:ascii="宋体" w:hAnsi="宋体" w:cs="宋体"/>
          <w:b/>
          <w:bCs/>
          <w:color w:val="000000"/>
          <w:kern w:val="0"/>
          <w:szCs w:val="21"/>
        </w:rPr>
        <w:t xml:space="preserve">合同价格 </w:t>
      </w:r>
    </w:p>
    <w:p>
      <w:pPr>
        <w:widowControl/>
        <w:spacing w:line="480" w:lineRule="exact"/>
        <w:ind w:firstLine="420" w:firstLineChars="200"/>
        <w:jc w:val="left"/>
      </w:pPr>
      <w:r>
        <w:rPr>
          <w:color w:val="000000"/>
          <w:kern w:val="0"/>
          <w:szCs w:val="21"/>
        </w:rPr>
        <w:t xml:space="preserve">1.1.3.1 </w:t>
      </w:r>
      <w:r>
        <w:rPr>
          <w:rFonts w:hint="eastAsia" w:ascii="宋体" w:hAnsi="宋体" w:cs="宋体"/>
          <w:color w:val="000000"/>
          <w:kern w:val="0"/>
          <w:szCs w:val="21"/>
        </w:rPr>
        <w:t xml:space="preserve">签约合同价：是签订合同时合同协议书中写明的合同总金额。 </w:t>
      </w:r>
    </w:p>
    <w:p>
      <w:pPr>
        <w:widowControl/>
        <w:spacing w:line="480" w:lineRule="exact"/>
        <w:ind w:firstLine="420" w:firstLineChars="200"/>
        <w:jc w:val="left"/>
      </w:pPr>
      <w:r>
        <w:rPr>
          <w:color w:val="000000"/>
          <w:kern w:val="0"/>
          <w:szCs w:val="21"/>
        </w:rPr>
        <w:t xml:space="preserve">1.1.3.2 </w:t>
      </w:r>
      <w:r>
        <w:rPr>
          <w:rFonts w:hint="eastAsia" w:ascii="宋体" w:hAnsi="宋体" w:cs="宋体"/>
          <w:color w:val="000000"/>
          <w:kern w:val="0"/>
          <w:szCs w:val="21"/>
        </w:rPr>
        <w:t xml:space="preserve">合同价格：指卖方按合同约定履行了全部合同义务后，买方应付给卖方的金额。 </w:t>
      </w:r>
    </w:p>
    <w:p>
      <w:pPr>
        <w:widowControl/>
        <w:spacing w:line="480" w:lineRule="exact"/>
        <w:ind w:firstLine="420" w:firstLineChars="200"/>
        <w:jc w:val="left"/>
      </w:pPr>
      <w:r>
        <w:rPr>
          <w:color w:val="000000"/>
          <w:kern w:val="0"/>
          <w:szCs w:val="21"/>
        </w:rPr>
        <w:t xml:space="preserve">1.1.4 </w:t>
      </w:r>
      <w:r>
        <w:rPr>
          <w:rFonts w:hint="eastAsia" w:ascii="宋体" w:hAnsi="宋体" w:cs="宋体"/>
          <w:color w:val="000000"/>
          <w:kern w:val="0"/>
          <w:szCs w:val="21"/>
        </w:rPr>
        <w:t xml:space="preserve">合同设备：指卖方按合同约定应向买方提供的设备、装置、备品、备件、易损易耗件、配套使用的软件或其他辅助电子应用程序及技术资料，或其中任何一部分。 </w:t>
      </w:r>
    </w:p>
    <w:p>
      <w:pPr>
        <w:widowControl/>
        <w:spacing w:line="480" w:lineRule="exact"/>
        <w:ind w:firstLine="420" w:firstLineChars="200"/>
        <w:jc w:val="left"/>
      </w:pPr>
      <w:r>
        <w:rPr>
          <w:color w:val="000000"/>
          <w:kern w:val="0"/>
          <w:szCs w:val="21"/>
        </w:rPr>
        <w:t xml:space="preserve">1.1.5 </w:t>
      </w:r>
      <w:r>
        <w:rPr>
          <w:rFonts w:hint="eastAsia" w:ascii="宋体" w:hAnsi="宋体" w:cs="宋体"/>
          <w:color w:val="000000"/>
          <w:kern w:val="0"/>
          <w:szCs w:val="21"/>
        </w:rPr>
        <w:t xml:space="preserve">技术资料：指各种纸质及电子载体的与合同设备的设计、检验、安装、调试、考核、操作、维修以及保养等有关的技术指标、规格、图纸和说明文件。 </w:t>
      </w:r>
    </w:p>
    <w:p>
      <w:pPr>
        <w:widowControl/>
        <w:spacing w:line="480" w:lineRule="exact"/>
        <w:ind w:firstLine="420" w:firstLineChars="200"/>
        <w:jc w:val="left"/>
      </w:pPr>
      <w:r>
        <w:rPr>
          <w:color w:val="000000"/>
          <w:kern w:val="0"/>
          <w:szCs w:val="21"/>
        </w:rPr>
        <w:t xml:space="preserve">1.1.6 </w:t>
      </w:r>
      <w:r>
        <w:rPr>
          <w:rFonts w:hint="eastAsia" w:ascii="宋体" w:hAnsi="宋体" w:cs="宋体"/>
          <w:color w:val="000000"/>
          <w:kern w:val="0"/>
          <w:szCs w:val="21"/>
        </w:rPr>
        <w:t xml:space="preserve">安装：指对合同设备进行的组装、连接以及根据需要将合同设备固定在施工场地内一定的位置上，使其就位并与相关设备、工程实现连接。 </w:t>
      </w:r>
    </w:p>
    <w:p>
      <w:pPr>
        <w:widowControl/>
        <w:spacing w:line="480" w:lineRule="exact"/>
        <w:ind w:firstLine="420" w:firstLineChars="200"/>
        <w:jc w:val="left"/>
      </w:pPr>
      <w:r>
        <w:rPr>
          <w:color w:val="000000"/>
          <w:kern w:val="0"/>
          <w:szCs w:val="21"/>
        </w:rPr>
        <w:t xml:space="preserve">1.1.7 </w:t>
      </w:r>
      <w:r>
        <w:rPr>
          <w:rFonts w:hint="eastAsia" w:ascii="宋体" w:hAnsi="宋体" w:cs="宋体"/>
          <w:color w:val="000000"/>
          <w:kern w:val="0"/>
          <w:szCs w:val="21"/>
        </w:rPr>
        <w:t xml:space="preserve">调试：指在合同设备安装完成后，对合同设备所进行的调校和测试。 </w:t>
      </w:r>
    </w:p>
    <w:p>
      <w:pPr>
        <w:widowControl/>
        <w:spacing w:line="480" w:lineRule="exact"/>
        <w:ind w:firstLine="420" w:firstLineChars="200"/>
        <w:jc w:val="left"/>
      </w:pPr>
      <w:r>
        <w:rPr>
          <w:color w:val="000000"/>
          <w:kern w:val="0"/>
          <w:szCs w:val="21"/>
        </w:rPr>
        <w:t xml:space="preserve">1.1.8 </w:t>
      </w:r>
      <w:r>
        <w:rPr>
          <w:rFonts w:hint="eastAsia" w:ascii="宋体" w:hAnsi="宋体" w:cs="宋体"/>
          <w:color w:val="000000"/>
          <w:kern w:val="0"/>
          <w:szCs w:val="21"/>
        </w:rPr>
        <w:t xml:space="preserve">考核：指在合同设备调试完成后，对合同设备进行的用于确定其是否达到合同约定的技术性能考核指标的考核。 </w:t>
      </w:r>
    </w:p>
    <w:p>
      <w:pPr>
        <w:widowControl/>
        <w:spacing w:line="480" w:lineRule="exact"/>
        <w:ind w:firstLine="420" w:firstLineChars="200"/>
        <w:jc w:val="left"/>
      </w:pPr>
      <w:r>
        <w:rPr>
          <w:color w:val="000000"/>
          <w:kern w:val="0"/>
          <w:szCs w:val="21"/>
        </w:rPr>
        <w:t xml:space="preserve">1.1.9 </w:t>
      </w:r>
      <w:r>
        <w:rPr>
          <w:rFonts w:hint="eastAsia" w:ascii="宋体" w:hAnsi="宋体" w:cs="宋体"/>
          <w:color w:val="000000"/>
          <w:kern w:val="0"/>
          <w:szCs w:val="21"/>
        </w:rPr>
        <w:t xml:space="preserve">验收：指合同设备通过考核达到合同约定的技术性能考核指标后，买方作出接受合同设备的确认。 </w:t>
      </w:r>
    </w:p>
    <w:p>
      <w:pPr>
        <w:widowControl/>
        <w:spacing w:line="480" w:lineRule="exact"/>
        <w:ind w:firstLine="420" w:firstLineChars="200"/>
        <w:jc w:val="left"/>
      </w:pPr>
      <w:r>
        <w:rPr>
          <w:color w:val="000000"/>
          <w:kern w:val="0"/>
          <w:szCs w:val="21"/>
        </w:rPr>
        <w:t xml:space="preserve">1.1.10 </w:t>
      </w:r>
      <w:r>
        <w:rPr>
          <w:rFonts w:hint="eastAsia" w:ascii="宋体" w:hAnsi="宋体" w:cs="宋体"/>
          <w:color w:val="000000"/>
          <w:kern w:val="0"/>
          <w:szCs w:val="21"/>
        </w:rPr>
        <w:t xml:space="preserve">技术服务：指卖方按合同约定，在合同设备验收前，向买方提供的安装、调试、培训等，或者在由买方负责的安装、调试、考核中对买方进行的技术指导、协助、监督和培训等。 </w:t>
      </w:r>
    </w:p>
    <w:p>
      <w:pPr>
        <w:widowControl/>
        <w:spacing w:line="480" w:lineRule="exact"/>
        <w:ind w:firstLine="420" w:firstLineChars="200"/>
        <w:jc w:val="left"/>
      </w:pPr>
      <w:r>
        <w:rPr>
          <w:color w:val="000000"/>
          <w:kern w:val="0"/>
          <w:szCs w:val="21"/>
        </w:rPr>
        <w:t xml:space="preserve">1.1.11 </w:t>
      </w:r>
      <w:r>
        <w:rPr>
          <w:rFonts w:hint="eastAsia" w:ascii="宋体" w:hAnsi="宋体" w:cs="宋体"/>
          <w:color w:val="000000"/>
          <w:kern w:val="0"/>
          <w:szCs w:val="21"/>
        </w:rPr>
        <w:t xml:space="preserve">质量保证期：指合同设备验收后，卖方按合同约定保证合同设备适当、稳定运行，并负责消除合同设备故障的期限。 </w:t>
      </w:r>
    </w:p>
    <w:p>
      <w:pPr>
        <w:widowControl/>
        <w:spacing w:line="480" w:lineRule="exact"/>
        <w:ind w:firstLine="420" w:firstLineChars="200"/>
        <w:jc w:val="left"/>
      </w:pPr>
      <w:r>
        <w:rPr>
          <w:color w:val="000000"/>
          <w:kern w:val="0"/>
          <w:szCs w:val="21"/>
        </w:rPr>
        <w:t xml:space="preserve">1.1.12 </w:t>
      </w:r>
      <w:r>
        <w:rPr>
          <w:rFonts w:hint="eastAsia" w:ascii="宋体" w:hAnsi="宋体" w:cs="宋体"/>
          <w:color w:val="000000"/>
          <w:kern w:val="0"/>
          <w:szCs w:val="21"/>
        </w:rPr>
        <w:t xml:space="preserve">质保期服务：指在质量保证期内，卖方向买方提供的合同设备维护服务、咨询服务、技术指导、协助以及对出现故障的合同设备进行修理或更换的服务。 </w:t>
      </w:r>
    </w:p>
    <w:p>
      <w:pPr>
        <w:widowControl/>
        <w:spacing w:line="480" w:lineRule="exact"/>
        <w:ind w:firstLine="422" w:firstLineChars="200"/>
        <w:jc w:val="left"/>
      </w:pPr>
      <w:r>
        <w:rPr>
          <w:b/>
          <w:bCs/>
          <w:color w:val="000000"/>
          <w:kern w:val="0"/>
          <w:szCs w:val="21"/>
        </w:rPr>
        <w:t xml:space="preserve">1.1.13 </w:t>
      </w:r>
      <w:r>
        <w:rPr>
          <w:rFonts w:hint="eastAsia" w:ascii="宋体" w:hAnsi="宋体" w:cs="宋体"/>
          <w:b/>
          <w:bCs/>
          <w:color w:val="000000"/>
          <w:kern w:val="0"/>
          <w:szCs w:val="21"/>
        </w:rPr>
        <w:t xml:space="preserve">工程 </w:t>
      </w:r>
    </w:p>
    <w:p>
      <w:pPr>
        <w:widowControl/>
        <w:spacing w:line="480" w:lineRule="exact"/>
        <w:ind w:firstLine="420" w:firstLineChars="200"/>
        <w:jc w:val="left"/>
      </w:pPr>
      <w:r>
        <w:rPr>
          <w:color w:val="000000"/>
          <w:kern w:val="0"/>
          <w:szCs w:val="21"/>
        </w:rPr>
        <w:t xml:space="preserve">1.1.13.1 </w:t>
      </w:r>
      <w:r>
        <w:rPr>
          <w:rFonts w:hint="eastAsia" w:ascii="宋体" w:hAnsi="宋体" w:cs="宋体"/>
          <w:color w:val="000000"/>
          <w:kern w:val="0"/>
          <w:szCs w:val="21"/>
        </w:rPr>
        <w:t xml:space="preserve">工程：指在专用合同条款中指明的，安装运行合同设备的工程。 </w:t>
      </w:r>
    </w:p>
    <w:p>
      <w:pPr>
        <w:widowControl/>
        <w:spacing w:line="480" w:lineRule="exact"/>
        <w:ind w:firstLine="420" w:firstLineChars="200"/>
        <w:jc w:val="left"/>
      </w:pPr>
      <w:r>
        <w:rPr>
          <w:color w:val="000000"/>
          <w:kern w:val="0"/>
          <w:szCs w:val="21"/>
        </w:rPr>
        <w:t xml:space="preserve">1.1.13.2 </w:t>
      </w:r>
      <w:r>
        <w:rPr>
          <w:rFonts w:hint="eastAsia" w:ascii="宋体" w:hAnsi="宋体" w:cs="宋体"/>
          <w:color w:val="000000"/>
          <w:kern w:val="0"/>
          <w:szCs w:val="21"/>
        </w:rPr>
        <w:t xml:space="preserve">施工场地（或称工地、施工现场）：指专用合同条款中指明的工程所在场所。 </w:t>
      </w:r>
    </w:p>
    <w:p>
      <w:pPr>
        <w:widowControl/>
        <w:spacing w:line="480" w:lineRule="exact"/>
        <w:ind w:firstLine="420" w:firstLineChars="200"/>
        <w:jc w:val="left"/>
      </w:pPr>
      <w:r>
        <w:rPr>
          <w:color w:val="000000"/>
          <w:kern w:val="0"/>
          <w:szCs w:val="21"/>
        </w:rPr>
        <w:t xml:space="preserve">1.1.14 </w:t>
      </w:r>
      <w:r>
        <w:rPr>
          <w:rFonts w:hint="eastAsia" w:ascii="宋体" w:hAnsi="宋体" w:cs="宋体"/>
          <w:color w:val="000000"/>
          <w:kern w:val="0"/>
          <w:szCs w:val="21"/>
        </w:rPr>
        <w:t xml:space="preserve">天（或称日）：除特别指明外，指日历天。合同中按天计算时间的，开始当天不计入，从次日开始计算。合同约定的期间的最后一天是星期日或者其他法定休假日的，以休假日的次日为期间的最后一天。 </w:t>
      </w:r>
    </w:p>
    <w:p>
      <w:pPr>
        <w:widowControl/>
        <w:spacing w:line="480" w:lineRule="exact"/>
        <w:ind w:firstLine="420" w:firstLineChars="200"/>
        <w:jc w:val="left"/>
      </w:pPr>
      <w:r>
        <w:rPr>
          <w:color w:val="000000"/>
          <w:kern w:val="0"/>
          <w:szCs w:val="21"/>
        </w:rPr>
        <w:t xml:space="preserve">1.1.15 </w:t>
      </w:r>
      <w:r>
        <w:rPr>
          <w:rFonts w:hint="eastAsia" w:ascii="宋体" w:hAnsi="宋体" w:cs="宋体"/>
          <w:color w:val="000000"/>
          <w:kern w:val="0"/>
          <w:szCs w:val="21"/>
        </w:rPr>
        <w:t xml:space="preserve">月：按照公历月计算。合同中按月计算时间的，开始当天不计入，从次日开始计算。合同约定的期间的最后一天是星期日或者其他法定休假日的，以休假日的次日为期间的最后一天。 </w:t>
      </w:r>
    </w:p>
    <w:p>
      <w:pPr>
        <w:widowControl/>
        <w:spacing w:line="480" w:lineRule="exact"/>
        <w:ind w:firstLine="420" w:firstLineChars="200"/>
        <w:jc w:val="left"/>
      </w:pPr>
      <w:r>
        <w:rPr>
          <w:color w:val="000000"/>
          <w:kern w:val="0"/>
          <w:szCs w:val="21"/>
        </w:rPr>
        <w:t xml:space="preserve">1.1.16 </w:t>
      </w:r>
      <w:r>
        <w:rPr>
          <w:rFonts w:hint="eastAsia" w:ascii="宋体" w:hAnsi="宋体" w:cs="宋体"/>
          <w:color w:val="000000"/>
          <w:kern w:val="0"/>
          <w:szCs w:val="21"/>
        </w:rPr>
        <w:t xml:space="preserve">书面形式：指合同文件、信件和数据电文（包括电报、电传、传真、电子数据交换和电子邮件）等可以有形地表现所载内容的形式。 </w:t>
      </w:r>
    </w:p>
    <w:p>
      <w:pPr>
        <w:widowControl/>
        <w:spacing w:line="480" w:lineRule="exact"/>
        <w:ind w:firstLine="480" w:firstLineChars="200"/>
        <w:jc w:val="left"/>
      </w:pPr>
      <w:r>
        <w:rPr>
          <w:color w:val="000000"/>
          <w:kern w:val="0"/>
          <w:sz w:val="24"/>
        </w:rPr>
        <w:t xml:space="preserve">1.2 </w:t>
      </w:r>
      <w:r>
        <w:rPr>
          <w:rFonts w:ascii="黑体" w:hAnsi="宋体" w:eastAsia="黑体" w:cs="黑体"/>
          <w:color w:val="000000"/>
          <w:kern w:val="0"/>
          <w:sz w:val="24"/>
        </w:rPr>
        <w:t xml:space="preserve">语言文字 </w:t>
      </w:r>
    </w:p>
    <w:p>
      <w:pPr>
        <w:widowControl/>
        <w:spacing w:line="480" w:lineRule="exact"/>
        <w:ind w:firstLine="420" w:firstLineChars="200"/>
        <w:jc w:val="left"/>
      </w:pPr>
      <w:r>
        <w:rPr>
          <w:rFonts w:hint="eastAsia" w:ascii="宋体" w:hAnsi="宋体" w:cs="宋体"/>
          <w:color w:val="000000"/>
          <w:kern w:val="0"/>
          <w:szCs w:val="21"/>
        </w:rPr>
        <w:t xml:space="preserve">合同使用的语言文字为中文。专用术语使用外文的，应附有中文注释。 </w:t>
      </w:r>
    </w:p>
    <w:p>
      <w:pPr>
        <w:widowControl/>
        <w:spacing w:line="480" w:lineRule="exact"/>
        <w:ind w:firstLine="480" w:firstLineChars="200"/>
        <w:jc w:val="left"/>
      </w:pPr>
      <w:r>
        <w:rPr>
          <w:color w:val="000000"/>
          <w:kern w:val="0"/>
          <w:sz w:val="24"/>
        </w:rPr>
        <w:t xml:space="preserve">1.3 </w:t>
      </w:r>
      <w:r>
        <w:rPr>
          <w:rFonts w:hint="eastAsia" w:ascii="黑体" w:hAnsi="宋体" w:eastAsia="黑体" w:cs="黑体"/>
          <w:color w:val="000000"/>
          <w:kern w:val="0"/>
          <w:sz w:val="24"/>
        </w:rPr>
        <w:t xml:space="preserve">合同文件的优先顺序 </w:t>
      </w:r>
    </w:p>
    <w:p>
      <w:pPr>
        <w:widowControl/>
        <w:spacing w:line="480" w:lineRule="exact"/>
        <w:ind w:firstLine="420" w:firstLineChars="200"/>
        <w:jc w:val="left"/>
      </w:pPr>
      <w:r>
        <w:rPr>
          <w:rFonts w:hint="eastAsia" w:ascii="宋体" w:hAnsi="宋体" w:cs="宋体"/>
          <w:color w:val="000000"/>
          <w:kern w:val="0"/>
          <w:szCs w:val="21"/>
        </w:rPr>
        <w:t xml:space="preserve">组成合同的各项文件应互相解释，互为说明。除专用合同条款另有约定外，解释合同文件的优先顺序如下：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1</w:t>
      </w:r>
      <w:r>
        <w:rPr>
          <w:rFonts w:hint="eastAsia" w:ascii="宋体" w:hAnsi="宋体" w:cs="宋体"/>
          <w:color w:val="000000"/>
          <w:kern w:val="0"/>
          <w:szCs w:val="21"/>
        </w:rPr>
        <w:t xml:space="preserve">）合同协议书；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2</w:t>
      </w:r>
      <w:r>
        <w:rPr>
          <w:rFonts w:hint="eastAsia" w:ascii="宋体" w:hAnsi="宋体" w:cs="宋体"/>
          <w:color w:val="000000"/>
          <w:kern w:val="0"/>
          <w:szCs w:val="21"/>
        </w:rPr>
        <w:t>）中标通知书；</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3</w:t>
      </w:r>
      <w:r>
        <w:rPr>
          <w:rFonts w:hint="eastAsia" w:ascii="宋体" w:hAnsi="宋体" w:cs="宋体"/>
          <w:color w:val="000000"/>
          <w:kern w:val="0"/>
          <w:szCs w:val="21"/>
        </w:rPr>
        <w:t xml:space="preserve">）投标函；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4</w:t>
      </w:r>
      <w:r>
        <w:rPr>
          <w:rFonts w:hint="eastAsia" w:ascii="宋体" w:hAnsi="宋体" w:cs="宋体"/>
          <w:color w:val="000000"/>
          <w:kern w:val="0"/>
          <w:szCs w:val="21"/>
        </w:rPr>
        <w:t xml:space="preserve">）商务和技术偏差表；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5</w:t>
      </w:r>
      <w:r>
        <w:rPr>
          <w:rFonts w:hint="eastAsia" w:ascii="宋体" w:hAnsi="宋体" w:cs="宋体"/>
          <w:color w:val="000000"/>
          <w:kern w:val="0"/>
          <w:szCs w:val="21"/>
        </w:rPr>
        <w:t xml:space="preserve">）专用合同条款；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6</w:t>
      </w:r>
      <w:r>
        <w:rPr>
          <w:rFonts w:hint="eastAsia" w:ascii="宋体" w:hAnsi="宋体" w:cs="宋体"/>
          <w:color w:val="000000"/>
          <w:kern w:val="0"/>
          <w:szCs w:val="21"/>
        </w:rPr>
        <w:t xml:space="preserve">）通用合同条款；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7</w:t>
      </w:r>
      <w:r>
        <w:rPr>
          <w:rFonts w:hint="eastAsia" w:ascii="宋体" w:hAnsi="宋体" w:cs="宋体"/>
          <w:color w:val="000000"/>
          <w:kern w:val="0"/>
          <w:szCs w:val="21"/>
        </w:rPr>
        <w:t xml:space="preserve">）供货要求；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8</w:t>
      </w:r>
      <w:r>
        <w:rPr>
          <w:rFonts w:hint="eastAsia" w:ascii="宋体" w:hAnsi="宋体" w:cs="宋体"/>
          <w:color w:val="000000"/>
          <w:kern w:val="0"/>
          <w:szCs w:val="21"/>
        </w:rPr>
        <w:t xml:space="preserve">）分项报价表；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9</w:t>
      </w:r>
      <w:r>
        <w:rPr>
          <w:rFonts w:hint="eastAsia" w:ascii="宋体" w:hAnsi="宋体" w:cs="宋体"/>
          <w:color w:val="000000"/>
          <w:kern w:val="0"/>
          <w:szCs w:val="21"/>
        </w:rPr>
        <w:t xml:space="preserve">）中标设备技术性能指标的详细描述；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10</w:t>
      </w:r>
      <w:r>
        <w:rPr>
          <w:rFonts w:hint="eastAsia" w:ascii="宋体" w:hAnsi="宋体" w:cs="宋体"/>
          <w:color w:val="000000"/>
          <w:kern w:val="0"/>
          <w:szCs w:val="21"/>
        </w:rPr>
        <w:t xml:space="preserve">）技术服务和质保期服务计划；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11</w:t>
      </w:r>
      <w:r>
        <w:rPr>
          <w:rFonts w:hint="eastAsia" w:ascii="宋体" w:hAnsi="宋体" w:cs="宋体"/>
          <w:color w:val="000000"/>
          <w:kern w:val="0"/>
          <w:szCs w:val="21"/>
        </w:rPr>
        <w:t xml:space="preserve">）其他合同文件。 </w:t>
      </w:r>
    </w:p>
    <w:p>
      <w:pPr>
        <w:widowControl/>
        <w:spacing w:line="480" w:lineRule="exact"/>
        <w:ind w:firstLine="480" w:firstLineChars="200"/>
        <w:jc w:val="left"/>
      </w:pPr>
      <w:r>
        <w:rPr>
          <w:color w:val="000000"/>
          <w:kern w:val="0"/>
          <w:sz w:val="24"/>
        </w:rPr>
        <w:t xml:space="preserve">1.4 </w:t>
      </w:r>
      <w:r>
        <w:rPr>
          <w:rFonts w:ascii="黑体" w:hAnsi="宋体" w:eastAsia="黑体" w:cs="黑体"/>
          <w:color w:val="000000"/>
          <w:kern w:val="0"/>
          <w:sz w:val="24"/>
        </w:rPr>
        <w:t xml:space="preserve">合同的生效及变更 </w:t>
      </w:r>
    </w:p>
    <w:p>
      <w:pPr>
        <w:widowControl/>
        <w:spacing w:line="480" w:lineRule="exact"/>
        <w:ind w:firstLine="420" w:firstLineChars="200"/>
        <w:jc w:val="left"/>
      </w:pPr>
      <w:r>
        <w:rPr>
          <w:color w:val="000000"/>
          <w:kern w:val="0"/>
          <w:szCs w:val="21"/>
        </w:rPr>
        <w:t xml:space="preserve">1.4.1 </w:t>
      </w:r>
      <w:r>
        <w:rPr>
          <w:rFonts w:hint="eastAsia" w:ascii="宋体" w:hAnsi="宋体" w:cs="宋体"/>
          <w:color w:val="000000"/>
          <w:kern w:val="0"/>
          <w:szCs w:val="21"/>
        </w:rPr>
        <w:t xml:space="preserve">除专用合同条款另有约定外，买方和卖方的法定代表人（单位负责人）或其授权代表在合同协议书上签字并加盖单位章后，合同生效。 </w:t>
      </w:r>
    </w:p>
    <w:p>
      <w:pPr>
        <w:widowControl/>
        <w:spacing w:line="480" w:lineRule="exact"/>
        <w:ind w:firstLine="420" w:firstLineChars="200"/>
        <w:jc w:val="left"/>
      </w:pPr>
      <w:r>
        <w:rPr>
          <w:color w:val="000000"/>
          <w:kern w:val="0"/>
          <w:szCs w:val="21"/>
        </w:rPr>
        <w:t xml:space="preserve">1.4.2 </w:t>
      </w:r>
      <w:r>
        <w:rPr>
          <w:rFonts w:hint="eastAsia" w:ascii="宋体" w:hAnsi="宋体" w:cs="宋体"/>
          <w:color w:val="000000"/>
          <w:kern w:val="0"/>
          <w:szCs w:val="21"/>
        </w:rPr>
        <w:t xml:space="preserve">除专用合同条款另有约定外，在合同履行过程中，如需对合同进行变更，双方应签订书面协议，并经双方法定代表人（单位负责人）或其授权代表签字并加盖单位章后生效。 </w:t>
      </w:r>
    </w:p>
    <w:p>
      <w:pPr>
        <w:widowControl/>
        <w:spacing w:line="480" w:lineRule="exact"/>
        <w:ind w:firstLine="480" w:firstLineChars="200"/>
        <w:jc w:val="left"/>
      </w:pPr>
      <w:r>
        <w:rPr>
          <w:color w:val="000000"/>
          <w:kern w:val="0"/>
          <w:sz w:val="24"/>
        </w:rPr>
        <w:t xml:space="preserve">1.5 </w:t>
      </w:r>
      <w:r>
        <w:rPr>
          <w:rFonts w:hint="eastAsia" w:ascii="黑体" w:hAnsi="宋体" w:eastAsia="黑体" w:cs="黑体"/>
          <w:color w:val="000000"/>
          <w:kern w:val="0"/>
          <w:sz w:val="24"/>
        </w:rPr>
        <w:t xml:space="preserve">联络 </w:t>
      </w:r>
    </w:p>
    <w:p>
      <w:pPr>
        <w:widowControl/>
        <w:spacing w:line="480" w:lineRule="exact"/>
        <w:ind w:firstLine="420" w:firstLineChars="200"/>
        <w:jc w:val="left"/>
      </w:pPr>
      <w:r>
        <w:rPr>
          <w:color w:val="000000"/>
          <w:kern w:val="0"/>
          <w:szCs w:val="21"/>
        </w:rPr>
        <w:t xml:space="preserve">1.5.1 </w:t>
      </w:r>
      <w:r>
        <w:rPr>
          <w:rFonts w:hint="eastAsia" w:ascii="宋体" w:hAnsi="宋体" w:cs="宋体"/>
          <w:color w:val="000000"/>
          <w:kern w:val="0"/>
          <w:szCs w:val="21"/>
        </w:rPr>
        <w:t xml:space="preserve">买卖双方应就合同履行中有关的事项及时进行联络，重要事项应通过书面形式进行联络或确认。合同履行过程中的任何联络及相关文件的签署，均应通过专用合同条款指定的联系人和联系方式进行。合同履行过程中，双方可以书面形式增加或变更指定联系人。 </w:t>
      </w:r>
    </w:p>
    <w:p>
      <w:pPr>
        <w:widowControl/>
        <w:spacing w:line="480" w:lineRule="exact"/>
        <w:ind w:firstLine="420" w:firstLineChars="200"/>
        <w:jc w:val="left"/>
      </w:pPr>
      <w:r>
        <w:rPr>
          <w:color w:val="000000"/>
          <w:kern w:val="0"/>
          <w:szCs w:val="21"/>
        </w:rPr>
        <w:t xml:space="preserve">1.5.2 </w:t>
      </w:r>
      <w:r>
        <w:rPr>
          <w:rFonts w:hint="eastAsia" w:ascii="宋体" w:hAnsi="宋体" w:cs="宋体"/>
          <w:color w:val="000000"/>
          <w:kern w:val="0"/>
          <w:szCs w:val="21"/>
        </w:rPr>
        <w:t xml:space="preserve">合同履行中或与合同有关的任何联络，送达到第 </w:t>
      </w:r>
      <w:r>
        <w:rPr>
          <w:color w:val="000000"/>
          <w:kern w:val="0"/>
          <w:szCs w:val="21"/>
        </w:rPr>
        <w:t xml:space="preserve">1.5.1 </w:t>
      </w:r>
      <w:r>
        <w:rPr>
          <w:rFonts w:hint="eastAsia" w:ascii="宋体" w:hAnsi="宋体" w:cs="宋体"/>
          <w:color w:val="000000"/>
          <w:kern w:val="0"/>
          <w:szCs w:val="21"/>
        </w:rPr>
        <w:t xml:space="preserve">项指定的联系人即视为送达。 </w:t>
      </w:r>
    </w:p>
    <w:p>
      <w:pPr>
        <w:widowControl/>
        <w:spacing w:line="480" w:lineRule="exact"/>
        <w:ind w:firstLine="420" w:firstLineChars="200"/>
        <w:jc w:val="left"/>
      </w:pPr>
      <w:r>
        <w:rPr>
          <w:color w:val="000000"/>
          <w:kern w:val="0"/>
          <w:szCs w:val="21"/>
        </w:rPr>
        <w:t xml:space="preserve">1.5.3 </w:t>
      </w:r>
      <w:r>
        <w:rPr>
          <w:rFonts w:hint="eastAsia" w:ascii="宋体" w:hAnsi="宋体" w:cs="宋体"/>
          <w:color w:val="000000"/>
          <w:kern w:val="0"/>
          <w:szCs w:val="21"/>
        </w:rPr>
        <w:t xml:space="preserve">买方可以安排监理等相关人员作为买方人员，与卖方进行联络或参加合同设备的监造（如有）、交货前检验（如有）、开箱检验、安装、调试、考核、验收等，但应按照第 </w:t>
      </w:r>
      <w:r>
        <w:rPr>
          <w:color w:val="000000"/>
          <w:kern w:val="0"/>
          <w:szCs w:val="21"/>
        </w:rPr>
        <w:t xml:space="preserve">1.5.1 </w:t>
      </w:r>
      <w:r>
        <w:rPr>
          <w:rFonts w:hint="eastAsia" w:ascii="宋体" w:hAnsi="宋体" w:cs="宋体"/>
          <w:color w:val="000000"/>
          <w:kern w:val="0"/>
          <w:szCs w:val="21"/>
        </w:rPr>
        <w:t xml:space="preserve">项的约定事先书面通知卖方。 </w:t>
      </w:r>
    </w:p>
    <w:p>
      <w:pPr>
        <w:widowControl/>
        <w:spacing w:line="480" w:lineRule="exact"/>
        <w:ind w:firstLine="480" w:firstLineChars="200"/>
        <w:jc w:val="left"/>
      </w:pPr>
      <w:r>
        <w:rPr>
          <w:color w:val="000000"/>
          <w:kern w:val="0"/>
          <w:sz w:val="24"/>
        </w:rPr>
        <w:t xml:space="preserve">1.6 </w:t>
      </w:r>
      <w:r>
        <w:rPr>
          <w:rFonts w:hint="eastAsia" w:ascii="黑体" w:hAnsi="宋体" w:eastAsia="黑体" w:cs="黑体"/>
          <w:color w:val="000000"/>
          <w:kern w:val="0"/>
          <w:sz w:val="24"/>
        </w:rPr>
        <w:t xml:space="preserve">联合体 </w:t>
      </w:r>
    </w:p>
    <w:p>
      <w:pPr>
        <w:widowControl/>
        <w:spacing w:line="480" w:lineRule="exact"/>
        <w:ind w:firstLine="420" w:firstLineChars="200"/>
        <w:jc w:val="left"/>
      </w:pPr>
      <w:r>
        <w:rPr>
          <w:color w:val="000000"/>
          <w:kern w:val="0"/>
          <w:szCs w:val="21"/>
        </w:rPr>
        <w:t xml:space="preserve">1.6.1 </w:t>
      </w:r>
      <w:r>
        <w:rPr>
          <w:rFonts w:hint="eastAsia" w:ascii="宋体" w:hAnsi="宋体" w:cs="宋体"/>
          <w:color w:val="000000"/>
          <w:kern w:val="0"/>
          <w:szCs w:val="21"/>
        </w:rPr>
        <w:t xml:space="preserve">卖方为联合体的，联合体各方应当共同与买方签订合同，并向买方为履行合同承担连带责任。 </w:t>
      </w:r>
    </w:p>
    <w:p>
      <w:pPr>
        <w:widowControl/>
        <w:spacing w:line="480" w:lineRule="exact"/>
        <w:ind w:firstLine="420" w:firstLineChars="200"/>
        <w:jc w:val="left"/>
      </w:pPr>
      <w:r>
        <w:rPr>
          <w:color w:val="000000"/>
          <w:kern w:val="0"/>
          <w:szCs w:val="21"/>
        </w:rPr>
        <w:t xml:space="preserve">1.6.2 </w:t>
      </w:r>
      <w:r>
        <w:rPr>
          <w:rFonts w:hint="eastAsia" w:ascii="宋体" w:hAnsi="宋体" w:cs="宋体"/>
          <w:color w:val="000000"/>
          <w:kern w:val="0"/>
          <w:szCs w:val="21"/>
        </w:rPr>
        <w:t xml:space="preserve">在合同履行过程中，未经买方同意，不得修改联合体协议。联合体协议中关于联合体成员间权利义务的划分，并不影响或减损联合体各方应就履行合同向买方承担的连带责任。 </w:t>
      </w:r>
    </w:p>
    <w:p>
      <w:pPr>
        <w:widowControl/>
        <w:spacing w:line="480" w:lineRule="exact"/>
        <w:ind w:firstLine="420" w:firstLineChars="200"/>
        <w:jc w:val="left"/>
      </w:pPr>
      <w:r>
        <w:rPr>
          <w:color w:val="000000"/>
          <w:kern w:val="0"/>
          <w:szCs w:val="21"/>
        </w:rPr>
        <w:t xml:space="preserve">1.6.3 </w:t>
      </w:r>
      <w:r>
        <w:rPr>
          <w:rFonts w:hint="eastAsia" w:ascii="宋体" w:hAnsi="宋体" w:cs="宋体"/>
          <w:color w:val="000000"/>
          <w:kern w:val="0"/>
          <w:szCs w:val="21"/>
        </w:rPr>
        <w:t>联合体牵头人代表联合体与买方联系，并接受指示，负责组织联合体各成员全面履行合同。除非专用合同条款另有约定，牵头人在履行合同中的所有行为均视为已获得联合体各方的授权。买方可将合同价款全部支付给牵头人并视为其已适当履行了付款义务。如牵头人的行为将构成对合同内容的变更，则牵头人须事先获得联合体各方的特别授权。</w:t>
      </w:r>
    </w:p>
    <w:p>
      <w:pPr>
        <w:widowControl/>
        <w:spacing w:line="480" w:lineRule="exact"/>
        <w:ind w:firstLine="480" w:firstLineChars="200"/>
        <w:jc w:val="left"/>
      </w:pPr>
      <w:r>
        <w:rPr>
          <w:color w:val="000000"/>
          <w:kern w:val="0"/>
          <w:sz w:val="24"/>
        </w:rPr>
        <w:t xml:space="preserve">1.7 </w:t>
      </w:r>
      <w:r>
        <w:rPr>
          <w:rFonts w:ascii="黑体" w:hAnsi="宋体" w:eastAsia="黑体" w:cs="黑体"/>
          <w:color w:val="000000"/>
          <w:kern w:val="0"/>
          <w:sz w:val="24"/>
        </w:rPr>
        <w:t xml:space="preserve">转让 </w:t>
      </w:r>
    </w:p>
    <w:p>
      <w:pPr>
        <w:widowControl/>
        <w:spacing w:line="480" w:lineRule="exact"/>
        <w:ind w:firstLine="420" w:firstLineChars="200"/>
        <w:jc w:val="left"/>
      </w:pPr>
      <w:r>
        <w:rPr>
          <w:rFonts w:hint="eastAsia" w:ascii="宋体" w:hAnsi="宋体" w:cs="宋体"/>
          <w:color w:val="000000"/>
          <w:kern w:val="0"/>
          <w:szCs w:val="21"/>
        </w:rPr>
        <w:t xml:space="preserve">未经对方当事人书面同意，合同任何一方均不得转让其在合同项下的权利和（或）义务。 </w:t>
      </w:r>
    </w:p>
    <w:p>
      <w:pPr>
        <w:widowControl/>
        <w:spacing w:line="480" w:lineRule="exact"/>
        <w:ind w:firstLine="622" w:firstLineChars="200"/>
        <w:jc w:val="left"/>
      </w:pPr>
      <w:r>
        <w:rPr>
          <w:b/>
          <w:bCs/>
          <w:color w:val="000000"/>
          <w:kern w:val="0"/>
          <w:sz w:val="31"/>
          <w:szCs w:val="31"/>
        </w:rPr>
        <w:t xml:space="preserve">2. </w:t>
      </w:r>
      <w:r>
        <w:rPr>
          <w:rFonts w:hint="eastAsia" w:ascii="宋体" w:hAnsi="宋体" w:cs="宋体"/>
          <w:b/>
          <w:bCs/>
          <w:color w:val="000000"/>
          <w:kern w:val="0"/>
          <w:sz w:val="31"/>
          <w:szCs w:val="31"/>
        </w:rPr>
        <w:t xml:space="preserve">合同范围 </w:t>
      </w:r>
    </w:p>
    <w:p>
      <w:pPr>
        <w:widowControl/>
        <w:spacing w:line="480" w:lineRule="exact"/>
        <w:ind w:firstLine="420" w:firstLineChars="200"/>
        <w:jc w:val="left"/>
      </w:pPr>
      <w:r>
        <w:rPr>
          <w:rFonts w:hint="eastAsia" w:ascii="宋体" w:hAnsi="宋体" w:cs="宋体"/>
          <w:color w:val="000000"/>
          <w:kern w:val="0"/>
          <w:szCs w:val="21"/>
        </w:rPr>
        <w:t xml:space="preserve">卖方应根据供货要求、中标设备技术性能指标的详细描述、技术服务和质保期服务计划等合同文件的约定向买方提供合同设备、技术服务和质保期服务。 </w:t>
      </w:r>
    </w:p>
    <w:p>
      <w:pPr>
        <w:widowControl/>
        <w:spacing w:line="480" w:lineRule="exact"/>
        <w:ind w:firstLine="622" w:firstLineChars="200"/>
        <w:jc w:val="left"/>
      </w:pPr>
      <w:r>
        <w:rPr>
          <w:b/>
          <w:bCs/>
          <w:color w:val="000000"/>
          <w:kern w:val="0"/>
          <w:sz w:val="31"/>
          <w:szCs w:val="31"/>
        </w:rPr>
        <w:t xml:space="preserve">3. </w:t>
      </w:r>
      <w:r>
        <w:rPr>
          <w:rFonts w:hint="eastAsia" w:ascii="宋体" w:hAnsi="宋体" w:cs="宋体"/>
          <w:b/>
          <w:bCs/>
          <w:color w:val="000000"/>
          <w:kern w:val="0"/>
          <w:sz w:val="31"/>
          <w:szCs w:val="31"/>
        </w:rPr>
        <w:t xml:space="preserve">合同价格与支付 </w:t>
      </w:r>
    </w:p>
    <w:p>
      <w:pPr>
        <w:widowControl/>
        <w:spacing w:line="480" w:lineRule="exact"/>
        <w:ind w:firstLine="480" w:firstLineChars="200"/>
        <w:jc w:val="left"/>
      </w:pPr>
      <w:r>
        <w:rPr>
          <w:color w:val="000000"/>
          <w:kern w:val="0"/>
          <w:sz w:val="24"/>
        </w:rPr>
        <w:t xml:space="preserve">3.1 </w:t>
      </w:r>
      <w:r>
        <w:rPr>
          <w:rFonts w:hint="eastAsia" w:ascii="黑体" w:hAnsi="宋体" w:eastAsia="黑体" w:cs="黑体"/>
          <w:color w:val="000000"/>
          <w:kern w:val="0"/>
          <w:sz w:val="24"/>
        </w:rPr>
        <w:t xml:space="preserve">合同价格 </w:t>
      </w:r>
    </w:p>
    <w:p>
      <w:pPr>
        <w:widowControl/>
        <w:spacing w:line="480" w:lineRule="exact"/>
        <w:ind w:firstLine="420" w:firstLineChars="200"/>
        <w:jc w:val="left"/>
      </w:pPr>
      <w:r>
        <w:rPr>
          <w:color w:val="000000"/>
          <w:kern w:val="0"/>
          <w:szCs w:val="21"/>
        </w:rPr>
        <w:t xml:space="preserve">3.1.1 </w:t>
      </w:r>
      <w:r>
        <w:rPr>
          <w:rFonts w:hint="eastAsia" w:ascii="宋体" w:hAnsi="宋体" w:cs="宋体"/>
          <w:color w:val="000000"/>
          <w:kern w:val="0"/>
          <w:szCs w:val="21"/>
        </w:rPr>
        <w:t xml:space="preserve">合同协议书中载明的签约合同价包括卖方为完成合同全部义务应承担的一切成本、费用和支出以及卖方的合理利润。 </w:t>
      </w:r>
    </w:p>
    <w:p>
      <w:pPr>
        <w:widowControl/>
        <w:spacing w:line="480" w:lineRule="exact"/>
        <w:ind w:firstLine="420" w:firstLineChars="200"/>
        <w:jc w:val="left"/>
      </w:pPr>
      <w:r>
        <w:rPr>
          <w:color w:val="000000"/>
          <w:kern w:val="0"/>
          <w:szCs w:val="21"/>
        </w:rPr>
        <w:t xml:space="preserve">3.1.2 </w:t>
      </w:r>
      <w:r>
        <w:rPr>
          <w:rFonts w:hint="eastAsia" w:ascii="宋体" w:hAnsi="宋体" w:cs="宋体"/>
          <w:color w:val="000000"/>
          <w:kern w:val="0"/>
          <w:szCs w:val="21"/>
        </w:rPr>
        <w:t xml:space="preserve">除专用合同条款另有约定外，签约合同价为固定价格。 </w:t>
      </w:r>
    </w:p>
    <w:p>
      <w:pPr>
        <w:widowControl/>
        <w:spacing w:line="480" w:lineRule="exact"/>
        <w:ind w:firstLine="480" w:firstLineChars="200"/>
        <w:jc w:val="left"/>
      </w:pPr>
      <w:r>
        <w:rPr>
          <w:color w:val="000000"/>
          <w:kern w:val="0"/>
          <w:sz w:val="24"/>
        </w:rPr>
        <w:t xml:space="preserve">3.2 </w:t>
      </w:r>
      <w:r>
        <w:rPr>
          <w:rFonts w:hint="eastAsia" w:ascii="黑体" w:hAnsi="宋体" w:eastAsia="黑体" w:cs="黑体"/>
          <w:color w:val="000000"/>
          <w:kern w:val="0"/>
          <w:sz w:val="24"/>
        </w:rPr>
        <w:t xml:space="preserve">合同价款的支付 </w:t>
      </w:r>
    </w:p>
    <w:p>
      <w:pPr>
        <w:widowControl/>
        <w:spacing w:line="480" w:lineRule="exact"/>
        <w:ind w:firstLine="420" w:firstLineChars="200"/>
        <w:jc w:val="left"/>
      </w:pPr>
      <w:r>
        <w:rPr>
          <w:rFonts w:hint="eastAsia" w:ascii="宋体" w:hAnsi="宋体" w:cs="宋体"/>
          <w:color w:val="000000"/>
          <w:kern w:val="0"/>
          <w:szCs w:val="21"/>
        </w:rPr>
        <w:t xml:space="preserve">除专用合同条款另有约定外，买方应通过以下方式和比例向卖方支付合同价款： </w:t>
      </w:r>
    </w:p>
    <w:p>
      <w:pPr>
        <w:widowControl/>
        <w:spacing w:line="480" w:lineRule="exact"/>
        <w:ind w:firstLine="420" w:firstLineChars="200"/>
        <w:jc w:val="left"/>
      </w:pPr>
      <w:r>
        <w:rPr>
          <w:color w:val="000000"/>
          <w:kern w:val="0"/>
          <w:szCs w:val="21"/>
        </w:rPr>
        <w:t xml:space="preserve">3.2.1 </w:t>
      </w:r>
      <w:r>
        <w:rPr>
          <w:rFonts w:hint="eastAsia" w:ascii="宋体" w:hAnsi="宋体" w:cs="宋体"/>
          <w:color w:val="000000"/>
          <w:kern w:val="0"/>
          <w:szCs w:val="21"/>
        </w:rPr>
        <w:t xml:space="preserve">预付款 </w:t>
      </w:r>
    </w:p>
    <w:p>
      <w:pPr>
        <w:widowControl/>
        <w:spacing w:line="480" w:lineRule="exact"/>
        <w:ind w:firstLine="420" w:firstLineChars="200"/>
        <w:jc w:val="left"/>
      </w:pPr>
      <w:r>
        <w:rPr>
          <w:rFonts w:hint="eastAsia" w:ascii="宋体" w:hAnsi="宋体" w:cs="宋体"/>
          <w:color w:val="000000"/>
          <w:kern w:val="0"/>
          <w:szCs w:val="21"/>
        </w:rPr>
        <w:t>合同生效后，买方在收到卖方开具的注明应付预付款金额的财务收据正本一份并经审核无误后</w:t>
      </w:r>
      <w:r>
        <w:rPr>
          <w:color w:val="000000"/>
          <w:kern w:val="0"/>
          <w:szCs w:val="21"/>
        </w:rPr>
        <w:t xml:space="preserve">28 </w:t>
      </w:r>
      <w:r>
        <w:rPr>
          <w:rFonts w:hint="eastAsia" w:ascii="宋体" w:hAnsi="宋体" w:cs="宋体"/>
          <w:color w:val="000000"/>
          <w:kern w:val="0"/>
          <w:szCs w:val="21"/>
        </w:rPr>
        <w:t xml:space="preserve">日内，向卖方支付签约合同价的 </w:t>
      </w:r>
      <w:r>
        <w:rPr>
          <w:color w:val="000000"/>
          <w:kern w:val="0"/>
          <w:szCs w:val="21"/>
        </w:rPr>
        <w:t>10%</w:t>
      </w:r>
      <w:r>
        <w:rPr>
          <w:rFonts w:hint="eastAsia" w:ascii="宋体" w:hAnsi="宋体" w:cs="宋体"/>
          <w:color w:val="000000"/>
          <w:kern w:val="0"/>
          <w:szCs w:val="21"/>
        </w:rPr>
        <w:t xml:space="preserve">作为预付款。买方支付预付款后，如卖方未履行合同义务，则买方有权收回预付款；如卖方依约履行了合同义务，则预付款抵作合同价款。 </w:t>
      </w:r>
    </w:p>
    <w:p>
      <w:pPr>
        <w:widowControl/>
        <w:spacing w:line="480" w:lineRule="exact"/>
        <w:ind w:firstLine="420" w:firstLineChars="200"/>
        <w:jc w:val="left"/>
      </w:pPr>
      <w:r>
        <w:rPr>
          <w:color w:val="000000"/>
          <w:kern w:val="0"/>
          <w:szCs w:val="21"/>
        </w:rPr>
        <w:t xml:space="preserve">3.2.2 </w:t>
      </w:r>
      <w:r>
        <w:rPr>
          <w:rFonts w:hint="eastAsia" w:ascii="宋体" w:hAnsi="宋体" w:cs="宋体"/>
          <w:color w:val="000000"/>
          <w:kern w:val="0"/>
          <w:szCs w:val="21"/>
        </w:rPr>
        <w:t xml:space="preserve">交货款 </w:t>
      </w:r>
    </w:p>
    <w:p>
      <w:pPr>
        <w:widowControl/>
        <w:spacing w:line="480" w:lineRule="exact"/>
        <w:ind w:firstLine="420" w:firstLineChars="200"/>
        <w:jc w:val="left"/>
      </w:pPr>
      <w:r>
        <w:rPr>
          <w:rFonts w:hint="eastAsia" w:ascii="宋体" w:hAnsi="宋体" w:cs="宋体"/>
          <w:color w:val="000000"/>
          <w:kern w:val="0"/>
          <w:szCs w:val="21"/>
        </w:rPr>
        <w:t>卖方按合同约定交付</w:t>
      </w:r>
      <w:r>
        <w:rPr>
          <w:rFonts w:hint="eastAsia"/>
        </w:rPr>
        <w:t>批次</w:t>
      </w:r>
      <w:r>
        <w:rPr>
          <w:rFonts w:hint="eastAsia" w:ascii="宋体" w:hAnsi="宋体" w:cs="宋体"/>
          <w:color w:val="000000"/>
          <w:kern w:val="0"/>
          <w:szCs w:val="21"/>
        </w:rPr>
        <w:t>合同设备后，买方在收到卖方提交的下列该批次货物单据并经审核无误后</w:t>
      </w:r>
      <w:r>
        <w:rPr>
          <w:color w:val="000000"/>
          <w:kern w:val="0"/>
          <w:szCs w:val="21"/>
        </w:rPr>
        <w:t xml:space="preserve">28 </w:t>
      </w:r>
      <w:r>
        <w:rPr>
          <w:rFonts w:hint="eastAsia" w:ascii="宋体" w:hAnsi="宋体" w:cs="宋体"/>
          <w:color w:val="000000"/>
          <w:kern w:val="0"/>
          <w:szCs w:val="21"/>
        </w:rPr>
        <w:t xml:space="preserve">日内，向卖方支付该批次合同价格的 </w:t>
      </w:r>
      <w:r>
        <w:rPr>
          <w:color w:val="000000"/>
          <w:kern w:val="0"/>
          <w:szCs w:val="21"/>
        </w:rPr>
        <w:t>60%</w:t>
      </w:r>
      <w:r>
        <w:rPr>
          <w:rFonts w:hint="eastAsia" w:ascii="宋体" w:hAnsi="宋体" w:cs="宋体"/>
          <w:color w:val="000000"/>
          <w:kern w:val="0"/>
          <w:szCs w:val="21"/>
        </w:rPr>
        <w:t xml:space="preserve">：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1</w:t>
      </w:r>
      <w:r>
        <w:rPr>
          <w:rFonts w:hint="eastAsia" w:ascii="宋体" w:hAnsi="宋体" w:cs="宋体"/>
          <w:color w:val="000000"/>
          <w:kern w:val="0"/>
          <w:szCs w:val="21"/>
        </w:rPr>
        <w:t xml:space="preserve">）卖方出具的交货清单正本一份；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2</w:t>
      </w:r>
      <w:r>
        <w:rPr>
          <w:rFonts w:hint="eastAsia" w:ascii="宋体" w:hAnsi="宋体" w:cs="宋体"/>
          <w:color w:val="000000"/>
          <w:kern w:val="0"/>
          <w:szCs w:val="21"/>
        </w:rPr>
        <w:t xml:space="preserve">）买方签署的收货清单正本一份；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3</w:t>
      </w:r>
      <w:r>
        <w:rPr>
          <w:rFonts w:hint="eastAsia" w:ascii="宋体" w:hAnsi="宋体" w:cs="宋体"/>
          <w:color w:val="000000"/>
          <w:kern w:val="0"/>
          <w:szCs w:val="21"/>
        </w:rPr>
        <w:t xml:space="preserve">）制造商出具的出厂质量合格证正本一份；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4</w:t>
      </w:r>
      <w:r>
        <w:rPr>
          <w:rFonts w:hint="eastAsia" w:ascii="宋体" w:hAnsi="宋体" w:cs="宋体"/>
          <w:color w:val="000000"/>
          <w:kern w:val="0"/>
          <w:szCs w:val="21"/>
        </w:rPr>
        <w:t>）</w:t>
      </w:r>
      <w:r>
        <w:rPr>
          <w:rFonts w:hint="eastAsia"/>
        </w:rPr>
        <w:t>该批次</w:t>
      </w:r>
      <w:r>
        <w:rPr>
          <w:rFonts w:hint="eastAsia" w:ascii="宋体" w:hAnsi="宋体" w:cs="宋体"/>
          <w:color w:val="000000"/>
          <w:kern w:val="0"/>
          <w:szCs w:val="21"/>
        </w:rPr>
        <w:t>价格</w:t>
      </w:r>
      <w:r>
        <w:rPr>
          <w:color w:val="000000"/>
          <w:kern w:val="0"/>
          <w:szCs w:val="21"/>
        </w:rPr>
        <w:t>100%</w:t>
      </w:r>
      <w:r>
        <w:rPr>
          <w:rFonts w:hint="eastAsia" w:ascii="宋体" w:hAnsi="宋体" w:cs="宋体"/>
          <w:color w:val="000000"/>
          <w:kern w:val="0"/>
          <w:szCs w:val="21"/>
        </w:rPr>
        <w:t xml:space="preserve">金额的增值税发票正本一份。 </w:t>
      </w:r>
    </w:p>
    <w:p>
      <w:pPr>
        <w:widowControl/>
        <w:spacing w:line="480" w:lineRule="exact"/>
        <w:ind w:firstLine="420" w:firstLineChars="200"/>
        <w:jc w:val="left"/>
      </w:pPr>
      <w:r>
        <w:rPr>
          <w:color w:val="000000"/>
          <w:kern w:val="0"/>
          <w:szCs w:val="21"/>
        </w:rPr>
        <w:t xml:space="preserve">3.2.3 </w:t>
      </w:r>
      <w:r>
        <w:rPr>
          <w:rFonts w:hint="eastAsia" w:ascii="宋体" w:hAnsi="宋体" w:cs="宋体"/>
          <w:color w:val="000000"/>
          <w:kern w:val="0"/>
          <w:szCs w:val="21"/>
        </w:rPr>
        <w:t xml:space="preserve">验收款 </w:t>
      </w:r>
    </w:p>
    <w:p>
      <w:pPr>
        <w:widowControl/>
        <w:spacing w:line="48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买方在收到卖方提交的买卖双方签署的合同</w:t>
      </w:r>
      <w:r>
        <w:rPr>
          <w:rFonts w:hint="eastAsia"/>
        </w:rPr>
        <w:t>该批次</w:t>
      </w:r>
      <w:r>
        <w:rPr>
          <w:rFonts w:hint="eastAsia" w:ascii="宋体" w:hAnsi="宋体" w:cs="宋体"/>
          <w:color w:val="000000"/>
          <w:kern w:val="0"/>
          <w:szCs w:val="21"/>
        </w:rPr>
        <w:t xml:space="preserve">设备验收证书或已生效的验收款支付函正本一份并经审核无误后 </w:t>
      </w:r>
      <w:r>
        <w:rPr>
          <w:color w:val="000000"/>
          <w:kern w:val="0"/>
          <w:szCs w:val="21"/>
        </w:rPr>
        <w:t xml:space="preserve">28 </w:t>
      </w:r>
      <w:r>
        <w:rPr>
          <w:rFonts w:hint="eastAsia" w:ascii="宋体" w:hAnsi="宋体" w:cs="宋体"/>
          <w:color w:val="000000"/>
          <w:kern w:val="0"/>
          <w:szCs w:val="21"/>
        </w:rPr>
        <w:t xml:space="preserve">日内，向卖方支付全部合同价的 </w:t>
      </w:r>
      <w:r>
        <w:rPr>
          <w:color w:val="000000"/>
          <w:kern w:val="0"/>
          <w:szCs w:val="21"/>
        </w:rPr>
        <w:t>25%</w:t>
      </w:r>
      <w:r>
        <w:rPr>
          <w:rFonts w:hint="eastAsia" w:ascii="宋体" w:hAnsi="宋体" w:cs="宋体"/>
          <w:color w:val="000000"/>
          <w:kern w:val="0"/>
          <w:szCs w:val="21"/>
        </w:rPr>
        <w:t xml:space="preserve">。 </w:t>
      </w:r>
    </w:p>
    <w:p>
      <w:pPr>
        <w:widowControl/>
        <w:spacing w:line="480" w:lineRule="exact"/>
        <w:ind w:firstLine="420" w:firstLineChars="200"/>
        <w:jc w:val="left"/>
      </w:pPr>
      <w:r>
        <w:rPr>
          <w:rFonts w:hint="eastAsia" w:ascii="宋体" w:hAnsi="宋体" w:cs="宋体"/>
          <w:color w:val="000000"/>
          <w:kern w:val="0"/>
          <w:szCs w:val="21"/>
        </w:rPr>
        <w:t>甲方结算审计且总承包工程备案完成，乙方根据结算金额开具100%全额发票后付至结算价的 95%。</w:t>
      </w:r>
    </w:p>
    <w:p>
      <w:pPr>
        <w:widowControl/>
        <w:spacing w:line="480" w:lineRule="exact"/>
        <w:ind w:firstLine="420" w:firstLineChars="200"/>
        <w:jc w:val="left"/>
      </w:pPr>
      <w:r>
        <w:rPr>
          <w:color w:val="000000"/>
          <w:kern w:val="0"/>
          <w:szCs w:val="21"/>
        </w:rPr>
        <w:t xml:space="preserve">3.2.4 </w:t>
      </w:r>
      <w:r>
        <w:rPr>
          <w:rFonts w:hint="eastAsia" w:ascii="宋体" w:hAnsi="宋体" w:cs="宋体"/>
          <w:color w:val="000000"/>
          <w:kern w:val="0"/>
          <w:szCs w:val="21"/>
        </w:rPr>
        <w:t xml:space="preserve">结清款 </w:t>
      </w:r>
    </w:p>
    <w:p>
      <w:pPr>
        <w:widowControl/>
        <w:spacing w:line="480" w:lineRule="exact"/>
        <w:ind w:firstLine="420" w:firstLineChars="200"/>
        <w:jc w:val="left"/>
      </w:pPr>
      <w:r>
        <w:rPr>
          <w:rFonts w:hint="eastAsia" w:ascii="宋体" w:hAnsi="宋体" w:cs="宋体"/>
          <w:color w:val="000000"/>
          <w:kern w:val="0"/>
          <w:szCs w:val="21"/>
        </w:rPr>
        <w:t xml:space="preserve">买方在收到卖方提交的买方签署的质量保证期届满证书或已生效的结清款支付函正本一份并经审核无误后 </w:t>
      </w:r>
      <w:r>
        <w:rPr>
          <w:color w:val="000000"/>
          <w:kern w:val="0"/>
          <w:szCs w:val="21"/>
        </w:rPr>
        <w:t xml:space="preserve">28 </w:t>
      </w:r>
      <w:r>
        <w:rPr>
          <w:rFonts w:hint="eastAsia" w:ascii="宋体" w:hAnsi="宋体" w:cs="宋体"/>
          <w:color w:val="000000"/>
          <w:kern w:val="0"/>
          <w:szCs w:val="21"/>
        </w:rPr>
        <w:t xml:space="preserve">日内，向卖方支付合同结算价的 </w:t>
      </w:r>
      <w:r>
        <w:rPr>
          <w:color w:val="000000"/>
          <w:kern w:val="0"/>
          <w:szCs w:val="21"/>
        </w:rPr>
        <w:t>5%</w:t>
      </w:r>
      <w:r>
        <w:rPr>
          <w:rFonts w:hint="eastAsia" w:ascii="宋体" w:hAnsi="宋体" w:cs="宋体"/>
          <w:color w:val="000000"/>
          <w:kern w:val="0"/>
          <w:szCs w:val="21"/>
        </w:rPr>
        <w:t xml:space="preserve">。如果依照合同第 </w:t>
      </w:r>
      <w:r>
        <w:rPr>
          <w:color w:val="000000"/>
          <w:kern w:val="0"/>
          <w:szCs w:val="21"/>
        </w:rPr>
        <w:t xml:space="preserve">9.1 </w:t>
      </w:r>
      <w:r>
        <w:rPr>
          <w:rFonts w:hint="eastAsia" w:ascii="宋体" w:hAnsi="宋体" w:cs="宋体"/>
          <w:color w:val="000000"/>
          <w:kern w:val="0"/>
          <w:szCs w:val="21"/>
        </w:rPr>
        <w:t xml:space="preserve">项，卖方应向买方支付费用的，买方有权从结清款中直接扣除该笔费用。除专用合同条款另有约定外，在买方向卖方支付验收款的同时或其后的任何时间内，卖方可在向买方提交买方可接受的金额为合同结算价 </w:t>
      </w:r>
      <w:r>
        <w:rPr>
          <w:color w:val="000000"/>
          <w:kern w:val="0"/>
          <w:szCs w:val="21"/>
        </w:rPr>
        <w:t>5%</w:t>
      </w:r>
      <w:r>
        <w:rPr>
          <w:rFonts w:hint="eastAsia" w:ascii="宋体" w:hAnsi="宋体" w:cs="宋体"/>
          <w:color w:val="000000"/>
          <w:kern w:val="0"/>
          <w:szCs w:val="21"/>
        </w:rPr>
        <w:t xml:space="preserve">的合同结清款保函的前提下，要求买方支付合同结清款，买方不得拒绝。 </w:t>
      </w:r>
    </w:p>
    <w:p>
      <w:pPr>
        <w:widowControl/>
        <w:spacing w:line="480" w:lineRule="exact"/>
        <w:ind w:firstLine="480" w:firstLineChars="200"/>
        <w:jc w:val="left"/>
      </w:pPr>
      <w:r>
        <w:rPr>
          <w:color w:val="000000"/>
          <w:kern w:val="0"/>
          <w:sz w:val="24"/>
        </w:rPr>
        <w:t xml:space="preserve">3.3 </w:t>
      </w:r>
      <w:r>
        <w:rPr>
          <w:rFonts w:ascii="黑体" w:hAnsi="宋体" w:eastAsia="黑体" w:cs="黑体"/>
          <w:color w:val="000000"/>
          <w:kern w:val="0"/>
          <w:sz w:val="24"/>
        </w:rPr>
        <w:t xml:space="preserve">买方扣款的权利 </w:t>
      </w:r>
    </w:p>
    <w:p>
      <w:pPr>
        <w:widowControl/>
        <w:spacing w:line="480" w:lineRule="exact"/>
        <w:ind w:firstLine="420" w:firstLineChars="200"/>
        <w:jc w:val="left"/>
      </w:pPr>
      <w:r>
        <w:rPr>
          <w:rFonts w:hint="eastAsia" w:ascii="宋体" w:hAnsi="宋体" w:cs="宋体"/>
          <w:color w:val="000000"/>
          <w:kern w:val="0"/>
          <w:szCs w:val="21"/>
        </w:rPr>
        <w:t xml:space="preserve">当卖方应向买方支付合同项下的违约金或赔偿金时，买方有权从上述任何一笔应付款中予以直接扣除和（或）兑付履约保证金。 </w:t>
      </w:r>
    </w:p>
    <w:p>
      <w:pPr>
        <w:widowControl/>
        <w:spacing w:line="480" w:lineRule="exact"/>
        <w:ind w:firstLine="622" w:firstLineChars="200"/>
        <w:jc w:val="left"/>
      </w:pPr>
      <w:r>
        <w:rPr>
          <w:b/>
          <w:bCs/>
          <w:color w:val="000000"/>
          <w:kern w:val="0"/>
          <w:sz w:val="31"/>
          <w:szCs w:val="31"/>
        </w:rPr>
        <w:t xml:space="preserve">4. </w:t>
      </w:r>
      <w:r>
        <w:rPr>
          <w:rFonts w:hint="eastAsia" w:ascii="宋体" w:hAnsi="宋体" w:cs="宋体"/>
          <w:b/>
          <w:bCs/>
          <w:color w:val="000000"/>
          <w:kern w:val="0"/>
          <w:sz w:val="31"/>
          <w:szCs w:val="31"/>
        </w:rPr>
        <w:t xml:space="preserve">监造及交货前检验 </w:t>
      </w:r>
    </w:p>
    <w:p>
      <w:pPr>
        <w:widowControl/>
        <w:spacing w:line="480" w:lineRule="exact"/>
        <w:ind w:firstLine="480" w:firstLineChars="200"/>
        <w:jc w:val="left"/>
      </w:pPr>
      <w:r>
        <w:rPr>
          <w:color w:val="000000"/>
          <w:kern w:val="0"/>
          <w:sz w:val="24"/>
        </w:rPr>
        <w:t xml:space="preserve">4.1 </w:t>
      </w:r>
      <w:r>
        <w:rPr>
          <w:rFonts w:hint="eastAsia" w:ascii="黑体" w:hAnsi="宋体" w:eastAsia="黑体" w:cs="黑体"/>
          <w:color w:val="000000"/>
          <w:kern w:val="0"/>
          <w:sz w:val="24"/>
        </w:rPr>
        <w:t xml:space="preserve">监造 </w:t>
      </w:r>
    </w:p>
    <w:p>
      <w:pPr>
        <w:widowControl/>
        <w:spacing w:line="480" w:lineRule="exact"/>
        <w:ind w:firstLine="420" w:firstLineChars="200"/>
        <w:jc w:val="left"/>
      </w:pPr>
      <w:r>
        <w:rPr>
          <w:rFonts w:hint="eastAsia" w:ascii="宋体" w:hAnsi="宋体" w:cs="宋体"/>
          <w:color w:val="000000"/>
          <w:kern w:val="0"/>
          <w:szCs w:val="21"/>
        </w:rPr>
        <w:t xml:space="preserve">专用合同条款约定买方对合同设备进行监造的，双方应按本款及专用合同条款约定履行。 </w:t>
      </w:r>
    </w:p>
    <w:p>
      <w:pPr>
        <w:widowControl/>
        <w:spacing w:line="480" w:lineRule="exact"/>
        <w:ind w:firstLine="420" w:firstLineChars="200"/>
        <w:jc w:val="left"/>
      </w:pPr>
      <w:r>
        <w:rPr>
          <w:color w:val="000000"/>
          <w:kern w:val="0"/>
          <w:szCs w:val="21"/>
        </w:rPr>
        <w:t xml:space="preserve">4.1.1 </w:t>
      </w:r>
      <w:r>
        <w:rPr>
          <w:rFonts w:hint="eastAsia" w:ascii="宋体" w:hAnsi="宋体" w:cs="宋体"/>
          <w:color w:val="000000"/>
          <w:kern w:val="0"/>
          <w:szCs w:val="21"/>
        </w:rPr>
        <w:t xml:space="preserve">在合同设备的制造过程中，买方可派出监造人员，对合同设备的生产制造进行监造，监督合同设备制造、检验等情况。监造的范围、方式等应符合专用合同条款和（或）供货要求等合同文件的约定。 </w:t>
      </w:r>
    </w:p>
    <w:p>
      <w:pPr>
        <w:widowControl/>
        <w:spacing w:line="480" w:lineRule="exact"/>
        <w:ind w:firstLine="420" w:firstLineChars="200"/>
        <w:jc w:val="left"/>
      </w:pPr>
      <w:r>
        <w:rPr>
          <w:color w:val="000000"/>
          <w:kern w:val="0"/>
          <w:szCs w:val="21"/>
        </w:rPr>
        <w:t xml:space="preserve">4.1.2 </w:t>
      </w:r>
      <w:r>
        <w:rPr>
          <w:rFonts w:hint="eastAsia" w:ascii="宋体" w:hAnsi="宋体" w:cs="宋体"/>
          <w:color w:val="000000"/>
          <w:kern w:val="0"/>
          <w:szCs w:val="21"/>
        </w:rPr>
        <w:t xml:space="preserve">除专用合同条款和（或）供货要求等合同文件另有约定外，买方监造人员可到合同设备及其关键部件的生产制造现场进行监造，卖方应予配合。卖方应免费为买方监造人员提供工作条件及便利，包括但不限于必要的办公场所、技术资料、检测工具及出入许可等。除专用合同条款另有约定外，买方监造人员的交通、食宿费用由买方承担。 </w:t>
      </w:r>
    </w:p>
    <w:p>
      <w:pPr>
        <w:widowControl/>
        <w:spacing w:line="480" w:lineRule="exact"/>
        <w:ind w:firstLine="420" w:firstLineChars="200"/>
        <w:jc w:val="left"/>
      </w:pPr>
      <w:r>
        <w:rPr>
          <w:color w:val="000000"/>
          <w:kern w:val="0"/>
          <w:szCs w:val="21"/>
        </w:rPr>
        <w:t xml:space="preserve">4.1.3 </w:t>
      </w:r>
      <w:r>
        <w:rPr>
          <w:rFonts w:hint="eastAsia" w:ascii="宋体" w:hAnsi="宋体" w:cs="宋体"/>
          <w:color w:val="000000"/>
          <w:kern w:val="0"/>
          <w:szCs w:val="21"/>
        </w:rPr>
        <w:t xml:space="preserve">卖方制订生产制造合同设备的进度计划时，应将买方监造纳入计划安排，并提前通知买方；买方进行监造不应影响合同设备的正常生产。除专用合同条款和（或）供货要求等合同文件另有约定外，卖方应提前 </w:t>
      </w:r>
      <w:r>
        <w:rPr>
          <w:color w:val="000000"/>
          <w:kern w:val="0"/>
          <w:szCs w:val="21"/>
        </w:rPr>
        <w:t xml:space="preserve">7 </w:t>
      </w:r>
      <w:r>
        <w:rPr>
          <w:rFonts w:hint="eastAsia" w:ascii="宋体" w:hAnsi="宋体" w:cs="宋体"/>
          <w:color w:val="000000"/>
          <w:kern w:val="0"/>
          <w:szCs w:val="21"/>
        </w:rPr>
        <w:t xml:space="preserve">日将需要买方监造人员现场监造事项通知买方；如买方监造人员未按通知出席，不影响合同设备及其关键部件的制造或检验，但买方监造人员有权事后了解、查阅、复制相关制造或检验记录。 </w:t>
      </w:r>
    </w:p>
    <w:p>
      <w:pPr>
        <w:widowControl/>
        <w:spacing w:line="480" w:lineRule="exact"/>
        <w:ind w:firstLine="420" w:firstLineChars="200"/>
        <w:jc w:val="left"/>
      </w:pPr>
      <w:r>
        <w:rPr>
          <w:color w:val="000000"/>
          <w:kern w:val="0"/>
          <w:szCs w:val="21"/>
        </w:rPr>
        <w:t xml:space="preserve">4.1.4 </w:t>
      </w:r>
      <w:r>
        <w:rPr>
          <w:rFonts w:hint="eastAsia" w:ascii="宋体" w:hAnsi="宋体" w:cs="宋体"/>
          <w:color w:val="000000"/>
          <w:kern w:val="0"/>
          <w:szCs w:val="21"/>
        </w:rPr>
        <w:t xml:space="preserve">买方监造人员在监造中如发现合同设备及其关键部件不符合合同约定的标准，则有权提出意见和建议。卖方应采取必要措施消除合同设备的不符，由此增加的费用和（或）造成的延误由卖方负责。 </w:t>
      </w:r>
    </w:p>
    <w:p>
      <w:pPr>
        <w:widowControl/>
        <w:spacing w:line="480" w:lineRule="exact"/>
        <w:ind w:firstLine="420" w:firstLineChars="200"/>
        <w:jc w:val="left"/>
      </w:pPr>
      <w:r>
        <w:rPr>
          <w:color w:val="000000"/>
          <w:kern w:val="0"/>
          <w:szCs w:val="21"/>
        </w:rPr>
        <w:t xml:space="preserve">4.1.5 </w:t>
      </w:r>
      <w:r>
        <w:rPr>
          <w:rFonts w:hint="eastAsia" w:ascii="宋体" w:hAnsi="宋体" w:cs="宋体"/>
          <w:color w:val="000000"/>
          <w:kern w:val="0"/>
          <w:szCs w:val="21"/>
        </w:rPr>
        <w:t xml:space="preserve">买方监造人员对合同设备的监造，不视为对合同设备质量的确认，不影响卖方交货后买方依照合同约定对合同设备提出质量异议和（或）退货的权利，也不免除卖方依照合同约定对合同设备所应承担的任何义务或责任。 </w:t>
      </w:r>
    </w:p>
    <w:p>
      <w:pPr>
        <w:widowControl/>
        <w:spacing w:line="480" w:lineRule="exact"/>
        <w:ind w:firstLine="480" w:firstLineChars="200"/>
        <w:jc w:val="left"/>
      </w:pPr>
      <w:r>
        <w:rPr>
          <w:color w:val="000000"/>
          <w:kern w:val="0"/>
          <w:sz w:val="24"/>
        </w:rPr>
        <w:t xml:space="preserve">4.2 </w:t>
      </w:r>
      <w:r>
        <w:rPr>
          <w:rFonts w:hint="eastAsia" w:ascii="黑体" w:hAnsi="宋体" w:eastAsia="黑体" w:cs="黑体"/>
          <w:color w:val="000000"/>
          <w:kern w:val="0"/>
          <w:sz w:val="24"/>
        </w:rPr>
        <w:t xml:space="preserve">交货前检验 </w:t>
      </w:r>
    </w:p>
    <w:p>
      <w:pPr>
        <w:widowControl/>
        <w:spacing w:line="480" w:lineRule="exact"/>
        <w:ind w:firstLine="420" w:firstLineChars="200"/>
        <w:jc w:val="left"/>
      </w:pPr>
      <w:r>
        <w:rPr>
          <w:rFonts w:hint="eastAsia" w:ascii="宋体" w:hAnsi="宋体" w:cs="宋体"/>
          <w:color w:val="000000"/>
          <w:kern w:val="0"/>
          <w:szCs w:val="21"/>
        </w:rPr>
        <w:t>专用合同条款约定买方参与交货前检验的，双方应按本款及专用合同条款约定履行。</w:t>
      </w:r>
    </w:p>
    <w:p>
      <w:pPr>
        <w:widowControl/>
        <w:spacing w:line="480" w:lineRule="exact"/>
        <w:ind w:firstLine="420" w:firstLineChars="200"/>
        <w:jc w:val="left"/>
      </w:pPr>
      <w:r>
        <w:rPr>
          <w:color w:val="000000"/>
          <w:kern w:val="0"/>
          <w:szCs w:val="21"/>
        </w:rPr>
        <w:t xml:space="preserve">4.2.1 </w:t>
      </w:r>
      <w:r>
        <w:rPr>
          <w:rFonts w:hint="eastAsia" w:ascii="宋体" w:hAnsi="宋体" w:cs="宋体"/>
          <w:color w:val="000000"/>
          <w:kern w:val="0"/>
          <w:szCs w:val="21"/>
        </w:rPr>
        <w:t xml:space="preserve">合同设备交货前，卖方应会同买方代表根据合同约定对合同设备进行交货前检验并出具交货前检验记录，有关费用由卖方承担。卖方应免费为买方代表提供工作条件及便利，包括但不限于必要的办公场所、技术资料、检测工具及出入许可等。除专用合同条款另有约定外，买方代表的交通、食宿费用由买方承担。 </w:t>
      </w:r>
    </w:p>
    <w:p>
      <w:pPr>
        <w:widowControl/>
        <w:spacing w:line="480" w:lineRule="exact"/>
        <w:ind w:firstLine="420" w:firstLineChars="200"/>
        <w:jc w:val="left"/>
      </w:pPr>
      <w:r>
        <w:rPr>
          <w:color w:val="000000"/>
          <w:kern w:val="0"/>
          <w:szCs w:val="21"/>
        </w:rPr>
        <w:t xml:space="preserve">4.2.2 </w:t>
      </w:r>
      <w:r>
        <w:rPr>
          <w:rFonts w:hint="eastAsia" w:ascii="宋体" w:hAnsi="宋体" w:cs="宋体"/>
          <w:color w:val="000000"/>
          <w:kern w:val="0"/>
          <w:szCs w:val="21"/>
        </w:rPr>
        <w:t xml:space="preserve">除专用合同条款和（或）供货要求等合同文件另有约定外，卖方应提前 </w:t>
      </w:r>
      <w:r>
        <w:rPr>
          <w:color w:val="000000"/>
          <w:kern w:val="0"/>
          <w:szCs w:val="21"/>
        </w:rPr>
        <w:t xml:space="preserve">7 </w:t>
      </w:r>
      <w:r>
        <w:rPr>
          <w:rFonts w:hint="eastAsia" w:ascii="宋体" w:hAnsi="宋体" w:cs="宋体"/>
          <w:color w:val="000000"/>
          <w:kern w:val="0"/>
          <w:szCs w:val="21"/>
        </w:rPr>
        <w:t xml:space="preserve">日将需要买方代表检验事项通知买方；如买方代表未按通知出席，不影响合同设备的检验。若卖方未依照合同约定提前通知买方而自行检验，则买方有权要求卖方暂停发货并重新进行检验，由此增加的费用和（或）造成的延误由卖方负责。 </w:t>
      </w:r>
    </w:p>
    <w:p>
      <w:pPr>
        <w:widowControl/>
        <w:spacing w:line="480" w:lineRule="exact"/>
        <w:ind w:firstLine="420" w:firstLineChars="200"/>
        <w:jc w:val="left"/>
      </w:pPr>
      <w:r>
        <w:rPr>
          <w:color w:val="000000"/>
          <w:kern w:val="0"/>
          <w:szCs w:val="21"/>
        </w:rPr>
        <w:t xml:space="preserve">4.2.3 </w:t>
      </w:r>
      <w:r>
        <w:rPr>
          <w:rFonts w:hint="eastAsia" w:ascii="宋体" w:hAnsi="宋体" w:cs="宋体"/>
          <w:color w:val="000000"/>
          <w:kern w:val="0"/>
          <w:szCs w:val="21"/>
        </w:rPr>
        <w:t xml:space="preserve">买方代表在检验中如发现合同设备不符合合同约定的标准，则有权提出异议。卖方应采取必要措施消除合同设备的不符，由此增加的费用和（或）造成的延误由卖方负责。 </w:t>
      </w:r>
    </w:p>
    <w:p>
      <w:pPr>
        <w:widowControl/>
        <w:spacing w:line="480" w:lineRule="exact"/>
        <w:ind w:firstLine="420" w:firstLineChars="200"/>
        <w:jc w:val="left"/>
      </w:pPr>
      <w:r>
        <w:rPr>
          <w:color w:val="000000"/>
          <w:kern w:val="0"/>
          <w:szCs w:val="21"/>
        </w:rPr>
        <w:t xml:space="preserve">4.2.4 </w:t>
      </w:r>
      <w:r>
        <w:rPr>
          <w:rFonts w:hint="eastAsia" w:ascii="宋体" w:hAnsi="宋体" w:cs="宋体"/>
          <w:color w:val="000000"/>
          <w:kern w:val="0"/>
          <w:szCs w:val="21"/>
        </w:rPr>
        <w:t xml:space="preserve">买方代表参与交货前检验及签署交货前检验记录的行为，不视为对合同设备质量的确认，不影响卖方交货后买方依照合同约定对合同设备提出质量异议和（或）退货的权利，也不免除卖方依照合同约定对合同设备所应承担的任何义务或责任。 </w:t>
      </w:r>
    </w:p>
    <w:p>
      <w:pPr>
        <w:widowControl/>
        <w:spacing w:line="480" w:lineRule="exact"/>
        <w:ind w:firstLine="622" w:firstLineChars="200"/>
        <w:jc w:val="left"/>
      </w:pPr>
      <w:r>
        <w:rPr>
          <w:b/>
          <w:bCs/>
          <w:color w:val="000000"/>
          <w:kern w:val="0"/>
          <w:sz w:val="31"/>
          <w:szCs w:val="31"/>
        </w:rPr>
        <w:t xml:space="preserve">5. </w:t>
      </w:r>
      <w:r>
        <w:rPr>
          <w:rFonts w:hint="eastAsia" w:ascii="宋体" w:hAnsi="宋体" w:cs="宋体"/>
          <w:b/>
          <w:bCs/>
          <w:color w:val="000000"/>
          <w:kern w:val="0"/>
          <w:sz w:val="31"/>
          <w:szCs w:val="31"/>
        </w:rPr>
        <w:t xml:space="preserve">包装、标记、运输和交付 </w:t>
      </w:r>
    </w:p>
    <w:p>
      <w:pPr>
        <w:widowControl/>
        <w:spacing w:line="480" w:lineRule="exact"/>
        <w:ind w:firstLine="480" w:firstLineChars="200"/>
        <w:jc w:val="left"/>
      </w:pPr>
      <w:r>
        <w:rPr>
          <w:color w:val="000000"/>
          <w:kern w:val="0"/>
          <w:sz w:val="24"/>
        </w:rPr>
        <w:t xml:space="preserve">5.1 </w:t>
      </w:r>
      <w:r>
        <w:rPr>
          <w:rFonts w:ascii="黑体" w:hAnsi="宋体" w:eastAsia="黑体" w:cs="黑体"/>
          <w:color w:val="000000"/>
          <w:kern w:val="0"/>
          <w:sz w:val="24"/>
        </w:rPr>
        <w:t xml:space="preserve">包装 </w:t>
      </w:r>
    </w:p>
    <w:p>
      <w:pPr>
        <w:widowControl/>
        <w:spacing w:line="480" w:lineRule="exact"/>
        <w:ind w:firstLine="420" w:firstLineChars="200"/>
        <w:jc w:val="left"/>
      </w:pPr>
      <w:r>
        <w:rPr>
          <w:color w:val="000000"/>
          <w:kern w:val="0"/>
          <w:szCs w:val="21"/>
        </w:rPr>
        <w:t xml:space="preserve">5.1.1 </w:t>
      </w:r>
      <w:r>
        <w:rPr>
          <w:rFonts w:hint="eastAsia" w:ascii="宋体" w:hAnsi="宋体" w:cs="宋体"/>
          <w:color w:val="000000"/>
          <w:kern w:val="0"/>
          <w:szCs w:val="21"/>
        </w:rPr>
        <w:t xml:space="preserve">卖方应对合同设备进行妥善包装，以满足合同设备运至施工场地及在施工场地保管的需要。包装应采取防潮、防晒、防锈、防腐蚀、防震动及防止其他损坏的必要保护措施，从而保护合同设备能够经受多次搬运、装卸、长途运输并适宜保管。 </w:t>
      </w:r>
    </w:p>
    <w:p>
      <w:pPr>
        <w:widowControl/>
        <w:spacing w:line="480" w:lineRule="exact"/>
        <w:ind w:firstLine="420" w:firstLineChars="200"/>
        <w:jc w:val="left"/>
      </w:pPr>
      <w:r>
        <w:rPr>
          <w:color w:val="000000"/>
          <w:kern w:val="0"/>
          <w:szCs w:val="21"/>
        </w:rPr>
        <w:t xml:space="preserve">5.1.2 </w:t>
      </w:r>
      <w:r>
        <w:rPr>
          <w:rFonts w:hint="eastAsia" w:ascii="宋体" w:hAnsi="宋体" w:cs="宋体"/>
          <w:color w:val="000000"/>
          <w:kern w:val="0"/>
          <w:szCs w:val="21"/>
        </w:rPr>
        <w:t xml:space="preserve">每个独立包装箱内应附装箱清单、质量合格证、装配图、说明书、操作指南等资料。 </w:t>
      </w:r>
    </w:p>
    <w:p>
      <w:pPr>
        <w:widowControl/>
        <w:spacing w:line="480" w:lineRule="exact"/>
        <w:ind w:firstLine="420" w:firstLineChars="200"/>
        <w:jc w:val="left"/>
      </w:pPr>
      <w:r>
        <w:rPr>
          <w:color w:val="000000"/>
          <w:kern w:val="0"/>
          <w:szCs w:val="21"/>
        </w:rPr>
        <w:t xml:space="preserve">5.1.3 </w:t>
      </w:r>
      <w:r>
        <w:rPr>
          <w:rFonts w:hint="eastAsia" w:ascii="宋体" w:hAnsi="宋体" w:cs="宋体"/>
          <w:color w:val="000000"/>
          <w:kern w:val="0"/>
          <w:szCs w:val="21"/>
        </w:rPr>
        <w:t xml:space="preserve">除专用合同条款另有约定外，买方无需将包装物退还给卖方。 </w:t>
      </w:r>
    </w:p>
    <w:p>
      <w:pPr>
        <w:widowControl/>
        <w:spacing w:line="480" w:lineRule="exact"/>
        <w:ind w:firstLine="480" w:firstLineChars="200"/>
        <w:jc w:val="left"/>
      </w:pPr>
      <w:r>
        <w:rPr>
          <w:color w:val="000000"/>
          <w:kern w:val="0"/>
          <w:sz w:val="24"/>
        </w:rPr>
        <w:t xml:space="preserve">5.2 </w:t>
      </w:r>
      <w:r>
        <w:rPr>
          <w:rFonts w:hint="eastAsia" w:ascii="黑体" w:hAnsi="宋体" w:eastAsia="黑体" w:cs="黑体"/>
          <w:color w:val="000000"/>
          <w:kern w:val="0"/>
          <w:sz w:val="24"/>
        </w:rPr>
        <w:t xml:space="preserve">标记 </w:t>
      </w:r>
    </w:p>
    <w:p>
      <w:pPr>
        <w:widowControl/>
        <w:spacing w:line="480" w:lineRule="exact"/>
        <w:ind w:firstLine="420" w:firstLineChars="200"/>
        <w:jc w:val="left"/>
      </w:pPr>
      <w:r>
        <w:rPr>
          <w:color w:val="000000"/>
          <w:kern w:val="0"/>
          <w:szCs w:val="21"/>
        </w:rPr>
        <w:t xml:space="preserve">5.2.1 </w:t>
      </w:r>
      <w:r>
        <w:rPr>
          <w:rFonts w:hint="eastAsia" w:ascii="宋体" w:hAnsi="宋体" w:cs="宋体"/>
          <w:color w:val="000000"/>
          <w:kern w:val="0"/>
          <w:szCs w:val="21"/>
        </w:rPr>
        <w:t xml:space="preserve">除专用合同条款另有约定外，卖方应在每一包装箱相邻的四个侧面以不可擦除的、明显的方式标记必要的装运信息和标记，以满足合同设备运输和保管的需要。 </w:t>
      </w:r>
    </w:p>
    <w:p>
      <w:pPr>
        <w:widowControl/>
        <w:spacing w:line="480" w:lineRule="exact"/>
        <w:ind w:firstLine="420" w:firstLineChars="200"/>
        <w:jc w:val="left"/>
      </w:pPr>
      <w:r>
        <w:rPr>
          <w:color w:val="000000"/>
          <w:kern w:val="0"/>
          <w:szCs w:val="21"/>
        </w:rPr>
        <w:t xml:space="preserve">5.2.2 </w:t>
      </w:r>
      <w:r>
        <w:rPr>
          <w:rFonts w:hint="eastAsia" w:ascii="宋体" w:hAnsi="宋体" w:cs="宋体"/>
          <w:color w:val="000000"/>
          <w:kern w:val="0"/>
          <w:szCs w:val="21"/>
        </w:rPr>
        <w:t xml:space="preserve">根据合同设备的特点和运输、保管的不同要求，卖方应在包装箱上清楚地标注“小心轻放”“此端朝上，请勿倒置”“保持干燥”等字样和其他适当标记。对于专用合同条款约定的超大超重件，卖方应在包装箱两侧标注“重心”和“起吊点”以便装卸和搬运。如果发运合同设备中含有易燃易爆物品、腐蚀物品、放射性物质等危险品，则应在包装箱上标明危险品标志。 </w:t>
      </w:r>
    </w:p>
    <w:p>
      <w:pPr>
        <w:widowControl/>
        <w:spacing w:line="480" w:lineRule="exact"/>
        <w:ind w:firstLine="480" w:firstLineChars="200"/>
        <w:jc w:val="left"/>
      </w:pPr>
      <w:r>
        <w:rPr>
          <w:color w:val="000000"/>
          <w:kern w:val="0"/>
          <w:sz w:val="24"/>
        </w:rPr>
        <w:t xml:space="preserve">5.3 </w:t>
      </w:r>
      <w:r>
        <w:rPr>
          <w:rFonts w:hint="eastAsia" w:ascii="黑体" w:hAnsi="宋体" w:eastAsia="黑体" w:cs="黑体"/>
          <w:color w:val="000000"/>
          <w:kern w:val="0"/>
          <w:sz w:val="24"/>
        </w:rPr>
        <w:t xml:space="preserve">运输 </w:t>
      </w:r>
    </w:p>
    <w:p>
      <w:pPr>
        <w:widowControl/>
        <w:spacing w:line="480" w:lineRule="exact"/>
        <w:ind w:firstLine="420" w:firstLineChars="200"/>
        <w:jc w:val="left"/>
      </w:pPr>
      <w:r>
        <w:rPr>
          <w:color w:val="000000"/>
          <w:kern w:val="0"/>
          <w:szCs w:val="21"/>
        </w:rPr>
        <w:t xml:space="preserve">5.3.1 </w:t>
      </w:r>
      <w:r>
        <w:rPr>
          <w:rFonts w:hint="eastAsia" w:ascii="宋体" w:hAnsi="宋体" w:cs="宋体"/>
          <w:color w:val="000000"/>
          <w:kern w:val="0"/>
          <w:szCs w:val="21"/>
        </w:rPr>
        <w:t xml:space="preserve">卖方应自行选择适宜的运输工具及线路安排合同设备运输。 </w:t>
      </w:r>
    </w:p>
    <w:p>
      <w:pPr>
        <w:widowControl/>
        <w:spacing w:line="480" w:lineRule="exact"/>
        <w:ind w:firstLine="420" w:firstLineChars="200"/>
        <w:jc w:val="left"/>
      </w:pPr>
      <w:r>
        <w:rPr>
          <w:color w:val="000000"/>
          <w:kern w:val="0"/>
          <w:szCs w:val="21"/>
        </w:rPr>
        <w:t xml:space="preserve">5.3.2 </w:t>
      </w:r>
      <w:r>
        <w:rPr>
          <w:rFonts w:hint="eastAsia" w:ascii="宋体" w:hAnsi="宋体" w:cs="宋体"/>
          <w:color w:val="000000"/>
          <w:kern w:val="0"/>
          <w:szCs w:val="21"/>
        </w:rPr>
        <w:t>除专用合同条款另有约定外，每件能够独立运行的设备应整套装运。该设备安装、调试、考核和运行所使用的备品、备件、易损易耗件等应随相关的主机一齐装运。</w:t>
      </w:r>
    </w:p>
    <w:p>
      <w:pPr>
        <w:widowControl/>
        <w:spacing w:line="480" w:lineRule="exact"/>
        <w:ind w:firstLine="420" w:firstLineChars="200"/>
        <w:jc w:val="left"/>
      </w:pPr>
      <w:r>
        <w:rPr>
          <w:color w:val="000000"/>
          <w:kern w:val="0"/>
          <w:szCs w:val="21"/>
        </w:rPr>
        <w:t xml:space="preserve">5.3.3 </w:t>
      </w:r>
      <w:r>
        <w:rPr>
          <w:rFonts w:hint="eastAsia" w:ascii="宋体" w:hAnsi="宋体" w:cs="宋体"/>
          <w:color w:val="000000"/>
          <w:kern w:val="0"/>
          <w:szCs w:val="21"/>
        </w:rPr>
        <w:t xml:space="preserve">除专用合同条款另有约定外，卖方应在合同设备预计启运 </w:t>
      </w:r>
      <w:r>
        <w:rPr>
          <w:color w:val="000000"/>
          <w:kern w:val="0"/>
          <w:szCs w:val="21"/>
        </w:rPr>
        <w:t xml:space="preserve">7 </w:t>
      </w:r>
      <w:r>
        <w:rPr>
          <w:rFonts w:hint="eastAsia" w:ascii="宋体" w:hAnsi="宋体" w:cs="宋体"/>
          <w:color w:val="000000"/>
          <w:kern w:val="0"/>
          <w:szCs w:val="21"/>
        </w:rPr>
        <w:t xml:space="preserve">日前，将合同设备名称、数量、箱数、总毛重、总体积（用 </w:t>
      </w:r>
      <w:r>
        <w:rPr>
          <w:color w:val="000000"/>
          <w:kern w:val="0"/>
          <w:szCs w:val="21"/>
        </w:rPr>
        <w:t>m</w:t>
      </w:r>
      <w:r>
        <w:rPr>
          <w:color w:val="000000"/>
          <w:kern w:val="0"/>
          <w:sz w:val="14"/>
          <w:szCs w:val="14"/>
        </w:rPr>
        <w:t>3</w:t>
      </w:r>
      <w:r>
        <w:rPr>
          <w:rFonts w:hint="eastAsia" w:ascii="宋体" w:hAnsi="宋体" w:cs="宋体"/>
          <w:color w:val="000000"/>
          <w:kern w:val="0"/>
          <w:szCs w:val="21"/>
        </w:rPr>
        <w:t>表示）、每箱尺寸（长</w:t>
      </w:r>
      <w:r>
        <w:rPr>
          <w:color w:val="000000"/>
          <w:kern w:val="0"/>
          <w:szCs w:val="21"/>
        </w:rPr>
        <w:t>×</w:t>
      </w:r>
      <w:r>
        <w:rPr>
          <w:rFonts w:hint="eastAsia" w:ascii="宋体" w:hAnsi="宋体" w:cs="宋体"/>
          <w:color w:val="000000"/>
          <w:kern w:val="0"/>
          <w:szCs w:val="21"/>
        </w:rPr>
        <w:t>宽</w:t>
      </w:r>
      <w:r>
        <w:rPr>
          <w:color w:val="000000"/>
          <w:kern w:val="0"/>
          <w:szCs w:val="21"/>
        </w:rPr>
        <w:t>×</w:t>
      </w:r>
      <w:r>
        <w:rPr>
          <w:rFonts w:hint="eastAsia" w:ascii="宋体" w:hAnsi="宋体" w:cs="宋体"/>
          <w:color w:val="000000"/>
          <w:kern w:val="0"/>
          <w:szCs w:val="21"/>
        </w:rPr>
        <w:t xml:space="preserve">高）、装运合同设备总金额、运输方式、预计交付日期和合同设备在运输、装卸、保管中的注意事项等预通知买方，并在合同设备启运后 </w:t>
      </w:r>
      <w:r>
        <w:rPr>
          <w:color w:val="000000"/>
          <w:kern w:val="0"/>
          <w:szCs w:val="21"/>
        </w:rPr>
        <w:t xml:space="preserve">24 </w:t>
      </w:r>
      <w:r>
        <w:rPr>
          <w:rFonts w:hint="eastAsia" w:ascii="宋体" w:hAnsi="宋体" w:cs="宋体"/>
          <w:color w:val="000000"/>
          <w:kern w:val="0"/>
          <w:szCs w:val="21"/>
        </w:rPr>
        <w:t xml:space="preserve">小时之内正式通知买方。 </w:t>
      </w:r>
    </w:p>
    <w:p>
      <w:pPr>
        <w:widowControl/>
        <w:spacing w:line="480" w:lineRule="exact"/>
        <w:ind w:firstLine="420" w:firstLineChars="200"/>
        <w:jc w:val="left"/>
      </w:pPr>
      <w:r>
        <w:rPr>
          <w:color w:val="000000"/>
          <w:kern w:val="0"/>
          <w:szCs w:val="21"/>
        </w:rPr>
        <w:t xml:space="preserve">5.3.4 </w:t>
      </w:r>
      <w:r>
        <w:rPr>
          <w:rFonts w:hint="eastAsia" w:ascii="宋体" w:hAnsi="宋体" w:cs="宋体"/>
          <w:color w:val="000000"/>
          <w:kern w:val="0"/>
          <w:szCs w:val="21"/>
        </w:rPr>
        <w:t xml:space="preserve">卖方在根据第 </w:t>
      </w:r>
      <w:r>
        <w:rPr>
          <w:color w:val="000000"/>
          <w:kern w:val="0"/>
          <w:szCs w:val="21"/>
        </w:rPr>
        <w:t xml:space="preserve">5.3.3 </w:t>
      </w:r>
      <w:r>
        <w:rPr>
          <w:rFonts w:hint="eastAsia" w:ascii="宋体" w:hAnsi="宋体" w:cs="宋体"/>
          <w:color w:val="000000"/>
          <w:kern w:val="0"/>
          <w:szCs w:val="21"/>
        </w:rPr>
        <w:t xml:space="preserve">项进行通知时，如果发运合同设备中包括专用合同条款约定的超大超重包装，则卖方应将超大和（或）超重的每个包装箱的重量和尺寸通知买方；如果发运合同设备中包括易燃易爆物品、腐蚀物品、放射性物质等危险品，则危险品的品名、性质、在运输、装卸、保管方面的特殊要求、注意事项和处理意外情况的方法等，也应一并通知买方。 </w:t>
      </w:r>
    </w:p>
    <w:p>
      <w:pPr>
        <w:widowControl/>
        <w:spacing w:line="480" w:lineRule="exact"/>
        <w:ind w:firstLine="480" w:firstLineChars="200"/>
        <w:jc w:val="left"/>
      </w:pPr>
      <w:r>
        <w:rPr>
          <w:color w:val="000000"/>
          <w:kern w:val="0"/>
          <w:sz w:val="24"/>
        </w:rPr>
        <w:t xml:space="preserve">5.4 </w:t>
      </w:r>
      <w:r>
        <w:rPr>
          <w:rFonts w:ascii="黑体" w:hAnsi="宋体" w:eastAsia="黑体" w:cs="黑体"/>
          <w:color w:val="000000"/>
          <w:kern w:val="0"/>
          <w:sz w:val="24"/>
        </w:rPr>
        <w:t xml:space="preserve">交付 </w:t>
      </w:r>
    </w:p>
    <w:p>
      <w:pPr>
        <w:widowControl/>
        <w:spacing w:line="480" w:lineRule="exact"/>
        <w:ind w:firstLine="420" w:firstLineChars="200"/>
        <w:jc w:val="left"/>
      </w:pPr>
      <w:r>
        <w:rPr>
          <w:color w:val="000000"/>
          <w:kern w:val="0"/>
          <w:szCs w:val="21"/>
        </w:rPr>
        <w:t xml:space="preserve">5.4.1 </w:t>
      </w:r>
      <w:r>
        <w:rPr>
          <w:rFonts w:hint="eastAsia" w:ascii="宋体" w:hAnsi="宋体" w:cs="宋体"/>
          <w:color w:val="000000"/>
          <w:kern w:val="0"/>
          <w:szCs w:val="21"/>
        </w:rPr>
        <w:t>除专用合同条款另有约定外，卖方应根据合同约定的交付时间和批次在施工场地车面上将合同设备交付给买方。买方对卖方交付的包装的合同设备的外观及件数进行清点核验后应签发收货清单</w:t>
      </w:r>
      <w:r>
        <w:rPr>
          <w:rFonts w:hint="eastAsia" w:ascii="宋体" w:hAnsi="宋体" w:cs="宋体"/>
          <w:color w:val="000000"/>
          <w:kern w:val="0"/>
          <w:sz w:val="20"/>
          <w:szCs w:val="20"/>
        </w:rPr>
        <w:t>，</w:t>
      </w:r>
      <w:r>
        <w:rPr>
          <w:rFonts w:hint="eastAsia" w:ascii="宋体" w:hAnsi="宋体" w:cs="宋体"/>
          <w:color w:val="000000"/>
          <w:kern w:val="0"/>
          <w:szCs w:val="21"/>
        </w:rPr>
        <w:t xml:space="preserve">并自负风险和费用进行卸货。买方签发收货清单不代表对合同设备的接受，双方还应按合同约定进行后续的检验和验收。 </w:t>
      </w:r>
    </w:p>
    <w:p>
      <w:pPr>
        <w:widowControl/>
        <w:spacing w:line="480" w:lineRule="exact"/>
        <w:ind w:firstLine="420" w:firstLineChars="200"/>
        <w:jc w:val="left"/>
      </w:pPr>
      <w:r>
        <w:rPr>
          <w:color w:val="000000"/>
          <w:kern w:val="0"/>
          <w:szCs w:val="21"/>
        </w:rPr>
        <w:t xml:space="preserve">5.4.2 </w:t>
      </w:r>
      <w:r>
        <w:rPr>
          <w:rFonts w:hint="eastAsia" w:ascii="宋体" w:hAnsi="宋体" w:cs="宋体"/>
          <w:color w:val="000000"/>
          <w:kern w:val="0"/>
          <w:szCs w:val="21"/>
        </w:rPr>
        <w:t xml:space="preserve">合同设备的所有权和风险自交付时起由卖方转移至买方，合同设备交付给买方之前包括运输在内的所有风险均由卖方承担。 </w:t>
      </w:r>
    </w:p>
    <w:p>
      <w:pPr>
        <w:widowControl/>
        <w:spacing w:line="480" w:lineRule="exact"/>
        <w:ind w:firstLine="420" w:firstLineChars="200"/>
        <w:jc w:val="left"/>
      </w:pPr>
      <w:r>
        <w:rPr>
          <w:color w:val="000000"/>
          <w:kern w:val="0"/>
          <w:szCs w:val="21"/>
        </w:rPr>
        <w:t xml:space="preserve">5.4.3 </w:t>
      </w:r>
      <w:r>
        <w:rPr>
          <w:rFonts w:hint="eastAsia" w:ascii="宋体" w:hAnsi="宋体" w:cs="宋体"/>
          <w:color w:val="000000"/>
          <w:kern w:val="0"/>
          <w:szCs w:val="21"/>
        </w:rPr>
        <w:t xml:space="preserve">除专用合同条款另有约定外，买方如果发现技术资料存在短缺和（或）损坏，卖方应在收到买方的通知后 </w:t>
      </w:r>
      <w:r>
        <w:rPr>
          <w:color w:val="000000"/>
          <w:kern w:val="0"/>
          <w:szCs w:val="21"/>
        </w:rPr>
        <w:t xml:space="preserve">7 </w:t>
      </w:r>
      <w:r>
        <w:rPr>
          <w:rFonts w:hint="eastAsia" w:ascii="宋体" w:hAnsi="宋体" w:cs="宋体"/>
          <w:color w:val="000000"/>
          <w:kern w:val="0"/>
          <w:szCs w:val="21"/>
        </w:rPr>
        <w:t xml:space="preserve">日内免费补齐短缺和（或）损坏的部分。如果买方发现卖方提供的技术资料有误，卖方应在收到买方通知后 </w:t>
      </w:r>
      <w:r>
        <w:rPr>
          <w:color w:val="000000"/>
          <w:kern w:val="0"/>
          <w:szCs w:val="21"/>
        </w:rPr>
        <w:t xml:space="preserve">7 </w:t>
      </w:r>
      <w:r>
        <w:rPr>
          <w:rFonts w:hint="eastAsia" w:ascii="宋体" w:hAnsi="宋体" w:cs="宋体"/>
          <w:color w:val="000000"/>
          <w:kern w:val="0"/>
          <w:szCs w:val="21"/>
        </w:rPr>
        <w:t xml:space="preserve">日内免费替换。如由于买方原因导致技术资料丢失和（或）损坏，卖方应在收到买方的通知后 </w:t>
      </w:r>
      <w:r>
        <w:rPr>
          <w:color w:val="000000"/>
          <w:kern w:val="0"/>
          <w:szCs w:val="21"/>
        </w:rPr>
        <w:t>7</w:t>
      </w:r>
      <w:r>
        <w:rPr>
          <w:rFonts w:hint="eastAsia" w:ascii="宋体" w:hAnsi="宋体" w:cs="宋体"/>
          <w:color w:val="000000"/>
          <w:kern w:val="0"/>
          <w:szCs w:val="21"/>
        </w:rPr>
        <w:t xml:space="preserve">日内补齐丢失和（或）损坏的部分，但买方应向卖方支付合理的复制、 </w:t>
      </w:r>
    </w:p>
    <w:p>
      <w:pPr>
        <w:widowControl/>
        <w:spacing w:line="480" w:lineRule="exact"/>
        <w:ind w:firstLine="420" w:firstLineChars="200"/>
        <w:jc w:val="left"/>
      </w:pPr>
      <w:r>
        <w:rPr>
          <w:rFonts w:hint="eastAsia" w:ascii="宋体" w:hAnsi="宋体" w:cs="宋体"/>
          <w:color w:val="000000"/>
          <w:kern w:val="0"/>
          <w:szCs w:val="21"/>
        </w:rPr>
        <w:t xml:space="preserve">邮寄费用。 </w:t>
      </w:r>
    </w:p>
    <w:p>
      <w:pPr>
        <w:widowControl/>
        <w:spacing w:line="480" w:lineRule="exact"/>
        <w:ind w:firstLine="622" w:firstLineChars="200"/>
        <w:jc w:val="left"/>
      </w:pPr>
      <w:r>
        <w:rPr>
          <w:b/>
          <w:bCs/>
          <w:color w:val="000000"/>
          <w:kern w:val="0"/>
          <w:sz w:val="31"/>
          <w:szCs w:val="31"/>
        </w:rPr>
        <w:t xml:space="preserve">6. </w:t>
      </w:r>
      <w:r>
        <w:rPr>
          <w:rFonts w:hint="eastAsia" w:ascii="宋体" w:hAnsi="宋体" w:cs="宋体"/>
          <w:b/>
          <w:bCs/>
          <w:color w:val="000000"/>
          <w:kern w:val="0"/>
          <w:sz w:val="31"/>
          <w:szCs w:val="31"/>
        </w:rPr>
        <w:t xml:space="preserve">开箱检验、安装、调试、考核、验收 </w:t>
      </w:r>
    </w:p>
    <w:p>
      <w:pPr>
        <w:widowControl/>
        <w:spacing w:line="480" w:lineRule="exact"/>
        <w:ind w:firstLine="480" w:firstLineChars="200"/>
        <w:jc w:val="left"/>
      </w:pPr>
      <w:r>
        <w:rPr>
          <w:color w:val="000000"/>
          <w:kern w:val="0"/>
          <w:sz w:val="24"/>
        </w:rPr>
        <w:t xml:space="preserve">6.1 </w:t>
      </w:r>
      <w:r>
        <w:rPr>
          <w:rFonts w:hint="eastAsia" w:ascii="黑体" w:hAnsi="宋体" w:eastAsia="黑体" w:cs="黑体"/>
          <w:color w:val="000000"/>
          <w:kern w:val="0"/>
          <w:sz w:val="24"/>
        </w:rPr>
        <w:t xml:space="preserve">开箱检验 </w:t>
      </w:r>
    </w:p>
    <w:p>
      <w:pPr>
        <w:widowControl/>
        <w:spacing w:line="480" w:lineRule="exact"/>
        <w:ind w:firstLine="420" w:firstLineChars="200"/>
        <w:jc w:val="left"/>
      </w:pPr>
      <w:r>
        <w:rPr>
          <w:color w:val="000000"/>
          <w:kern w:val="0"/>
          <w:szCs w:val="21"/>
        </w:rPr>
        <w:t xml:space="preserve">6.1.1 </w:t>
      </w:r>
      <w:r>
        <w:rPr>
          <w:rFonts w:hint="eastAsia" w:ascii="宋体" w:hAnsi="宋体" w:cs="宋体"/>
          <w:color w:val="000000"/>
          <w:kern w:val="0"/>
          <w:szCs w:val="21"/>
        </w:rPr>
        <w:t xml:space="preserve">合同设备交付后应进行开箱检验，即合同设备数量及外观检验。开箱检验在专用合同条款约定的下列任一种时间进行：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1</w:t>
      </w:r>
      <w:r>
        <w:rPr>
          <w:rFonts w:hint="eastAsia" w:ascii="宋体" w:hAnsi="宋体" w:cs="宋体"/>
          <w:color w:val="000000"/>
          <w:kern w:val="0"/>
          <w:szCs w:val="21"/>
        </w:rPr>
        <w:t xml:space="preserve">）合同设备交付时；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2</w:t>
      </w:r>
      <w:r>
        <w:rPr>
          <w:rFonts w:hint="eastAsia" w:ascii="宋体" w:hAnsi="宋体" w:cs="宋体"/>
          <w:color w:val="000000"/>
          <w:kern w:val="0"/>
          <w:szCs w:val="21"/>
        </w:rPr>
        <w:t xml:space="preserve">）合同设备交付后的一定期限内。 </w:t>
      </w:r>
    </w:p>
    <w:p>
      <w:pPr>
        <w:widowControl/>
        <w:spacing w:line="480" w:lineRule="exact"/>
        <w:ind w:firstLine="420" w:firstLineChars="200"/>
        <w:jc w:val="left"/>
      </w:pPr>
      <w:r>
        <w:rPr>
          <w:rFonts w:hint="eastAsia" w:ascii="宋体" w:hAnsi="宋体" w:cs="宋体"/>
          <w:color w:val="000000"/>
          <w:kern w:val="0"/>
          <w:szCs w:val="21"/>
        </w:rPr>
        <w:t xml:space="preserve">如开箱检验不在合同设备交付时进行，买方应在开箱检验 </w:t>
      </w:r>
      <w:r>
        <w:rPr>
          <w:color w:val="000000"/>
          <w:kern w:val="0"/>
          <w:szCs w:val="21"/>
        </w:rPr>
        <w:t xml:space="preserve">3 </w:t>
      </w:r>
      <w:r>
        <w:rPr>
          <w:rFonts w:hint="eastAsia" w:ascii="宋体" w:hAnsi="宋体" w:cs="宋体"/>
          <w:color w:val="000000"/>
          <w:kern w:val="0"/>
          <w:szCs w:val="21"/>
        </w:rPr>
        <w:t xml:space="preserve">日前将开箱检验的时间和地点通知卖方。 </w:t>
      </w:r>
    </w:p>
    <w:p>
      <w:pPr>
        <w:widowControl/>
        <w:spacing w:line="480" w:lineRule="exact"/>
        <w:ind w:firstLine="420" w:firstLineChars="200"/>
        <w:jc w:val="left"/>
      </w:pPr>
      <w:r>
        <w:rPr>
          <w:color w:val="000000"/>
          <w:kern w:val="0"/>
          <w:szCs w:val="21"/>
        </w:rPr>
        <w:t xml:space="preserve">6.1.2 </w:t>
      </w:r>
      <w:r>
        <w:rPr>
          <w:rFonts w:hint="eastAsia" w:ascii="宋体" w:hAnsi="宋体" w:cs="宋体"/>
          <w:color w:val="000000"/>
          <w:kern w:val="0"/>
          <w:szCs w:val="21"/>
        </w:rPr>
        <w:t xml:space="preserve">除专用合同条款另有约定外，合同设备的开箱检验应在施工场地进行。 </w:t>
      </w:r>
    </w:p>
    <w:p>
      <w:pPr>
        <w:widowControl/>
        <w:spacing w:line="480" w:lineRule="exact"/>
        <w:ind w:firstLine="420" w:firstLineChars="200"/>
        <w:jc w:val="left"/>
      </w:pPr>
      <w:r>
        <w:rPr>
          <w:color w:val="000000"/>
          <w:kern w:val="0"/>
          <w:szCs w:val="21"/>
        </w:rPr>
        <w:t xml:space="preserve">6.1.3 </w:t>
      </w:r>
      <w:r>
        <w:rPr>
          <w:rFonts w:hint="eastAsia" w:ascii="宋体" w:hAnsi="宋体" w:cs="宋体"/>
          <w:color w:val="000000"/>
          <w:kern w:val="0"/>
          <w:szCs w:val="21"/>
        </w:rPr>
        <w:t>开箱检验由买卖双方共同进行，卖方应</w:t>
      </w:r>
      <w:r>
        <w:rPr>
          <w:rFonts w:hint="eastAsia" w:ascii="宋体" w:hAnsi="宋体" w:cs="宋体"/>
          <w:color w:val="000000"/>
          <w:kern w:val="0"/>
          <w:szCs w:val="21"/>
          <w:lang w:eastAsia="zh-CN"/>
        </w:rPr>
        <w:t>自付</w:t>
      </w:r>
      <w:r>
        <w:rPr>
          <w:rFonts w:hint="eastAsia" w:ascii="宋体" w:hAnsi="宋体" w:cs="宋体"/>
          <w:color w:val="000000"/>
          <w:kern w:val="0"/>
          <w:szCs w:val="21"/>
        </w:rPr>
        <w:t xml:space="preserve">费用派遣代表到场参加开箱检验。 </w:t>
      </w:r>
    </w:p>
    <w:p>
      <w:pPr>
        <w:widowControl/>
        <w:spacing w:line="480" w:lineRule="exact"/>
        <w:ind w:firstLine="420" w:firstLineChars="200"/>
        <w:jc w:val="left"/>
      </w:pPr>
      <w:r>
        <w:rPr>
          <w:color w:val="000000"/>
          <w:kern w:val="0"/>
          <w:szCs w:val="21"/>
        </w:rPr>
        <w:t xml:space="preserve">6.1.4 </w:t>
      </w:r>
      <w:r>
        <w:rPr>
          <w:rFonts w:hint="eastAsia" w:ascii="宋体" w:hAnsi="宋体" w:cs="宋体"/>
          <w:color w:val="000000"/>
          <w:kern w:val="0"/>
          <w:szCs w:val="21"/>
        </w:rPr>
        <w:t xml:space="preserve">在开箱检验中，买方和卖方应共同签署数量、外观检验报告，报告应列明检验结果，包括检验合格或发现的任何短缺、损坏或其他与合同约定不符的情形。 </w:t>
      </w:r>
    </w:p>
    <w:p>
      <w:pPr>
        <w:widowControl/>
        <w:spacing w:line="480" w:lineRule="exact"/>
        <w:ind w:firstLine="420" w:firstLineChars="200"/>
        <w:jc w:val="left"/>
      </w:pPr>
      <w:r>
        <w:rPr>
          <w:color w:val="000000"/>
          <w:kern w:val="0"/>
          <w:szCs w:val="21"/>
        </w:rPr>
        <w:t xml:space="preserve">6.1.5 </w:t>
      </w:r>
      <w:r>
        <w:rPr>
          <w:rFonts w:hint="eastAsia" w:ascii="宋体" w:hAnsi="宋体" w:cs="宋体"/>
          <w:color w:val="000000"/>
          <w:kern w:val="0"/>
          <w:szCs w:val="21"/>
        </w:rPr>
        <w:t xml:space="preserve">如果卖方代表未能依约或按买方通知到场参加开箱检验，买方有权在卖方代表未在场的情况下进行开箱检验，并签署数量、外观检验报告，对于该检验报告和检验结果，视为卖方已接受，但卖方确有合理理由且事先与买方协商推迟开箱检验时间的除外。 </w:t>
      </w:r>
    </w:p>
    <w:p>
      <w:pPr>
        <w:widowControl/>
        <w:spacing w:line="480" w:lineRule="exact"/>
        <w:ind w:firstLine="420" w:firstLineChars="200"/>
        <w:jc w:val="left"/>
      </w:pPr>
      <w:r>
        <w:rPr>
          <w:color w:val="000000"/>
          <w:kern w:val="0"/>
          <w:szCs w:val="21"/>
        </w:rPr>
        <w:t xml:space="preserve">6.1.6 </w:t>
      </w:r>
      <w:r>
        <w:rPr>
          <w:rFonts w:hint="eastAsia" w:ascii="宋体" w:hAnsi="宋体" w:cs="宋体"/>
          <w:color w:val="000000"/>
          <w:kern w:val="0"/>
          <w:szCs w:val="21"/>
        </w:rPr>
        <w:t xml:space="preserve">如开箱检验不在合同设备交付时进行，则合同设备交付以后到开箱检验之前，应由买方负责按交货时外包装原样对合同设备进行妥善保管。除专用合同条款另有约定外，在开箱检验时如果合同设备外包装与交货时一致，则开箱检验中发现的合同设备的短缺、损坏或其他与合同约定不符的情形，由卖方负责，卖方应补齐、更换及采取其他补救措施。如果在开箱检验时合同设备外包装不是交货时的包装或虽是交货时的包装但与交货时不一致且出现很可能导致合同设备短缺或损坏的包装破损，则开箱检验中发现合同设备短缺、损坏或其他与合同约定不符的情形的风险，由买方承担，但买方能够证明是由于卖方原因或合同设备交付前非买方原因导致的除外。 </w:t>
      </w:r>
    </w:p>
    <w:p>
      <w:pPr>
        <w:widowControl/>
        <w:spacing w:line="480" w:lineRule="exact"/>
        <w:ind w:firstLine="420" w:firstLineChars="200"/>
        <w:jc w:val="left"/>
      </w:pPr>
      <w:r>
        <w:rPr>
          <w:color w:val="000000"/>
          <w:kern w:val="0"/>
          <w:szCs w:val="21"/>
        </w:rPr>
        <w:t xml:space="preserve">6.1.7 </w:t>
      </w:r>
      <w:r>
        <w:rPr>
          <w:rFonts w:hint="eastAsia" w:ascii="宋体" w:hAnsi="宋体" w:cs="宋体"/>
          <w:color w:val="000000"/>
          <w:kern w:val="0"/>
          <w:szCs w:val="21"/>
        </w:rPr>
        <w:t xml:space="preserve">如双方在专用合同条款和（或）供货要求等合同文件中约定由第三方检测机构对合同设备进行开箱检验或在开箱检验过程中另行约定由第三方检验的，则第三方检测机构的检验结果对双方均具有约束力。 </w:t>
      </w:r>
    </w:p>
    <w:p>
      <w:pPr>
        <w:widowControl/>
        <w:spacing w:line="480" w:lineRule="exact"/>
        <w:ind w:firstLine="420" w:firstLineChars="200"/>
        <w:jc w:val="left"/>
      </w:pPr>
      <w:r>
        <w:rPr>
          <w:color w:val="000000"/>
          <w:kern w:val="0"/>
          <w:szCs w:val="21"/>
        </w:rPr>
        <w:t xml:space="preserve">6.1.8 </w:t>
      </w:r>
      <w:r>
        <w:rPr>
          <w:rFonts w:hint="eastAsia" w:ascii="宋体" w:hAnsi="宋体" w:cs="宋体"/>
          <w:color w:val="000000"/>
          <w:kern w:val="0"/>
          <w:szCs w:val="21"/>
        </w:rPr>
        <w:t xml:space="preserve">开箱检验的检验结果不能对抗在合同设备的安装、调试、考核、验收中及质量保证期内发现的合同设备质量问题，也不能免除或影响卖方依照合同约定对买方负有的包括合同设备质量在内的任何义务或责任。 </w:t>
      </w:r>
    </w:p>
    <w:p>
      <w:pPr>
        <w:widowControl/>
        <w:spacing w:line="480" w:lineRule="exact"/>
        <w:ind w:firstLine="480" w:firstLineChars="200"/>
        <w:jc w:val="left"/>
      </w:pPr>
      <w:r>
        <w:rPr>
          <w:color w:val="000000"/>
          <w:kern w:val="0"/>
          <w:sz w:val="24"/>
        </w:rPr>
        <w:t xml:space="preserve">6.2 </w:t>
      </w:r>
      <w:r>
        <w:rPr>
          <w:rFonts w:ascii="黑体" w:hAnsi="宋体" w:eastAsia="黑体" w:cs="黑体"/>
          <w:color w:val="000000"/>
          <w:kern w:val="0"/>
          <w:sz w:val="24"/>
        </w:rPr>
        <w:t xml:space="preserve">安装、调试 </w:t>
      </w:r>
    </w:p>
    <w:p>
      <w:pPr>
        <w:widowControl/>
        <w:spacing w:line="480" w:lineRule="exact"/>
        <w:ind w:firstLine="420" w:firstLineChars="200"/>
        <w:jc w:val="left"/>
      </w:pPr>
      <w:r>
        <w:rPr>
          <w:color w:val="000000"/>
          <w:kern w:val="0"/>
          <w:szCs w:val="21"/>
        </w:rPr>
        <w:t xml:space="preserve">6.2.1 </w:t>
      </w:r>
      <w:r>
        <w:rPr>
          <w:rFonts w:hint="eastAsia" w:ascii="宋体" w:hAnsi="宋体" w:cs="宋体"/>
          <w:color w:val="000000"/>
          <w:kern w:val="0"/>
          <w:szCs w:val="21"/>
        </w:rPr>
        <w:t xml:space="preserve">开箱检验完成后，双方应对合同设备进行安装、调试，以使其具备考核的状态。安装、调试应按照专用合同条款约定的下列任一种方式进行：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1</w:t>
      </w:r>
      <w:r>
        <w:rPr>
          <w:rFonts w:hint="eastAsia" w:ascii="宋体" w:hAnsi="宋体" w:cs="宋体"/>
          <w:color w:val="000000"/>
          <w:kern w:val="0"/>
          <w:szCs w:val="21"/>
        </w:rPr>
        <w:t xml:space="preserve">）卖方按照合同约定完成合同设备的安装、调试工作；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2</w:t>
      </w:r>
      <w:r>
        <w:rPr>
          <w:rFonts w:hint="eastAsia" w:ascii="宋体" w:hAnsi="宋体" w:cs="宋体"/>
          <w:color w:val="000000"/>
          <w:kern w:val="0"/>
          <w:szCs w:val="21"/>
        </w:rPr>
        <w:t xml:space="preserve">）买方或买方安排第三方负责合同设备的安装、调试工作，卖方提供技术服务。 </w:t>
      </w:r>
    </w:p>
    <w:p>
      <w:pPr>
        <w:widowControl/>
        <w:spacing w:line="480" w:lineRule="exact"/>
        <w:ind w:firstLine="420" w:firstLineChars="200"/>
        <w:jc w:val="left"/>
      </w:pPr>
      <w:r>
        <w:rPr>
          <w:color w:val="000000"/>
          <w:kern w:val="0"/>
          <w:szCs w:val="21"/>
        </w:rPr>
        <w:t xml:space="preserve">6.2.2 </w:t>
      </w:r>
      <w:r>
        <w:rPr>
          <w:rFonts w:hint="eastAsia" w:ascii="宋体" w:hAnsi="宋体" w:cs="宋体"/>
          <w:color w:val="000000"/>
          <w:kern w:val="0"/>
          <w:szCs w:val="21"/>
        </w:rPr>
        <w:t xml:space="preserve">调试程序 </w:t>
      </w:r>
    </w:p>
    <w:p>
      <w:pPr>
        <w:widowControl/>
        <w:spacing w:line="480" w:lineRule="exact"/>
        <w:ind w:firstLine="420" w:firstLineChars="200"/>
        <w:jc w:val="left"/>
      </w:pPr>
      <w:r>
        <w:rPr>
          <w:rFonts w:hint="eastAsia" w:ascii="宋体" w:hAnsi="宋体" w:cs="宋体"/>
          <w:color w:val="000000"/>
          <w:kern w:val="0"/>
          <w:szCs w:val="21"/>
        </w:rPr>
        <w:t>设备安装完成后需要调试的，除专用合同条款另有约定外，调试内容应与卖方供货范围相一致，调试费用</w:t>
      </w:r>
      <w:r>
        <w:rPr>
          <w:color w:val="000000"/>
          <w:kern w:val="0"/>
          <w:szCs w:val="21"/>
        </w:rPr>
        <w:t>[</w:t>
      </w:r>
      <w:r>
        <w:rPr>
          <w:rFonts w:hint="eastAsia" w:ascii="宋体" w:hAnsi="宋体" w:cs="宋体"/>
          <w:color w:val="000000"/>
          <w:kern w:val="0"/>
          <w:szCs w:val="21"/>
        </w:rPr>
        <w:t>用水、用电、其他动力和原材料（如需要）等</w:t>
      </w:r>
      <w:r>
        <w:rPr>
          <w:color w:val="000000"/>
          <w:kern w:val="0"/>
          <w:szCs w:val="21"/>
        </w:rPr>
        <w:t>]</w:t>
      </w:r>
      <w:r>
        <w:rPr>
          <w:rFonts w:hint="eastAsia" w:ascii="宋体" w:hAnsi="宋体" w:cs="宋体"/>
          <w:color w:val="000000"/>
          <w:kern w:val="0"/>
          <w:szCs w:val="21"/>
        </w:rPr>
        <w:t xml:space="preserve">由卖方承担。调试应按如下程序进行：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1</w:t>
      </w:r>
      <w:r>
        <w:rPr>
          <w:rFonts w:hint="eastAsia" w:ascii="宋体" w:hAnsi="宋体" w:cs="宋体"/>
          <w:color w:val="000000"/>
          <w:kern w:val="0"/>
          <w:szCs w:val="21"/>
        </w:rPr>
        <w:t xml:space="preserve">）具备单机调试条件，卖方组织调试，并在调试前 </w:t>
      </w:r>
      <w:r>
        <w:rPr>
          <w:color w:val="000000"/>
          <w:kern w:val="0"/>
          <w:szCs w:val="21"/>
        </w:rPr>
        <w:t xml:space="preserve">48 </w:t>
      </w:r>
      <w:r>
        <w:rPr>
          <w:rFonts w:hint="eastAsia" w:ascii="宋体" w:hAnsi="宋体" w:cs="宋体"/>
          <w:color w:val="000000"/>
          <w:kern w:val="0"/>
          <w:szCs w:val="21"/>
        </w:rPr>
        <w:t>小时书面通知买方</w:t>
      </w:r>
      <w:r>
        <w:rPr>
          <w:color w:val="000000"/>
          <w:kern w:val="0"/>
          <w:szCs w:val="21"/>
        </w:rPr>
        <w:t>/</w:t>
      </w:r>
      <w:r>
        <w:rPr>
          <w:rFonts w:hint="eastAsia" w:ascii="宋体" w:hAnsi="宋体" w:cs="宋体"/>
          <w:color w:val="000000"/>
          <w:kern w:val="0"/>
          <w:szCs w:val="21"/>
        </w:rPr>
        <w:t>监理人（如有），通知中应载明调试内容、时间、地点。卖方准备调试记录，买方根据卖方要求为调试提供必要条件。调试合格的，买方</w:t>
      </w:r>
      <w:r>
        <w:rPr>
          <w:color w:val="000000"/>
          <w:kern w:val="0"/>
          <w:szCs w:val="21"/>
        </w:rPr>
        <w:t>/</w:t>
      </w:r>
      <w:r>
        <w:rPr>
          <w:rFonts w:hint="eastAsia" w:ascii="宋体" w:hAnsi="宋体" w:cs="宋体"/>
          <w:color w:val="000000"/>
          <w:kern w:val="0"/>
          <w:szCs w:val="21"/>
        </w:rPr>
        <w:t>监理人（如有）在调试记录上签字。买方</w:t>
      </w:r>
      <w:r>
        <w:rPr>
          <w:color w:val="000000"/>
          <w:kern w:val="0"/>
          <w:szCs w:val="21"/>
        </w:rPr>
        <w:t>/</w:t>
      </w:r>
      <w:r>
        <w:rPr>
          <w:rFonts w:hint="eastAsia" w:ascii="宋体" w:hAnsi="宋体" w:cs="宋体"/>
          <w:color w:val="000000"/>
          <w:kern w:val="0"/>
          <w:szCs w:val="21"/>
        </w:rPr>
        <w:t xml:space="preserve">监理人（如有）在调试合格后不在调试记录上签字，自调试结束满 </w:t>
      </w:r>
      <w:r>
        <w:rPr>
          <w:color w:val="000000"/>
          <w:kern w:val="0"/>
          <w:szCs w:val="21"/>
        </w:rPr>
        <w:t xml:space="preserve">24 </w:t>
      </w:r>
      <w:r>
        <w:rPr>
          <w:rFonts w:hint="eastAsia" w:ascii="宋体" w:hAnsi="宋体" w:cs="宋体"/>
          <w:color w:val="000000"/>
          <w:kern w:val="0"/>
          <w:szCs w:val="21"/>
        </w:rPr>
        <w:t>小时后视为买方</w:t>
      </w:r>
      <w:r>
        <w:rPr>
          <w:color w:val="000000"/>
          <w:kern w:val="0"/>
          <w:szCs w:val="21"/>
        </w:rPr>
        <w:t>/</w:t>
      </w:r>
      <w:r>
        <w:rPr>
          <w:rFonts w:hint="eastAsia" w:ascii="宋体" w:hAnsi="宋体" w:cs="宋体"/>
          <w:color w:val="000000"/>
          <w:kern w:val="0"/>
          <w:szCs w:val="21"/>
        </w:rPr>
        <w:t xml:space="preserve">监理人（如有）已经认可调试记录，卖方可继续实施安装或办理交付验收手续。 </w:t>
      </w:r>
    </w:p>
    <w:p>
      <w:pPr>
        <w:widowControl/>
        <w:spacing w:line="480" w:lineRule="exact"/>
        <w:ind w:firstLine="420" w:firstLineChars="200"/>
        <w:jc w:val="left"/>
      </w:pPr>
      <w:r>
        <w:rPr>
          <w:rFonts w:hint="eastAsia" w:ascii="宋体" w:hAnsi="宋体" w:cs="宋体"/>
          <w:color w:val="000000"/>
          <w:kern w:val="0"/>
          <w:szCs w:val="21"/>
        </w:rPr>
        <w:t>买方</w:t>
      </w:r>
      <w:r>
        <w:rPr>
          <w:color w:val="000000"/>
          <w:kern w:val="0"/>
          <w:szCs w:val="21"/>
        </w:rPr>
        <w:t>/</w:t>
      </w:r>
      <w:r>
        <w:rPr>
          <w:rFonts w:hint="eastAsia" w:ascii="宋体" w:hAnsi="宋体" w:cs="宋体"/>
          <w:color w:val="000000"/>
          <w:kern w:val="0"/>
          <w:szCs w:val="21"/>
        </w:rPr>
        <w:t xml:space="preserve">监理人（如有）不能按时参加调试，应在调试前 </w:t>
      </w:r>
      <w:r>
        <w:rPr>
          <w:color w:val="000000"/>
          <w:kern w:val="0"/>
          <w:szCs w:val="21"/>
        </w:rPr>
        <w:t xml:space="preserve">24 </w:t>
      </w:r>
      <w:r>
        <w:rPr>
          <w:rFonts w:hint="eastAsia" w:ascii="宋体" w:hAnsi="宋体" w:cs="宋体"/>
          <w:color w:val="000000"/>
          <w:kern w:val="0"/>
          <w:szCs w:val="21"/>
        </w:rPr>
        <w:t xml:space="preserve">小时以书面形式向卖方提出延期要求，但延期不能超过 </w:t>
      </w:r>
      <w:r>
        <w:rPr>
          <w:color w:val="000000"/>
          <w:kern w:val="0"/>
          <w:szCs w:val="21"/>
        </w:rPr>
        <w:t xml:space="preserve">48 </w:t>
      </w:r>
      <w:r>
        <w:rPr>
          <w:rFonts w:hint="eastAsia" w:ascii="宋体" w:hAnsi="宋体" w:cs="宋体"/>
          <w:color w:val="000000"/>
          <w:kern w:val="0"/>
          <w:szCs w:val="21"/>
        </w:rPr>
        <w:t>小时，由此导致安装周期延误的，安装周期应予以顺延。买方</w:t>
      </w:r>
      <w:r>
        <w:rPr>
          <w:color w:val="000000"/>
          <w:kern w:val="0"/>
          <w:szCs w:val="21"/>
        </w:rPr>
        <w:t>/</w:t>
      </w:r>
      <w:r>
        <w:rPr>
          <w:rFonts w:hint="eastAsia" w:ascii="宋体" w:hAnsi="宋体" w:cs="宋体"/>
          <w:color w:val="000000"/>
          <w:kern w:val="0"/>
          <w:szCs w:val="21"/>
        </w:rPr>
        <w:t>监理人（如有）未能在前述期限内提出延期要求，又不参加调试的，视为认可调试记录。</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2</w:t>
      </w:r>
      <w:r>
        <w:rPr>
          <w:rFonts w:hint="eastAsia" w:ascii="宋体" w:hAnsi="宋体" w:cs="宋体"/>
          <w:color w:val="000000"/>
          <w:kern w:val="0"/>
          <w:szCs w:val="21"/>
        </w:rPr>
        <w:t xml:space="preserve">）具备系统联机调试条件，买方组织调试，并在调试前 </w:t>
      </w:r>
      <w:r>
        <w:rPr>
          <w:color w:val="000000"/>
          <w:kern w:val="0"/>
          <w:szCs w:val="21"/>
        </w:rPr>
        <w:t xml:space="preserve">48 </w:t>
      </w:r>
      <w:r>
        <w:rPr>
          <w:rFonts w:hint="eastAsia" w:ascii="宋体" w:hAnsi="宋体" w:cs="宋体"/>
          <w:color w:val="000000"/>
          <w:kern w:val="0"/>
          <w:szCs w:val="21"/>
        </w:rPr>
        <w:t xml:space="preserve">小时以书面形式通知卖方。通知中应载明调试内容、时间、地点和对卖方的要求，卖方按要求做好准备工作。调试合格，合同当事人在调试记录上签字。卖方无正当理由不参加调试的，视为认可调试记录。 </w:t>
      </w:r>
    </w:p>
    <w:p>
      <w:pPr>
        <w:widowControl/>
        <w:spacing w:line="480" w:lineRule="exact"/>
        <w:ind w:firstLine="420" w:firstLineChars="200"/>
        <w:jc w:val="left"/>
      </w:pPr>
      <w:r>
        <w:rPr>
          <w:color w:val="000000"/>
          <w:kern w:val="0"/>
          <w:szCs w:val="21"/>
        </w:rPr>
        <w:t xml:space="preserve">6.2.3 </w:t>
      </w:r>
      <w:r>
        <w:rPr>
          <w:rFonts w:hint="eastAsia" w:ascii="宋体" w:hAnsi="宋体" w:cs="宋体"/>
          <w:color w:val="000000"/>
          <w:kern w:val="0"/>
          <w:szCs w:val="21"/>
        </w:rPr>
        <w:t xml:space="preserve">调试中的责任 </w:t>
      </w:r>
    </w:p>
    <w:p>
      <w:pPr>
        <w:widowControl/>
        <w:spacing w:line="48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除专用合同条款另有约定外，在安装、调试过程中，如由于买方或买方安排的第三方未按照卖方现场服务人员的指导导致安装、调试不成功和（或）出现合同设备损坏，买方应自行承担责任。如在买方或买方安排的第三方按照卖方现场服务人员的指导进行安装、调试的情况下出现安装、调试不成功和（或）造成合同设备损坏的情况，卖方应承担责任。</w:t>
      </w:r>
    </w:p>
    <w:p>
      <w:pPr>
        <w:widowControl/>
        <w:spacing w:line="480" w:lineRule="exact"/>
        <w:ind w:firstLine="420" w:firstLineChars="200"/>
        <w:jc w:val="left"/>
      </w:pPr>
      <w:r>
        <w:rPr>
          <w:rFonts w:hint="eastAsia" w:ascii="宋体" w:hAnsi="宋体" w:cs="宋体"/>
          <w:color w:val="000000"/>
          <w:kern w:val="0"/>
          <w:szCs w:val="21"/>
        </w:rPr>
        <w:t>因设计原因导致调试达不到验收要求，买方应要求设计人修改设计，卖方按修改后的设计重新安装。买方承担修改设计、拆除及重新安装的全部费用，安装周期相应顺延。因卖方原因导致调试达不到验收要求，卖方按买方</w:t>
      </w:r>
      <w:r>
        <w:rPr>
          <w:color w:val="000000"/>
          <w:kern w:val="0"/>
          <w:szCs w:val="21"/>
        </w:rPr>
        <w:t>/</w:t>
      </w:r>
      <w:r>
        <w:rPr>
          <w:rFonts w:hint="eastAsia" w:ascii="宋体" w:hAnsi="宋体" w:cs="宋体"/>
          <w:color w:val="000000"/>
          <w:kern w:val="0"/>
          <w:szCs w:val="21"/>
        </w:rPr>
        <w:t xml:space="preserve">监理人（如有）要求重新安装和调试，并承担重新安装和调试的费用，安装周期不予顺延。 </w:t>
      </w:r>
    </w:p>
    <w:p>
      <w:pPr>
        <w:widowControl/>
        <w:spacing w:line="480" w:lineRule="exact"/>
        <w:ind w:firstLine="420" w:firstLineChars="200"/>
        <w:jc w:val="left"/>
      </w:pPr>
      <w:r>
        <w:rPr>
          <w:rFonts w:hint="eastAsia" w:ascii="宋体" w:hAnsi="宋体" w:cs="宋体"/>
          <w:color w:val="000000"/>
          <w:kern w:val="0"/>
          <w:szCs w:val="21"/>
        </w:rPr>
        <w:t xml:space="preserve">因设备本身原因导致调试达不到验收要求的，由卖方负责重新更换或修理，并负责拆除和重新安装，由此增加的修理、重新更换、拆除及重新安装的费用及延误的安装周期由卖方承担。 </w:t>
      </w:r>
    </w:p>
    <w:p>
      <w:pPr>
        <w:widowControl/>
        <w:spacing w:line="480" w:lineRule="exact"/>
        <w:ind w:firstLine="480" w:firstLineChars="200"/>
        <w:jc w:val="left"/>
      </w:pPr>
      <w:r>
        <w:rPr>
          <w:color w:val="000000"/>
          <w:kern w:val="0"/>
          <w:sz w:val="24"/>
        </w:rPr>
        <w:t xml:space="preserve">6.3 </w:t>
      </w:r>
      <w:r>
        <w:rPr>
          <w:rFonts w:ascii="黑体" w:hAnsi="宋体" w:eastAsia="黑体" w:cs="黑体"/>
          <w:color w:val="000000"/>
          <w:kern w:val="0"/>
          <w:sz w:val="24"/>
        </w:rPr>
        <w:t xml:space="preserve">考核 </w:t>
      </w:r>
    </w:p>
    <w:p>
      <w:pPr>
        <w:widowControl/>
        <w:spacing w:line="480" w:lineRule="exact"/>
        <w:ind w:firstLine="420" w:firstLineChars="200"/>
        <w:jc w:val="left"/>
      </w:pPr>
      <w:r>
        <w:rPr>
          <w:color w:val="000000"/>
          <w:kern w:val="0"/>
          <w:szCs w:val="21"/>
        </w:rPr>
        <w:t xml:space="preserve">6.3.1 </w:t>
      </w:r>
      <w:r>
        <w:rPr>
          <w:rFonts w:hint="eastAsia" w:ascii="宋体" w:hAnsi="宋体" w:cs="宋体"/>
          <w:color w:val="000000"/>
          <w:kern w:val="0"/>
          <w:szCs w:val="21"/>
        </w:rPr>
        <w:t xml:space="preserve">安装、调试完成后，双方应对合同设备进行考核，以确定合同设备是否达到合同约定的技术性能考核指标。除专用合同条款另有约定外，考核中合同设备运行需要的用水、用电、其他动力和原材料（如需要）等均由买方承担。 </w:t>
      </w:r>
    </w:p>
    <w:p>
      <w:pPr>
        <w:widowControl/>
        <w:spacing w:line="480" w:lineRule="exact"/>
        <w:ind w:firstLine="420" w:firstLineChars="200"/>
        <w:jc w:val="left"/>
      </w:pPr>
      <w:r>
        <w:rPr>
          <w:color w:val="000000"/>
          <w:kern w:val="0"/>
          <w:szCs w:val="21"/>
        </w:rPr>
        <w:t xml:space="preserve">6.3.2 </w:t>
      </w:r>
      <w:r>
        <w:rPr>
          <w:rFonts w:hint="eastAsia" w:ascii="宋体" w:hAnsi="宋体" w:cs="宋体"/>
          <w:color w:val="000000"/>
          <w:kern w:val="0"/>
          <w:szCs w:val="21"/>
        </w:rPr>
        <w:t xml:space="preserve">如由于卖方原因合同设备在考核中未能达到合同约定的技术性能考核指标，则卖方应在双方同意的期限内采取措施消除合同设备中存在的缺陷，并在缺陷消除以后，尽快进行再次考核。 </w:t>
      </w:r>
    </w:p>
    <w:p>
      <w:pPr>
        <w:widowControl/>
        <w:spacing w:line="480" w:lineRule="exact"/>
        <w:ind w:firstLine="420" w:firstLineChars="200"/>
        <w:jc w:val="left"/>
      </w:pPr>
      <w:r>
        <w:rPr>
          <w:color w:val="000000"/>
          <w:kern w:val="0"/>
          <w:szCs w:val="21"/>
        </w:rPr>
        <w:t xml:space="preserve">6.3.3 </w:t>
      </w:r>
      <w:r>
        <w:rPr>
          <w:rFonts w:hint="eastAsia" w:ascii="宋体" w:hAnsi="宋体" w:cs="宋体"/>
          <w:color w:val="000000"/>
          <w:kern w:val="0"/>
          <w:szCs w:val="21"/>
        </w:rPr>
        <w:t xml:space="preserve">由于卖方原因未能达到技术性能考核指标时，为卖方进行考核的机会不超过三次。如果由于卖方原因，三次考核均未能达到合同约定的技术性能考核指标，则买卖双方应就合同的后续履行进行协商，协商不成的，买方有权解除合同。但如合同中约定了或双方在考核中另行达成了合同设备的最低技术性能考核指标，且合同设备达到了最低技术性能考核指标的，视为合同设备已达到技术性能考核指标，买方无权解除合同，且应接受合同设备，但卖方应按专用合同条款的约定进行减价或向买方支付补偿金。 </w:t>
      </w:r>
    </w:p>
    <w:p>
      <w:pPr>
        <w:widowControl/>
        <w:spacing w:line="480" w:lineRule="exact"/>
        <w:ind w:firstLine="420" w:firstLineChars="200"/>
        <w:jc w:val="left"/>
      </w:pPr>
      <w:r>
        <w:rPr>
          <w:color w:val="000000"/>
          <w:kern w:val="0"/>
          <w:szCs w:val="21"/>
        </w:rPr>
        <w:t xml:space="preserve">6.3.4 </w:t>
      </w:r>
      <w:r>
        <w:rPr>
          <w:rFonts w:hint="eastAsia" w:ascii="宋体" w:hAnsi="宋体" w:cs="宋体"/>
          <w:color w:val="000000"/>
          <w:kern w:val="0"/>
          <w:szCs w:val="21"/>
        </w:rPr>
        <w:t xml:space="preserve">如由于买方原因合同设备在考核中未能达到合同约定的技术性能考核指标，则卖方应协助买方安排再次考核。由于买方原因未能达到技术性能考核指标时，为买方进行考核的机会不超三次。 </w:t>
      </w:r>
    </w:p>
    <w:p>
      <w:pPr>
        <w:widowControl/>
        <w:spacing w:line="480" w:lineRule="exact"/>
        <w:ind w:firstLine="420" w:firstLineChars="200"/>
        <w:jc w:val="left"/>
      </w:pPr>
      <w:r>
        <w:rPr>
          <w:color w:val="000000"/>
          <w:kern w:val="0"/>
          <w:szCs w:val="21"/>
        </w:rPr>
        <w:t xml:space="preserve">6.3.5 </w:t>
      </w:r>
      <w:r>
        <w:rPr>
          <w:rFonts w:hint="eastAsia" w:ascii="宋体" w:hAnsi="宋体" w:cs="宋体"/>
          <w:color w:val="000000"/>
          <w:kern w:val="0"/>
          <w:szCs w:val="21"/>
        </w:rPr>
        <w:t>考核期间，双方应及时共同记录合同设备的用水、用电、其他动力和原材料（如有）的使用及设备考核情况。对于未达到技术性能考核指标的，应如实记录设备表现、可能原因及处理情况等。</w:t>
      </w:r>
    </w:p>
    <w:p>
      <w:pPr>
        <w:widowControl/>
        <w:spacing w:line="480" w:lineRule="exact"/>
        <w:ind w:firstLine="480" w:firstLineChars="200"/>
        <w:jc w:val="left"/>
      </w:pPr>
      <w:r>
        <w:rPr>
          <w:color w:val="000000"/>
          <w:kern w:val="0"/>
          <w:sz w:val="24"/>
        </w:rPr>
        <w:t xml:space="preserve">6.4 </w:t>
      </w:r>
      <w:r>
        <w:rPr>
          <w:rFonts w:ascii="黑体" w:hAnsi="宋体" w:eastAsia="黑体" w:cs="黑体"/>
          <w:color w:val="000000"/>
          <w:kern w:val="0"/>
          <w:sz w:val="24"/>
        </w:rPr>
        <w:t xml:space="preserve">验收 </w:t>
      </w:r>
    </w:p>
    <w:p>
      <w:pPr>
        <w:widowControl/>
        <w:spacing w:line="480" w:lineRule="exact"/>
        <w:ind w:firstLine="420" w:firstLineChars="200"/>
        <w:jc w:val="left"/>
      </w:pPr>
      <w:r>
        <w:rPr>
          <w:color w:val="000000"/>
          <w:kern w:val="0"/>
          <w:szCs w:val="21"/>
        </w:rPr>
        <w:t xml:space="preserve">6.4.1 </w:t>
      </w:r>
      <w:r>
        <w:rPr>
          <w:rFonts w:hint="eastAsia" w:ascii="宋体" w:hAnsi="宋体" w:cs="宋体"/>
          <w:color w:val="000000"/>
          <w:kern w:val="0"/>
          <w:szCs w:val="21"/>
        </w:rPr>
        <w:t xml:space="preserve">如合同设备在考核中达到或视为达到技术性能考核指标，则买卖双方应在考核完成后 </w:t>
      </w:r>
      <w:r>
        <w:rPr>
          <w:color w:val="000000"/>
          <w:kern w:val="0"/>
          <w:szCs w:val="21"/>
        </w:rPr>
        <w:t xml:space="preserve">7 </w:t>
      </w:r>
      <w:r>
        <w:rPr>
          <w:rFonts w:hint="eastAsia" w:ascii="宋体" w:hAnsi="宋体" w:cs="宋体"/>
          <w:color w:val="000000"/>
          <w:kern w:val="0"/>
          <w:szCs w:val="21"/>
        </w:rPr>
        <w:t xml:space="preserve">日内或专用合同条款另行约定的时间内签署合同设备验收证书一式二份，双方各持一份。验收日期应为合同设备达到或视为达到技术性能考核指标的日期。 </w:t>
      </w:r>
    </w:p>
    <w:p>
      <w:pPr>
        <w:widowControl/>
        <w:spacing w:line="480" w:lineRule="exact"/>
        <w:ind w:firstLine="420" w:firstLineChars="200"/>
        <w:jc w:val="left"/>
      </w:pPr>
      <w:r>
        <w:rPr>
          <w:color w:val="000000"/>
          <w:kern w:val="0"/>
          <w:szCs w:val="21"/>
        </w:rPr>
        <w:t xml:space="preserve">6.4.2 </w:t>
      </w:r>
      <w:r>
        <w:rPr>
          <w:rFonts w:hint="eastAsia" w:ascii="宋体" w:hAnsi="宋体" w:cs="宋体"/>
          <w:color w:val="000000"/>
          <w:kern w:val="0"/>
          <w:szCs w:val="21"/>
        </w:rPr>
        <w:t xml:space="preserve">如由于买方原因合同设备在三次考核中均未能达到技术性能考核指标，买卖双方应在考核结束后 </w:t>
      </w:r>
      <w:r>
        <w:rPr>
          <w:color w:val="000000"/>
          <w:kern w:val="0"/>
          <w:szCs w:val="21"/>
        </w:rPr>
        <w:t xml:space="preserve">7 </w:t>
      </w:r>
      <w:r>
        <w:rPr>
          <w:rFonts w:hint="eastAsia" w:ascii="宋体" w:hAnsi="宋体" w:cs="宋体"/>
          <w:color w:val="000000"/>
          <w:kern w:val="0"/>
          <w:szCs w:val="21"/>
        </w:rPr>
        <w:t xml:space="preserve">日内或专用合同条款另行约定的时间内签署验收款支付函。除专用合同条款另有约定外，卖方有义务在验收款支付函签署后 </w:t>
      </w:r>
      <w:r>
        <w:rPr>
          <w:color w:val="000000"/>
          <w:kern w:val="0"/>
          <w:szCs w:val="21"/>
        </w:rPr>
        <w:t xml:space="preserve">12 </w:t>
      </w:r>
      <w:r>
        <w:rPr>
          <w:rFonts w:hint="eastAsia" w:ascii="宋体" w:hAnsi="宋体" w:cs="宋体"/>
          <w:color w:val="000000"/>
          <w:kern w:val="0"/>
          <w:szCs w:val="21"/>
        </w:rPr>
        <w:t xml:space="preserve">个月内应买方要求提供相关技术服务，协助买方采取一切必要措施使合同设备达到技术性能考核指标。买方应承担卖方因此产生的全部费用。 </w:t>
      </w:r>
    </w:p>
    <w:p>
      <w:pPr>
        <w:widowControl/>
        <w:spacing w:line="480" w:lineRule="exact"/>
        <w:ind w:firstLine="420" w:firstLineChars="200"/>
        <w:jc w:val="left"/>
      </w:pPr>
      <w:r>
        <w:rPr>
          <w:rFonts w:hint="eastAsia" w:ascii="宋体" w:hAnsi="宋体" w:cs="宋体"/>
          <w:color w:val="000000"/>
          <w:kern w:val="0"/>
          <w:szCs w:val="21"/>
        </w:rPr>
        <w:t xml:space="preserve">在上述 </w:t>
      </w:r>
      <w:r>
        <w:rPr>
          <w:color w:val="000000"/>
          <w:kern w:val="0"/>
          <w:szCs w:val="21"/>
        </w:rPr>
        <w:t xml:space="preserve">12 </w:t>
      </w:r>
      <w:r>
        <w:rPr>
          <w:rFonts w:hint="eastAsia" w:ascii="宋体" w:hAnsi="宋体" w:cs="宋体"/>
          <w:color w:val="000000"/>
          <w:kern w:val="0"/>
          <w:szCs w:val="21"/>
        </w:rPr>
        <w:t xml:space="preserve">个月的期限内，如合同设备经过考核达到或视为达到技术性能考核指标，则买卖双方应按照第 </w:t>
      </w:r>
      <w:r>
        <w:rPr>
          <w:color w:val="000000"/>
          <w:kern w:val="0"/>
          <w:szCs w:val="21"/>
        </w:rPr>
        <w:t xml:space="preserve">6.4.1 </w:t>
      </w:r>
      <w:r>
        <w:rPr>
          <w:rFonts w:hint="eastAsia" w:ascii="宋体" w:hAnsi="宋体" w:cs="宋体"/>
          <w:color w:val="000000"/>
          <w:kern w:val="0"/>
          <w:szCs w:val="21"/>
        </w:rPr>
        <w:t xml:space="preserve">项的约定签署合同设备验收证书。 </w:t>
      </w:r>
    </w:p>
    <w:p>
      <w:pPr>
        <w:widowControl/>
        <w:spacing w:line="480" w:lineRule="exact"/>
        <w:ind w:firstLine="420" w:firstLineChars="200"/>
        <w:jc w:val="left"/>
      </w:pPr>
      <w:r>
        <w:rPr>
          <w:color w:val="000000"/>
          <w:kern w:val="0"/>
          <w:szCs w:val="21"/>
        </w:rPr>
        <w:t xml:space="preserve">6.4.3 </w:t>
      </w:r>
      <w:r>
        <w:rPr>
          <w:rFonts w:hint="eastAsia" w:ascii="宋体" w:hAnsi="宋体" w:cs="宋体"/>
          <w:color w:val="000000"/>
          <w:kern w:val="0"/>
          <w:szCs w:val="21"/>
        </w:rPr>
        <w:t xml:space="preserve">除专用合同条款另有约定外，如由于买方原因在最后一批合同设备交货后 </w:t>
      </w:r>
      <w:r>
        <w:rPr>
          <w:color w:val="000000"/>
          <w:kern w:val="0"/>
          <w:szCs w:val="21"/>
        </w:rPr>
        <w:t xml:space="preserve">6 </w:t>
      </w:r>
      <w:r>
        <w:rPr>
          <w:rFonts w:hint="eastAsia" w:ascii="宋体" w:hAnsi="宋体" w:cs="宋体"/>
          <w:color w:val="000000"/>
          <w:kern w:val="0"/>
          <w:szCs w:val="21"/>
        </w:rPr>
        <w:t xml:space="preserve">个月内未能开始考核，则买卖双方应在上述期限届满后 </w:t>
      </w:r>
      <w:r>
        <w:rPr>
          <w:color w:val="000000"/>
          <w:kern w:val="0"/>
          <w:szCs w:val="21"/>
        </w:rPr>
        <w:t xml:space="preserve">7 </w:t>
      </w:r>
      <w:r>
        <w:rPr>
          <w:rFonts w:hint="eastAsia" w:ascii="宋体" w:hAnsi="宋体" w:cs="宋体"/>
          <w:color w:val="000000"/>
          <w:kern w:val="0"/>
          <w:szCs w:val="21"/>
        </w:rPr>
        <w:t xml:space="preserve">日内或专用合同条款另行约定的时间内签署验收款支付函。 </w:t>
      </w:r>
    </w:p>
    <w:p>
      <w:pPr>
        <w:widowControl/>
        <w:spacing w:line="480" w:lineRule="exact"/>
        <w:ind w:firstLine="420" w:firstLineChars="200"/>
        <w:jc w:val="left"/>
      </w:pPr>
      <w:r>
        <w:rPr>
          <w:rFonts w:hint="eastAsia" w:ascii="宋体" w:hAnsi="宋体" w:cs="宋体"/>
          <w:color w:val="000000"/>
          <w:kern w:val="0"/>
          <w:szCs w:val="21"/>
        </w:rPr>
        <w:t xml:space="preserve">除专用合同条款另有约定外，卖方有义务在验收款支付函签署后 </w:t>
      </w:r>
      <w:r>
        <w:rPr>
          <w:color w:val="000000"/>
          <w:kern w:val="0"/>
          <w:szCs w:val="21"/>
        </w:rPr>
        <w:t xml:space="preserve">6 </w:t>
      </w:r>
      <w:r>
        <w:rPr>
          <w:rFonts w:hint="eastAsia" w:ascii="宋体" w:hAnsi="宋体" w:cs="宋体"/>
          <w:color w:val="000000"/>
          <w:kern w:val="0"/>
          <w:szCs w:val="21"/>
        </w:rPr>
        <w:t xml:space="preserve">个月内应买方要求提供不超出合同范围的技术服务，协助买方采取一切必要措施使合同设备达到技术性能考核指标，且买方无需因此向卖方支付费用。 </w:t>
      </w:r>
    </w:p>
    <w:p>
      <w:pPr>
        <w:widowControl/>
        <w:spacing w:line="480" w:lineRule="exact"/>
        <w:ind w:firstLine="420" w:firstLineChars="200"/>
        <w:jc w:val="left"/>
      </w:pPr>
      <w:r>
        <w:rPr>
          <w:rFonts w:hint="eastAsia" w:ascii="宋体" w:hAnsi="宋体" w:cs="宋体"/>
          <w:color w:val="000000"/>
          <w:kern w:val="0"/>
          <w:szCs w:val="21"/>
        </w:rPr>
        <w:t xml:space="preserve">在上述 </w:t>
      </w:r>
      <w:r>
        <w:rPr>
          <w:color w:val="000000"/>
          <w:kern w:val="0"/>
          <w:szCs w:val="21"/>
        </w:rPr>
        <w:t xml:space="preserve">6 </w:t>
      </w:r>
      <w:r>
        <w:rPr>
          <w:rFonts w:hint="eastAsia" w:ascii="宋体" w:hAnsi="宋体" w:cs="宋体"/>
          <w:color w:val="000000"/>
          <w:kern w:val="0"/>
          <w:szCs w:val="21"/>
        </w:rPr>
        <w:t xml:space="preserve">个月的期限内，如合同设备经过考核达到或视为达到技术性能考核指标，则买卖双方应按照第 </w:t>
      </w:r>
      <w:r>
        <w:rPr>
          <w:color w:val="000000"/>
          <w:kern w:val="0"/>
          <w:szCs w:val="21"/>
        </w:rPr>
        <w:t xml:space="preserve">6.4.1 </w:t>
      </w:r>
      <w:r>
        <w:rPr>
          <w:rFonts w:hint="eastAsia" w:ascii="宋体" w:hAnsi="宋体" w:cs="宋体"/>
          <w:color w:val="000000"/>
          <w:kern w:val="0"/>
          <w:szCs w:val="21"/>
        </w:rPr>
        <w:t xml:space="preserve">项的约定签署合同设备验收证书。 </w:t>
      </w:r>
    </w:p>
    <w:p>
      <w:pPr>
        <w:widowControl/>
        <w:spacing w:line="480" w:lineRule="exact"/>
        <w:ind w:firstLine="420" w:firstLineChars="200"/>
        <w:jc w:val="left"/>
      </w:pPr>
      <w:r>
        <w:rPr>
          <w:color w:val="000000"/>
          <w:kern w:val="0"/>
          <w:szCs w:val="21"/>
        </w:rPr>
        <w:t xml:space="preserve">6.4.4 </w:t>
      </w:r>
      <w:r>
        <w:rPr>
          <w:rFonts w:hint="eastAsia" w:ascii="宋体" w:hAnsi="宋体" w:cs="宋体"/>
          <w:color w:val="000000"/>
          <w:kern w:val="0"/>
          <w:szCs w:val="21"/>
        </w:rPr>
        <w:t xml:space="preserve">在第 </w:t>
      </w:r>
      <w:r>
        <w:rPr>
          <w:color w:val="000000"/>
          <w:kern w:val="0"/>
          <w:szCs w:val="21"/>
        </w:rPr>
        <w:t xml:space="preserve">6.4.2 </w:t>
      </w:r>
      <w:r>
        <w:rPr>
          <w:rFonts w:hint="eastAsia" w:ascii="宋体" w:hAnsi="宋体" w:cs="宋体"/>
          <w:color w:val="000000"/>
          <w:kern w:val="0"/>
          <w:szCs w:val="21"/>
        </w:rPr>
        <w:t xml:space="preserve">项和第 </w:t>
      </w:r>
      <w:r>
        <w:rPr>
          <w:color w:val="000000"/>
          <w:kern w:val="0"/>
          <w:szCs w:val="21"/>
        </w:rPr>
        <w:t xml:space="preserve">6.4.3 </w:t>
      </w:r>
      <w:r>
        <w:rPr>
          <w:rFonts w:hint="eastAsia" w:ascii="宋体" w:hAnsi="宋体" w:cs="宋体"/>
          <w:color w:val="000000"/>
          <w:kern w:val="0"/>
          <w:szCs w:val="21"/>
        </w:rPr>
        <w:t xml:space="preserve">项情形下，卖方也可单方签署验收款支付函提交买方，如果买方在收到卖方签署的验收款支付函后 </w:t>
      </w:r>
      <w:r>
        <w:rPr>
          <w:color w:val="000000"/>
          <w:kern w:val="0"/>
          <w:szCs w:val="21"/>
        </w:rPr>
        <w:t xml:space="preserve">14 </w:t>
      </w:r>
      <w:r>
        <w:rPr>
          <w:rFonts w:hint="eastAsia" w:ascii="宋体" w:hAnsi="宋体" w:cs="宋体"/>
          <w:color w:val="000000"/>
          <w:kern w:val="0"/>
          <w:szCs w:val="21"/>
        </w:rPr>
        <w:t xml:space="preserve">日内未向卖方提出书面异议，则验收款支付函自签署之日起生效。 </w:t>
      </w:r>
    </w:p>
    <w:p>
      <w:pPr>
        <w:widowControl/>
        <w:spacing w:line="480" w:lineRule="exact"/>
        <w:ind w:firstLine="420" w:firstLineChars="200"/>
        <w:jc w:val="left"/>
      </w:pPr>
      <w:r>
        <w:rPr>
          <w:color w:val="000000"/>
          <w:kern w:val="0"/>
          <w:szCs w:val="21"/>
        </w:rPr>
        <w:t xml:space="preserve">6.4.5 </w:t>
      </w:r>
      <w:r>
        <w:rPr>
          <w:rFonts w:hint="eastAsia" w:ascii="宋体" w:hAnsi="宋体" w:cs="宋体"/>
          <w:color w:val="000000"/>
          <w:kern w:val="0"/>
          <w:szCs w:val="21"/>
        </w:rPr>
        <w:t xml:space="preserve">合同设备验收证书的签署不能免除卖方在质量保证期内对合同设备应承担的保证责任。 </w:t>
      </w:r>
    </w:p>
    <w:p>
      <w:pPr>
        <w:widowControl/>
        <w:spacing w:line="480" w:lineRule="exact"/>
        <w:ind w:firstLine="622" w:firstLineChars="200"/>
        <w:jc w:val="left"/>
      </w:pPr>
      <w:r>
        <w:rPr>
          <w:b/>
          <w:bCs/>
          <w:color w:val="000000"/>
          <w:kern w:val="0"/>
          <w:sz w:val="31"/>
          <w:szCs w:val="31"/>
        </w:rPr>
        <w:t xml:space="preserve">7. </w:t>
      </w:r>
      <w:r>
        <w:rPr>
          <w:rFonts w:hint="eastAsia" w:ascii="宋体" w:hAnsi="宋体" w:cs="宋体"/>
          <w:b/>
          <w:bCs/>
          <w:color w:val="000000"/>
          <w:kern w:val="0"/>
          <w:sz w:val="31"/>
          <w:szCs w:val="31"/>
        </w:rPr>
        <w:t xml:space="preserve">技术服务 </w:t>
      </w:r>
    </w:p>
    <w:p>
      <w:pPr>
        <w:widowControl/>
        <w:spacing w:line="480" w:lineRule="exact"/>
        <w:ind w:firstLine="420" w:firstLineChars="200"/>
        <w:jc w:val="left"/>
      </w:pPr>
      <w:r>
        <w:rPr>
          <w:color w:val="000000"/>
          <w:kern w:val="0"/>
          <w:szCs w:val="21"/>
        </w:rPr>
        <w:t xml:space="preserve">7.1 </w:t>
      </w:r>
      <w:r>
        <w:rPr>
          <w:rFonts w:hint="eastAsia" w:ascii="宋体" w:hAnsi="宋体" w:cs="宋体"/>
          <w:color w:val="000000"/>
          <w:kern w:val="0"/>
          <w:szCs w:val="21"/>
        </w:rPr>
        <w:t xml:space="preserve">卖方应派遣技术熟练、称职的技术人员到施工场地为买方提供技术服务。卖方的技术服务应符合合同的约定。 </w:t>
      </w:r>
    </w:p>
    <w:p>
      <w:pPr>
        <w:widowControl/>
        <w:spacing w:line="480" w:lineRule="exact"/>
        <w:ind w:firstLine="420" w:firstLineChars="200"/>
        <w:jc w:val="left"/>
      </w:pPr>
      <w:r>
        <w:rPr>
          <w:color w:val="000000"/>
          <w:kern w:val="0"/>
          <w:szCs w:val="21"/>
        </w:rPr>
        <w:t xml:space="preserve">7.2 </w:t>
      </w:r>
      <w:r>
        <w:rPr>
          <w:rFonts w:hint="eastAsia" w:ascii="宋体" w:hAnsi="宋体" w:cs="宋体"/>
          <w:color w:val="000000"/>
          <w:kern w:val="0"/>
          <w:szCs w:val="21"/>
        </w:rPr>
        <w:t xml:space="preserve">买方应免费为卖方技术人员提供工作条件及便利，包括但不限于必要的办公场所、技术资料及出入许可等。除专用合同条款另有约定外，卖方技术人员的交通、食宿费用由卖方承担。 </w:t>
      </w:r>
    </w:p>
    <w:p>
      <w:pPr>
        <w:widowControl/>
        <w:spacing w:line="480" w:lineRule="exact"/>
        <w:ind w:firstLine="420" w:firstLineChars="200"/>
        <w:jc w:val="left"/>
      </w:pPr>
      <w:r>
        <w:rPr>
          <w:color w:val="000000"/>
          <w:kern w:val="0"/>
          <w:szCs w:val="21"/>
        </w:rPr>
        <w:t xml:space="preserve">7.3 </w:t>
      </w:r>
      <w:r>
        <w:rPr>
          <w:rFonts w:hint="eastAsia" w:ascii="宋体" w:hAnsi="宋体" w:cs="宋体"/>
          <w:color w:val="000000"/>
          <w:kern w:val="0"/>
          <w:szCs w:val="21"/>
        </w:rPr>
        <w:t xml:space="preserve">卖方技术人员应遵守买方施工现场的各项规章制度和安全操作规程，并服从买方的现场管理。 </w:t>
      </w:r>
    </w:p>
    <w:p>
      <w:pPr>
        <w:widowControl/>
        <w:spacing w:line="480" w:lineRule="exact"/>
        <w:ind w:firstLine="420" w:firstLineChars="200"/>
        <w:jc w:val="left"/>
      </w:pPr>
      <w:r>
        <w:rPr>
          <w:color w:val="000000"/>
          <w:kern w:val="0"/>
          <w:szCs w:val="21"/>
        </w:rPr>
        <w:t xml:space="preserve">7.4 </w:t>
      </w:r>
      <w:r>
        <w:rPr>
          <w:rFonts w:hint="eastAsia" w:ascii="宋体" w:hAnsi="宋体" w:cs="宋体"/>
          <w:color w:val="000000"/>
          <w:kern w:val="0"/>
          <w:szCs w:val="21"/>
        </w:rPr>
        <w:t>如果任何技术人员不合格，买方有权要求卖方撤换，因撤换而产生的费用应由卖方承担。在不影响技术服务并且征得买方同意的条件下，卖方也可自负费用更换其技术人员。</w:t>
      </w:r>
    </w:p>
    <w:p>
      <w:pPr>
        <w:widowControl/>
        <w:spacing w:line="480" w:lineRule="exact"/>
        <w:ind w:firstLine="622" w:firstLineChars="200"/>
        <w:jc w:val="left"/>
      </w:pPr>
      <w:r>
        <w:rPr>
          <w:b/>
          <w:bCs/>
          <w:color w:val="000000"/>
          <w:kern w:val="0"/>
          <w:sz w:val="31"/>
          <w:szCs w:val="31"/>
        </w:rPr>
        <w:t xml:space="preserve">8. </w:t>
      </w:r>
      <w:r>
        <w:rPr>
          <w:rFonts w:hint="eastAsia" w:ascii="宋体" w:hAnsi="宋体" w:cs="宋体"/>
          <w:b/>
          <w:bCs/>
          <w:color w:val="000000"/>
          <w:kern w:val="0"/>
          <w:sz w:val="31"/>
          <w:szCs w:val="31"/>
        </w:rPr>
        <w:t xml:space="preserve">质量保证期 </w:t>
      </w:r>
    </w:p>
    <w:p>
      <w:pPr>
        <w:widowControl/>
        <w:spacing w:line="480" w:lineRule="exact"/>
        <w:ind w:firstLine="420" w:firstLineChars="200"/>
        <w:jc w:val="left"/>
      </w:pPr>
      <w:r>
        <w:rPr>
          <w:color w:val="000000"/>
          <w:kern w:val="0"/>
          <w:szCs w:val="21"/>
        </w:rPr>
        <w:t xml:space="preserve">8.1 </w:t>
      </w:r>
      <w:r>
        <w:rPr>
          <w:rFonts w:hint="eastAsia" w:ascii="宋体" w:hAnsi="宋体" w:cs="宋体"/>
          <w:color w:val="000000"/>
          <w:kern w:val="0"/>
          <w:szCs w:val="21"/>
        </w:rPr>
        <w:t xml:space="preserve">除专用合同条款和（或）供货要求等合同文件另有约定外，合同设备整体质量保证期为验收之日起 </w:t>
      </w:r>
      <w:r>
        <w:rPr>
          <w:color w:val="000000"/>
          <w:kern w:val="0"/>
          <w:szCs w:val="21"/>
        </w:rPr>
        <w:t xml:space="preserve">12 </w:t>
      </w:r>
      <w:r>
        <w:rPr>
          <w:rFonts w:hint="eastAsia" w:ascii="宋体" w:hAnsi="宋体" w:cs="宋体"/>
          <w:color w:val="000000"/>
          <w:kern w:val="0"/>
          <w:szCs w:val="21"/>
        </w:rPr>
        <w:t xml:space="preserve">个月。如对合同设备中关键部件的质量保证期有特殊要求的，买卖双方可在专用合同条款中约定。在合同第 </w:t>
      </w:r>
      <w:r>
        <w:rPr>
          <w:color w:val="000000"/>
          <w:kern w:val="0"/>
          <w:szCs w:val="21"/>
        </w:rPr>
        <w:t xml:space="preserve">6.4.2 </w:t>
      </w:r>
      <w:r>
        <w:rPr>
          <w:rFonts w:hint="eastAsia" w:ascii="宋体" w:hAnsi="宋体" w:cs="宋体"/>
          <w:color w:val="000000"/>
          <w:kern w:val="0"/>
          <w:szCs w:val="21"/>
        </w:rPr>
        <w:t xml:space="preserve">项情形下，无论合同设备何时验收，其质量保证期最长为签署验收款支付函后 </w:t>
      </w:r>
      <w:r>
        <w:rPr>
          <w:color w:val="000000"/>
          <w:kern w:val="0"/>
          <w:szCs w:val="21"/>
        </w:rPr>
        <w:t xml:space="preserve">12 </w:t>
      </w:r>
      <w:r>
        <w:rPr>
          <w:rFonts w:hint="eastAsia" w:ascii="宋体" w:hAnsi="宋体" w:cs="宋体"/>
          <w:color w:val="000000"/>
          <w:kern w:val="0"/>
          <w:szCs w:val="21"/>
        </w:rPr>
        <w:t xml:space="preserve">个月。在合同第 </w:t>
      </w:r>
      <w:r>
        <w:rPr>
          <w:color w:val="000000"/>
          <w:kern w:val="0"/>
          <w:szCs w:val="21"/>
        </w:rPr>
        <w:t xml:space="preserve">6.4.3 </w:t>
      </w:r>
      <w:r>
        <w:rPr>
          <w:rFonts w:hint="eastAsia" w:ascii="宋体" w:hAnsi="宋体" w:cs="宋体"/>
          <w:color w:val="000000"/>
          <w:kern w:val="0"/>
          <w:szCs w:val="21"/>
        </w:rPr>
        <w:t xml:space="preserve">项情形下，无论合同设备何时验收，其质量保证期最长为签署验收款支付函后 </w:t>
      </w:r>
      <w:r>
        <w:rPr>
          <w:color w:val="000000"/>
          <w:kern w:val="0"/>
          <w:szCs w:val="21"/>
        </w:rPr>
        <w:t xml:space="preserve">6 </w:t>
      </w:r>
      <w:r>
        <w:rPr>
          <w:rFonts w:hint="eastAsia" w:ascii="宋体" w:hAnsi="宋体" w:cs="宋体"/>
          <w:color w:val="000000"/>
          <w:kern w:val="0"/>
          <w:szCs w:val="21"/>
        </w:rPr>
        <w:t xml:space="preserve">个月。 </w:t>
      </w:r>
    </w:p>
    <w:p>
      <w:pPr>
        <w:widowControl/>
        <w:spacing w:line="480" w:lineRule="exact"/>
        <w:ind w:firstLine="420" w:firstLineChars="200"/>
        <w:jc w:val="left"/>
      </w:pPr>
      <w:r>
        <w:rPr>
          <w:color w:val="000000"/>
          <w:kern w:val="0"/>
          <w:szCs w:val="21"/>
        </w:rPr>
        <w:t xml:space="preserve">8.2 </w:t>
      </w:r>
      <w:r>
        <w:rPr>
          <w:rFonts w:hint="eastAsia" w:ascii="宋体" w:hAnsi="宋体" w:cs="宋体"/>
          <w:color w:val="000000"/>
          <w:kern w:val="0"/>
          <w:szCs w:val="21"/>
        </w:rPr>
        <w:t>在质量保证期内如果合同设备出现故障，卖方应</w:t>
      </w:r>
      <w:r>
        <w:rPr>
          <w:rFonts w:hint="eastAsia" w:ascii="宋体" w:hAnsi="宋体" w:cs="宋体"/>
          <w:color w:val="000000"/>
          <w:kern w:val="0"/>
          <w:szCs w:val="21"/>
          <w:lang w:eastAsia="zh-CN"/>
        </w:rPr>
        <w:t>自付</w:t>
      </w:r>
      <w:r>
        <w:rPr>
          <w:rFonts w:hint="eastAsia" w:ascii="宋体" w:hAnsi="宋体" w:cs="宋体"/>
          <w:color w:val="000000"/>
          <w:kern w:val="0"/>
          <w:szCs w:val="21"/>
        </w:rPr>
        <w:t xml:space="preserve">费用提供质保期服务，对相关合同设备进行修理或更换以消除故障。更换的合同设备和（或）关键部件的质量保证期应重新计算。但如果合同设备的故障是由于买方原因造成的，则对合同设备进行修理和更换的费用应由买方承担。 </w:t>
      </w:r>
    </w:p>
    <w:p>
      <w:pPr>
        <w:widowControl/>
        <w:spacing w:line="480" w:lineRule="exact"/>
        <w:ind w:firstLine="420" w:firstLineChars="200"/>
        <w:jc w:val="left"/>
      </w:pPr>
      <w:r>
        <w:rPr>
          <w:color w:val="000000"/>
          <w:kern w:val="0"/>
          <w:szCs w:val="21"/>
        </w:rPr>
        <w:t xml:space="preserve">8.3 </w:t>
      </w:r>
      <w:r>
        <w:rPr>
          <w:rFonts w:hint="eastAsia" w:ascii="宋体" w:hAnsi="宋体" w:cs="宋体"/>
          <w:color w:val="000000"/>
          <w:kern w:val="0"/>
          <w:szCs w:val="21"/>
        </w:rPr>
        <w:t xml:space="preserve">质量保证期届满后，买方应在 </w:t>
      </w:r>
      <w:r>
        <w:rPr>
          <w:color w:val="000000"/>
          <w:kern w:val="0"/>
          <w:szCs w:val="21"/>
        </w:rPr>
        <w:t xml:space="preserve">7 </w:t>
      </w:r>
      <w:r>
        <w:rPr>
          <w:rFonts w:hint="eastAsia" w:ascii="宋体" w:hAnsi="宋体" w:cs="宋体"/>
          <w:color w:val="000000"/>
          <w:kern w:val="0"/>
          <w:szCs w:val="21"/>
        </w:rPr>
        <w:t xml:space="preserve">日内或专用合同条款另行约定的时间内向卖方出具合同设备的质量保证期届满证书。 </w:t>
      </w:r>
    </w:p>
    <w:p>
      <w:pPr>
        <w:widowControl/>
        <w:spacing w:line="480" w:lineRule="exact"/>
        <w:ind w:firstLine="420" w:firstLineChars="200"/>
        <w:jc w:val="left"/>
      </w:pPr>
      <w:r>
        <w:rPr>
          <w:color w:val="000000"/>
          <w:kern w:val="0"/>
          <w:szCs w:val="21"/>
        </w:rPr>
        <w:t xml:space="preserve">8.4 </w:t>
      </w:r>
      <w:r>
        <w:rPr>
          <w:rFonts w:hint="eastAsia" w:ascii="宋体" w:hAnsi="宋体" w:cs="宋体"/>
          <w:color w:val="000000"/>
          <w:kern w:val="0"/>
          <w:szCs w:val="21"/>
        </w:rPr>
        <w:t xml:space="preserve">在合同第 </w:t>
      </w:r>
      <w:r>
        <w:rPr>
          <w:color w:val="000000"/>
          <w:kern w:val="0"/>
          <w:szCs w:val="21"/>
        </w:rPr>
        <w:t xml:space="preserve">6.4.2 </w:t>
      </w:r>
      <w:r>
        <w:rPr>
          <w:rFonts w:hint="eastAsia" w:ascii="宋体" w:hAnsi="宋体" w:cs="宋体"/>
          <w:color w:val="000000"/>
          <w:kern w:val="0"/>
          <w:szCs w:val="21"/>
        </w:rPr>
        <w:t xml:space="preserve">项情形下，如在验收款支付函签署后 </w:t>
      </w:r>
      <w:r>
        <w:rPr>
          <w:color w:val="000000"/>
          <w:kern w:val="0"/>
          <w:szCs w:val="21"/>
        </w:rPr>
        <w:t xml:space="preserve">12 </w:t>
      </w:r>
      <w:r>
        <w:rPr>
          <w:rFonts w:hint="eastAsia" w:ascii="宋体" w:hAnsi="宋体" w:cs="宋体"/>
          <w:color w:val="000000"/>
          <w:kern w:val="0"/>
          <w:szCs w:val="21"/>
        </w:rPr>
        <w:t xml:space="preserve">个月内由于买方原因合同设备仍未能达到技术性能考核指标，则买卖双方应在该 </w:t>
      </w:r>
      <w:r>
        <w:rPr>
          <w:color w:val="000000"/>
          <w:kern w:val="0"/>
          <w:szCs w:val="21"/>
        </w:rPr>
        <w:t xml:space="preserve">12 </w:t>
      </w:r>
      <w:r>
        <w:rPr>
          <w:rFonts w:hint="eastAsia" w:ascii="宋体" w:hAnsi="宋体" w:cs="宋体"/>
          <w:color w:val="000000"/>
          <w:kern w:val="0"/>
          <w:szCs w:val="21"/>
        </w:rPr>
        <w:t xml:space="preserve">个月届满后 </w:t>
      </w:r>
      <w:r>
        <w:rPr>
          <w:color w:val="000000"/>
          <w:kern w:val="0"/>
          <w:szCs w:val="21"/>
        </w:rPr>
        <w:t xml:space="preserve">7 </w:t>
      </w:r>
      <w:r>
        <w:rPr>
          <w:rFonts w:hint="eastAsia" w:ascii="宋体" w:hAnsi="宋体" w:cs="宋体"/>
          <w:color w:val="000000"/>
          <w:kern w:val="0"/>
          <w:szCs w:val="21"/>
        </w:rPr>
        <w:t xml:space="preserve">日内或专用合同条款另行约定的时间内签署结清款支付函。 </w:t>
      </w:r>
    </w:p>
    <w:p>
      <w:pPr>
        <w:widowControl/>
        <w:spacing w:line="480" w:lineRule="exact"/>
        <w:ind w:firstLine="420" w:firstLineChars="200"/>
        <w:jc w:val="left"/>
      </w:pPr>
      <w:r>
        <w:rPr>
          <w:color w:val="000000"/>
          <w:kern w:val="0"/>
          <w:szCs w:val="21"/>
        </w:rPr>
        <w:t xml:space="preserve">8.5 </w:t>
      </w:r>
      <w:r>
        <w:rPr>
          <w:rFonts w:hint="eastAsia" w:ascii="宋体" w:hAnsi="宋体" w:cs="宋体"/>
          <w:color w:val="000000"/>
          <w:kern w:val="0"/>
          <w:szCs w:val="21"/>
        </w:rPr>
        <w:t xml:space="preserve">在合同第 </w:t>
      </w:r>
      <w:r>
        <w:rPr>
          <w:color w:val="000000"/>
          <w:kern w:val="0"/>
          <w:szCs w:val="21"/>
        </w:rPr>
        <w:t xml:space="preserve">6.4.3 </w:t>
      </w:r>
      <w:r>
        <w:rPr>
          <w:rFonts w:hint="eastAsia" w:ascii="宋体" w:hAnsi="宋体" w:cs="宋体"/>
          <w:color w:val="000000"/>
          <w:kern w:val="0"/>
          <w:szCs w:val="21"/>
        </w:rPr>
        <w:t xml:space="preserve">项情形下，如在验收款支付函签署后 </w:t>
      </w:r>
      <w:r>
        <w:rPr>
          <w:color w:val="000000"/>
          <w:kern w:val="0"/>
          <w:szCs w:val="21"/>
        </w:rPr>
        <w:t xml:space="preserve">6 </w:t>
      </w:r>
      <w:r>
        <w:rPr>
          <w:rFonts w:hint="eastAsia" w:ascii="宋体" w:hAnsi="宋体" w:cs="宋体"/>
          <w:color w:val="000000"/>
          <w:kern w:val="0"/>
          <w:szCs w:val="21"/>
        </w:rPr>
        <w:t xml:space="preserve">个月内由于买方原因合同设备仍未进行考核或仍未达到技术性能考核指标，则买卖双方应在该 </w:t>
      </w:r>
      <w:r>
        <w:rPr>
          <w:color w:val="000000"/>
          <w:kern w:val="0"/>
          <w:szCs w:val="21"/>
        </w:rPr>
        <w:t>6</w:t>
      </w:r>
      <w:r>
        <w:rPr>
          <w:rFonts w:hint="eastAsia" w:ascii="宋体" w:hAnsi="宋体" w:cs="宋体"/>
          <w:color w:val="000000"/>
          <w:kern w:val="0"/>
          <w:szCs w:val="21"/>
        </w:rPr>
        <w:t xml:space="preserve">个月届满后 </w:t>
      </w:r>
      <w:r>
        <w:rPr>
          <w:color w:val="000000"/>
          <w:kern w:val="0"/>
          <w:szCs w:val="21"/>
        </w:rPr>
        <w:t xml:space="preserve">7 </w:t>
      </w:r>
      <w:r>
        <w:rPr>
          <w:rFonts w:hint="eastAsia" w:ascii="宋体" w:hAnsi="宋体" w:cs="宋体"/>
          <w:color w:val="000000"/>
          <w:kern w:val="0"/>
          <w:szCs w:val="21"/>
        </w:rPr>
        <w:t xml:space="preserve">日内或专用合同条款另行约定的时间内签署结清款支付函。 </w:t>
      </w:r>
    </w:p>
    <w:p>
      <w:pPr>
        <w:widowControl/>
        <w:spacing w:line="480" w:lineRule="exact"/>
        <w:ind w:firstLine="420" w:firstLineChars="200"/>
        <w:jc w:val="left"/>
      </w:pPr>
      <w:r>
        <w:rPr>
          <w:color w:val="000000"/>
          <w:kern w:val="0"/>
          <w:szCs w:val="21"/>
        </w:rPr>
        <w:t xml:space="preserve">8.6 </w:t>
      </w:r>
      <w:r>
        <w:rPr>
          <w:rFonts w:hint="eastAsia" w:ascii="宋体" w:hAnsi="宋体" w:cs="宋体"/>
          <w:color w:val="000000"/>
          <w:kern w:val="0"/>
          <w:szCs w:val="21"/>
        </w:rPr>
        <w:t xml:space="preserve">在第 </w:t>
      </w:r>
      <w:r>
        <w:rPr>
          <w:color w:val="000000"/>
          <w:kern w:val="0"/>
          <w:szCs w:val="21"/>
        </w:rPr>
        <w:t xml:space="preserve">8.4 </w:t>
      </w:r>
      <w:r>
        <w:rPr>
          <w:rFonts w:hint="eastAsia" w:ascii="宋体" w:hAnsi="宋体" w:cs="宋体"/>
          <w:color w:val="000000"/>
          <w:kern w:val="0"/>
          <w:szCs w:val="21"/>
        </w:rPr>
        <w:t xml:space="preserve">款和第 </w:t>
      </w:r>
      <w:r>
        <w:rPr>
          <w:color w:val="000000"/>
          <w:kern w:val="0"/>
          <w:szCs w:val="21"/>
        </w:rPr>
        <w:t xml:space="preserve">8.5 </w:t>
      </w:r>
      <w:r>
        <w:rPr>
          <w:rFonts w:hint="eastAsia" w:ascii="宋体" w:hAnsi="宋体" w:cs="宋体"/>
          <w:color w:val="000000"/>
          <w:kern w:val="0"/>
          <w:szCs w:val="21"/>
        </w:rPr>
        <w:t xml:space="preserve">款情形下，卖方也可单方签署结清款支付函提交买方，如果买方在收到卖方签署的结清款支付函后 </w:t>
      </w:r>
      <w:r>
        <w:rPr>
          <w:color w:val="000000"/>
          <w:kern w:val="0"/>
          <w:szCs w:val="21"/>
        </w:rPr>
        <w:t xml:space="preserve">14 </w:t>
      </w:r>
      <w:r>
        <w:rPr>
          <w:rFonts w:hint="eastAsia" w:ascii="宋体" w:hAnsi="宋体" w:cs="宋体"/>
          <w:color w:val="000000"/>
          <w:kern w:val="0"/>
          <w:szCs w:val="21"/>
        </w:rPr>
        <w:t xml:space="preserve">日内未向卖方提出书面异议，则结清款支付函自签署之日起生效。 </w:t>
      </w:r>
    </w:p>
    <w:p>
      <w:pPr>
        <w:widowControl/>
        <w:spacing w:line="480" w:lineRule="exact"/>
        <w:ind w:firstLine="622" w:firstLineChars="200"/>
        <w:jc w:val="left"/>
      </w:pPr>
      <w:r>
        <w:rPr>
          <w:b/>
          <w:bCs/>
          <w:color w:val="000000"/>
          <w:kern w:val="0"/>
          <w:sz w:val="31"/>
          <w:szCs w:val="31"/>
        </w:rPr>
        <w:t xml:space="preserve">9. </w:t>
      </w:r>
      <w:r>
        <w:rPr>
          <w:rFonts w:hint="eastAsia" w:ascii="宋体" w:hAnsi="宋体" w:cs="宋体"/>
          <w:b/>
          <w:bCs/>
          <w:color w:val="000000"/>
          <w:kern w:val="0"/>
          <w:sz w:val="31"/>
          <w:szCs w:val="31"/>
        </w:rPr>
        <w:t xml:space="preserve">质保期服务 </w:t>
      </w:r>
    </w:p>
    <w:p>
      <w:pPr>
        <w:widowControl/>
        <w:spacing w:line="480" w:lineRule="exact"/>
        <w:ind w:firstLine="420" w:firstLineChars="200"/>
        <w:jc w:val="left"/>
      </w:pPr>
      <w:r>
        <w:rPr>
          <w:color w:val="000000"/>
          <w:kern w:val="0"/>
          <w:szCs w:val="21"/>
        </w:rPr>
        <w:t xml:space="preserve">9.1 </w:t>
      </w:r>
      <w:r>
        <w:rPr>
          <w:rFonts w:hint="eastAsia" w:ascii="宋体" w:hAnsi="宋体" w:cs="宋体"/>
          <w:color w:val="000000"/>
          <w:kern w:val="0"/>
          <w:szCs w:val="21"/>
        </w:rPr>
        <w:t xml:space="preserve">卖方应为质保期服务配备充足的技术人员、工具和备件并保证提供的联系方式畅通。除专用合同条款和（或）供货要求等合同文件另有约定外，卖方应在收到买方通知后 </w:t>
      </w:r>
      <w:r>
        <w:rPr>
          <w:color w:val="000000"/>
          <w:kern w:val="0"/>
          <w:szCs w:val="21"/>
        </w:rPr>
        <w:t xml:space="preserve">24 </w:t>
      </w:r>
      <w:r>
        <w:rPr>
          <w:rFonts w:hint="eastAsia" w:ascii="宋体" w:hAnsi="宋体" w:cs="宋体"/>
          <w:color w:val="000000"/>
          <w:kern w:val="0"/>
          <w:szCs w:val="21"/>
        </w:rPr>
        <w:t xml:space="preserve">小时内做出响应，如需卖方到合同设备现场，卖方应在收到买方通知后 </w:t>
      </w:r>
      <w:r>
        <w:rPr>
          <w:color w:val="000000"/>
          <w:kern w:val="0"/>
          <w:szCs w:val="21"/>
        </w:rPr>
        <w:t xml:space="preserve">48 </w:t>
      </w:r>
      <w:r>
        <w:rPr>
          <w:rFonts w:hint="eastAsia" w:ascii="宋体" w:hAnsi="宋体" w:cs="宋体"/>
          <w:color w:val="000000"/>
          <w:kern w:val="0"/>
          <w:szCs w:val="21"/>
        </w:rPr>
        <w:t xml:space="preserve">小时内到达，并在到达后 </w:t>
      </w:r>
      <w:r>
        <w:rPr>
          <w:color w:val="000000"/>
          <w:kern w:val="0"/>
          <w:szCs w:val="21"/>
        </w:rPr>
        <w:t xml:space="preserve">7 </w:t>
      </w:r>
      <w:r>
        <w:rPr>
          <w:rFonts w:hint="eastAsia" w:ascii="宋体" w:hAnsi="宋体" w:cs="宋体"/>
          <w:color w:val="000000"/>
          <w:kern w:val="0"/>
          <w:szCs w:val="21"/>
        </w:rPr>
        <w:t xml:space="preserve">日内解决合同设备的故障（重大故障除外）。如果卖方未在上述时间内作出响应，则买方有权自行或委托他人解决相关问题或查找和解决合同设备的故障，卖方应承担由此发生的全部费用。 </w:t>
      </w:r>
    </w:p>
    <w:p>
      <w:pPr>
        <w:widowControl/>
        <w:spacing w:line="480" w:lineRule="exact"/>
        <w:ind w:firstLine="420" w:firstLineChars="200"/>
        <w:jc w:val="left"/>
      </w:pPr>
      <w:r>
        <w:rPr>
          <w:color w:val="000000"/>
          <w:kern w:val="0"/>
          <w:szCs w:val="21"/>
        </w:rPr>
        <w:t xml:space="preserve">9.2 </w:t>
      </w:r>
      <w:r>
        <w:rPr>
          <w:rFonts w:hint="eastAsia" w:ascii="宋体" w:hAnsi="宋体" w:cs="宋体"/>
          <w:color w:val="000000"/>
          <w:kern w:val="0"/>
          <w:szCs w:val="21"/>
        </w:rPr>
        <w:t xml:space="preserve">如卖方技术人员需到合同设备现场进行质保期服务，则买方应免费为卖方技术人员提供工作条件及便利，包括但不限于必要的办公场所、技术资料及出入许可等。除专用合同条款另有约定外，卖方技术人员的交通、食宿费用由卖方承担。卖方技术人员应遵守买方施工现场的各项规章制度和安全操作规程，并服从买方的现场管理。 </w:t>
      </w:r>
    </w:p>
    <w:p>
      <w:pPr>
        <w:widowControl/>
        <w:spacing w:line="480" w:lineRule="exact"/>
        <w:ind w:firstLine="420" w:firstLineChars="200"/>
        <w:jc w:val="left"/>
      </w:pPr>
      <w:r>
        <w:rPr>
          <w:color w:val="000000"/>
          <w:kern w:val="0"/>
          <w:szCs w:val="21"/>
        </w:rPr>
        <w:t xml:space="preserve">9.3 </w:t>
      </w:r>
      <w:r>
        <w:rPr>
          <w:rFonts w:hint="eastAsia" w:ascii="宋体" w:hAnsi="宋体" w:cs="宋体"/>
          <w:color w:val="000000"/>
          <w:kern w:val="0"/>
          <w:szCs w:val="21"/>
        </w:rPr>
        <w:t xml:space="preserve">如果任何技术人员不合格，买方有权要求卖方撤换，因撤换而产生的费用应由卖方承担。在不影响质保期服务并且征得买方同意的条件下，卖方也可自负费用更换其技术人员。 </w:t>
      </w:r>
    </w:p>
    <w:p>
      <w:pPr>
        <w:widowControl/>
        <w:spacing w:line="480" w:lineRule="exact"/>
        <w:ind w:firstLine="420" w:firstLineChars="200"/>
        <w:jc w:val="left"/>
      </w:pPr>
      <w:r>
        <w:rPr>
          <w:color w:val="000000"/>
          <w:kern w:val="0"/>
          <w:szCs w:val="21"/>
        </w:rPr>
        <w:t xml:space="preserve">9.4 </w:t>
      </w:r>
      <w:r>
        <w:rPr>
          <w:rFonts w:hint="eastAsia" w:ascii="宋体" w:hAnsi="宋体" w:cs="宋体"/>
          <w:color w:val="000000"/>
          <w:kern w:val="0"/>
          <w:szCs w:val="21"/>
        </w:rPr>
        <w:t xml:space="preserve">除专用合同条款另有约定外，卖方应就在施工现场进行质保期服务的情况进行记录，记载合同设备故障发生的时间、原因及解决情况等，由买方签字确认，并在质量保证期结束后提交给买方。 </w:t>
      </w:r>
    </w:p>
    <w:p>
      <w:pPr>
        <w:widowControl/>
        <w:spacing w:line="480" w:lineRule="exact"/>
        <w:ind w:firstLine="622" w:firstLineChars="200"/>
        <w:jc w:val="left"/>
      </w:pPr>
      <w:r>
        <w:rPr>
          <w:b/>
          <w:bCs/>
          <w:color w:val="000000"/>
          <w:kern w:val="0"/>
          <w:sz w:val="31"/>
          <w:szCs w:val="31"/>
        </w:rPr>
        <w:t xml:space="preserve">10. </w:t>
      </w:r>
      <w:r>
        <w:rPr>
          <w:rFonts w:hint="eastAsia" w:ascii="宋体" w:hAnsi="宋体" w:cs="宋体"/>
          <w:b/>
          <w:bCs/>
          <w:color w:val="000000"/>
          <w:kern w:val="0"/>
          <w:sz w:val="31"/>
          <w:szCs w:val="31"/>
        </w:rPr>
        <w:t xml:space="preserve">履约保证金 </w:t>
      </w:r>
    </w:p>
    <w:p>
      <w:pPr>
        <w:widowControl/>
        <w:spacing w:line="480" w:lineRule="exact"/>
        <w:ind w:firstLine="420" w:firstLineChars="200"/>
        <w:jc w:val="left"/>
      </w:pPr>
      <w:r>
        <w:rPr>
          <w:rFonts w:hint="eastAsia" w:ascii="宋体" w:hAnsi="宋体" w:cs="宋体"/>
          <w:color w:val="000000"/>
          <w:kern w:val="0"/>
          <w:szCs w:val="21"/>
        </w:rPr>
        <w:t xml:space="preserve">除专用合同条款另有约定外，履约保证金自合同生效之日起生效，在合同设备验收证书或验收款支付函签署之日起 </w:t>
      </w:r>
      <w:r>
        <w:rPr>
          <w:color w:val="000000"/>
          <w:kern w:val="0"/>
          <w:szCs w:val="21"/>
        </w:rPr>
        <w:t xml:space="preserve">28 </w:t>
      </w:r>
      <w:r>
        <w:rPr>
          <w:rFonts w:hint="eastAsia" w:ascii="宋体" w:hAnsi="宋体" w:cs="宋体"/>
          <w:color w:val="000000"/>
          <w:kern w:val="0"/>
          <w:szCs w:val="21"/>
        </w:rPr>
        <w:t xml:space="preserve">日后失效。如果卖方不履行合同约定的义务或其履行不符合合同的约定，买方有权扣划相应金额的履约保证金。 </w:t>
      </w:r>
    </w:p>
    <w:p>
      <w:pPr>
        <w:widowControl/>
        <w:spacing w:line="480" w:lineRule="exact"/>
        <w:ind w:firstLine="622" w:firstLineChars="200"/>
        <w:jc w:val="left"/>
      </w:pPr>
      <w:r>
        <w:rPr>
          <w:b/>
          <w:bCs/>
          <w:color w:val="000000"/>
          <w:kern w:val="0"/>
          <w:sz w:val="31"/>
          <w:szCs w:val="31"/>
        </w:rPr>
        <w:t xml:space="preserve">11. </w:t>
      </w:r>
      <w:r>
        <w:rPr>
          <w:rFonts w:hint="eastAsia" w:ascii="宋体" w:hAnsi="宋体" w:cs="宋体"/>
          <w:b/>
          <w:bCs/>
          <w:color w:val="000000"/>
          <w:kern w:val="0"/>
          <w:sz w:val="31"/>
          <w:szCs w:val="31"/>
        </w:rPr>
        <w:t xml:space="preserve">保证 </w:t>
      </w:r>
    </w:p>
    <w:p>
      <w:pPr>
        <w:widowControl/>
        <w:spacing w:line="480" w:lineRule="exact"/>
        <w:ind w:firstLine="420" w:firstLineChars="200"/>
        <w:jc w:val="left"/>
      </w:pPr>
      <w:r>
        <w:rPr>
          <w:color w:val="000000"/>
          <w:kern w:val="0"/>
          <w:szCs w:val="21"/>
        </w:rPr>
        <w:t xml:space="preserve">11.1 </w:t>
      </w:r>
      <w:r>
        <w:rPr>
          <w:rFonts w:hint="eastAsia" w:ascii="宋体" w:hAnsi="宋体" w:cs="宋体"/>
          <w:color w:val="000000"/>
          <w:kern w:val="0"/>
          <w:szCs w:val="21"/>
        </w:rPr>
        <w:t xml:space="preserve">卖方保证其具有完全的能力履行本合同项下的全部义务。 </w:t>
      </w:r>
    </w:p>
    <w:p>
      <w:pPr>
        <w:widowControl/>
        <w:spacing w:line="480" w:lineRule="exact"/>
        <w:ind w:firstLine="420" w:firstLineChars="200"/>
        <w:jc w:val="left"/>
      </w:pPr>
      <w:r>
        <w:rPr>
          <w:color w:val="000000"/>
          <w:kern w:val="0"/>
          <w:szCs w:val="21"/>
        </w:rPr>
        <w:t xml:space="preserve">11.2 </w:t>
      </w:r>
      <w:r>
        <w:rPr>
          <w:rFonts w:hint="eastAsia" w:ascii="宋体" w:hAnsi="宋体" w:cs="宋体"/>
          <w:color w:val="000000"/>
          <w:kern w:val="0"/>
          <w:szCs w:val="21"/>
        </w:rPr>
        <w:t xml:space="preserve">卖方保证其所提供的合同设备及对合同的履行符合所有应适用的法律、行政法规、地方性法规、自治条例和单行条例、规章及其他规范性文件的强制性规定。 </w:t>
      </w:r>
    </w:p>
    <w:p>
      <w:pPr>
        <w:widowControl/>
        <w:spacing w:line="480" w:lineRule="exact"/>
        <w:ind w:firstLine="420" w:firstLineChars="200"/>
        <w:jc w:val="left"/>
      </w:pPr>
      <w:r>
        <w:rPr>
          <w:color w:val="000000"/>
          <w:kern w:val="0"/>
          <w:szCs w:val="21"/>
        </w:rPr>
        <w:t xml:space="preserve">11.3 </w:t>
      </w:r>
      <w:r>
        <w:rPr>
          <w:rFonts w:hint="eastAsia" w:ascii="宋体" w:hAnsi="宋体" w:cs="宋体"/>
          <w:color w:val="000000"/>
          <w:kern w:val="0"/>
          <w:szCs w:val="21"/>
        </w:rPr>
        <w:t xml:space="preserve">卖方保证其对合同设备的销售不损害任何第三方的合法权益和社会公众利益。任何第三方不会因卖方原因而基于所有权、抵押权、留置权或其他任何权利或事由对合同设备主张权利。 </w:t>
      </w:r>
    </w:p>
    <w:p>
      <w:pPr>
        <w:widowControl/>
        <w:spacing w:line="480" w:lineRule="exact"/>
        <w:ind w:firstLine="420" w:firstLineChars="200"/>
        <w:jc w:val="left"/>
      </w:pPr>
      <w:r>
        <w:rPr>
          <w:color w:val="000000"/>
          <w:kern w:val="0"/>
          <w:szCs w:val="21"/>
        </w:rPr>
        <w:t xml:space="preserve">11.4 </w:t>
      </w:r>
      <w:r>
        <w:rPr>
          <w:rFonts w:hint="eastAsia" w:ascii="宋体" w:hAnsi="宋体" w:cs="宋体"/>
          <w:color w:val="000000"/>
          <w:kern w:val="0"/>
          <w:szCs w:val="21"/>
        </w:rPr>
        <w:t xml:space="preserve">卖方保证合同设备符合合同约定的规格、标准、技术性能考核指标等，能够安全和稳定地运行，且合同设备（包括全部部件）全新、完整、未使用过，除非专用合同条款和（或）供货要求等合同文件另有约定。 </w:t>
      </w:r>
    </w:p>
    <w:p>
      <w:pPr>
        <w:widowControl/>
        <w:spacing w:line="480" w:lineRule="exact"/>
        <w:ind w:firstLine="420" w:firstLineChars="200"/>
        <w:jc w:val="left"/>
      </w:pPr>
      <w:r>
        <w:rPr>
          <w:color w:val="000000"/>
          <w:kern w:val="0"/>
          <w:szCs w:val="21"/>
        </w:rPr>
        <w:t xml:space="preserve">11.5 </w:t>
      </w:r>
      <w:r>
        <w:rPr>
          <w:rFonts w:hint="eastAsia" w:ascii="宋体" w:hAnsi="宋体" w:cs="宋体"/>
          <w:color w:val="000000"/>
          <w:kern w:val="0"/>
          <w:szCs w:val="21"/>
        </w:rPr>
        <w:t xml:space="preserve">卖方保证，卖方所提供的技术资料完整、清晰、准确，符合合同约定并且能够满足合同设备的安装、调试、考核、操作以及维修和保养的需要。 </w:t>
      </w:r>
    </w:p>
    <w:p>
      <w:pPr>
        <w:widowControl/>
        <w:spacing w:line="480" w:lineRule="exact"/>
        <w:ind w:firstLine="420" w:firstLineChars="200"/>
        <w:jc w:val="left"/>
      </w:pPr>
      <w:r>
        <w:rPr>
          <w:color w:val="000000"/>
          <w:kern w:val="0"/>
          <w:szCs w:val="21"/>
        </w:rPr>
        <w:t xml:space="preserve">11.6 </w:t>
      </w:r>
      <w:r>
        <w:rPr>
          <w:rFonts w:hint="eastAsia" w:ascii="宋体" w:hAnsi="宋体" w:cs="宋体"/>
          <w:color w:val="000000"/>
          <w:kern w:val="0"/>
          <w:szCs w:val="21"/>
        </w:rPr>
        <w:t xml:space="preserve">卖方保证合同范围内提供的备品备件能够满足合同设备在质量保证期结束前正常运行及维修的需要，如在质量保证期结束前因卖方原因出现备品备件短缺影响合同设备正常运行的，卖方应免费提供。 </w:t>
      </w:r>
    </w:p>
    <w:p>
      <w:pPr>
        <w:widowControl/>
        <w:spacing w:line="480" w:lineRule="exact"/>
        <w:ind w:firstLine="420" w:firstLineChars="200"/>
        <w:jc w:val="left"/>
      </w:pPr>
      <w:r>
        <w:rPr>
          <w:color w:val="000000"/>
          <w:kern w:val="0"/>
          <w:szCs w:val="21"/>
        </w:rPr>
        <w:t xml:space="preserve">11.7 </w:t>
      </w:r>
      <w:r>
        <w:rPr>
          <w:rFonts w:hint="eastAsia" w:ascii="宋体" w:hAnsi="宋体" w:cs="宋体"/>
          <w:color w:val="000000"/>
          <w:kern w:val="0"/>
          <w:szCs w:val="21"/>
        </w:rPr>
        <w:t xml:space="preserve">除专用合同条款和（或）供货要求等合同文件另有约定外，如果在合同设备设计使用寿命期内发生合同项下备品备件停止生产的情况，卖方应事先将拟停止生产的计划通知买方，使买方有足够的时间考虑备品备件的需求量。根据买方要求，卖方应：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1</w:t>
      </w:r>
      <w:r>
        <w:rPr>
          <w:rFonts w:hint="eastAsia" w:ascii="宋体" w:hAnsi="宋体" w:cs="宋体"/>
          <w:color w:val="000000"/>
          <w:kern w:val="0"/>
          <w:szCs w:val="21"/>
        </w:rPr>
        <w:t xml:space="preserve">）以不高于同期市场价格或其向任何第三方销售同类产品的价格提供合同设备正常运行所需的全部备品备件；或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2</w:t>
      </w:r>
      <w:r>
        <w:rPr>
          <w:rFonts w:hint="eastAsia" w:ascii="宋体" w:hAnsi="宋体" w:cs="宋体"/>
          <w:color w:val="000000"/>
          <w:kern w:val="0"/>
          <w:szCs w:val="21"/>
        </w:rPr>
        <w:t>）免费提供可供买方或第三方制造停产备品备件所需的全部技术资料，以便买方持续获得上述备品备件以满足合同设备在寿命期内正常运行的需要。卖方保证买方或买方委托的第三方制造及买方使用这些备品备件不侵犯任何人的知识产权。</w:t>
      </w:r>
    </w:p>
    <w:p>
      <w:pPr>
        <w:widowControl/>
        <w:spacing w:line="480" w:lineRule="exact"/>
        <w:ind w:firstLine="420" w:firstLineChars="200"/>
        <w:jc w:val="left"/>
      </w:pPr>
      <w:r>
        <w:rPr>
          <w:color w:val="000000"/>
          <w:kern w:val="0"/>
          <w:szCs w:val="21"/>
        </w:rPr>
        <w:t xml:space="preserve">11.8 </w:t>
      </w:r>
      <w:r>
        <w:rPr>
          <w:rFonts w:hint="eastAsia" w:ascii="宋体" w:hAnsi="宋体" w:cs="宋体"/>
          <w:color w:val="000000"/>
          <w:kern w:val="0"/>
          <w:szCs w:val="21"/>
        </w:rPr>
        <w:t xml:space="preserve">卖方保证，在合同设备设计使用寿命期内，如果卖方发现合同设备由于设计、制造、标识等原因存在足以危及人身、财产安全的缺陷，卖方将及时通知买方并及时采取修正或者补充标识、修理、更换等措施消除缺陷。 </w:t>
      </w:r>
    </w:p>
    <w:p>
      <w:pPr>
        <w:widowControl/>
        <w:spacing w:line="480" w:lineRule="exact"/>
        <w:ind w:firstLine="622" w:firstLineChars="200"/>
        <w:jc w:val="left"/>
      </w:pPr>
      <w:r>
        <w:rPr>
          <w:b/>
          <w:bCs/>
          <w:color w:val="000000"/>
          <w:kern w:val="0"/>
          <w:sz w:val="31"/>
          <w:szCs w:val="31"/>
        </w:rPr>
        <w:t xml:space="preserve">12. </w:t>
      </w:r>
      <w:r>
        <w:rPr>
          <w:rFonts w:hint="eastAsia" w:ascii="宋体" w:hAnsi="宋体" w:cs="宋体"/>
          <w:b/>
          <w:bCs/>
          <w:color w:val="000000"/>
          <w:kern w:val="0"/>
          <w:sz w:val="31"/>
          <w:szCs w:val="31"/>
        </w:rPr>
        <w:t xml:space="preserve">知识产权 </w:t>
      </w:r>
    </w:p>
    <w:p>
      <w:pPr>
        <w:widowControl/>
        <w:spacing w:line="480" w:lineRule="exact"/>
        <w:ind w:firstLine="420" w:firstLineChars="200"/>
        <w:jc w:val="left"/>
      </w:pPr>
      <w:r>
        <w:rPr>
          <w:color w:val="000000"/>
          <w:kern w:val="0"/>
          <w:szCs w:val="21"/>
        </w:rPr>
        <w:t xml:space="preserve">12.1 </w:t>
      </w:r>
      <w:r>
        <w:rPr>
          <w:rFonts w:hint="eastAsia" w:ascii="宋体" w:hAnsi="宋体" w:cs="宋体"/>
          <w:color w:val="000000"/>
          <w:kern w:val="0"/>
          <w:szCs w:val="21"/>
        </w:rPr>
        <w:t xml:space="preserve">买方在履行合同过程中提供给卖方的全部图纸、文件和其他含有数据和信息的资料，其知识产权属于买方。 </w:t>
      </w:r>
    </w:p>
    <w:p>
      <w:pPr>
        <w:widowControl/>
        <w:spacing w:line="480" w:lineRule="exact"/>
        <w:ind w:firstLine="420" w:firstLineChars="200"/>
        <w:jc w:val="left"/>
      </w:pPr>
      <w:r>
        <w:rPr>
          <w:color w:val="000000"/>
          <w:kern w:val="0"/>
          <w:szCs w:val="21"/>
        </w:rPr>
        <w:t xml:space="preserve">12.2 </w:t>
      </w:r>
      <w:r>
        <w:rPr>
          <w:rFonts w:hint="eastAsia" w:ascii="宋体" w:hAnsi="宋体" w:cs="宋体"/>
          <w:color w:val="000000"/>
          <w:kern w:val="0"/>
          <w:szCs w:val="21"/>
        </w:rPr>
        <w:t xml:space="preserve">除专用合同条款另有约定外，买方不因签署和履行合同而享有卖方在履行合同过程中提供给买方的图纸、文件、配套软件、电子辅助程序和其他含有数据和信息的资料的知识产权。 </w:t>
      </w:r>
    </w:p>
    <w:p>
      <w:pPr>
        <w:widowControl/>
        <w:spacing w:line="480" w:lineRule="exact"/>
        <w:ind w:firstLine="420" w:firstLineChars="200"/>
        <w:jc w:val="left"/>
      </w:pPr>
      <w:r>
        <w:rPr>
          <w:color w:val="000000"/>
          <w:kern w:val="0"/>
          <w:szCs w:val="21"/>
        </w:rPr>
        <w:t xml:space="preserve">12.3 </w:t>
      </w:r>
      <w:r>
        <w:rPr>
          <w:rFonts w:hint="eastAsia" w:ascii="宋体" w:hAnsi="宋体" w:cs="宋体"/>
          <w:color w:val="000000"/>
          <w:kern w:val="0"/>
          <w:szCs w:val="21"/>
        </w:rPr>
        <w:t xml:space="preserve">如合同设备涉及知识产权，则卖方保证买方在使用合同设备过程中免于受到第三方提出的有关知识产权侵权的主张、索赔或诉讼的伤害。 </w:t>
      </w:r>
    </w:p>
    <w:p>
      <w:pPr>
        <w:widowControl/>
        <w:spacing w:line="480" w:lineRule="exact"/>
        <w:ind w:firstLine="420" w:firstLineChars="200"/>
        <w:jc w:val="left"/>
      </w:pPr>
      <w:r>
        <w:rPr>
          <w:color w:val="000000"/>
          <w:kern w:val="0"/>
          <w:szCs w:val="21"/>
        </w:rPr>
        <w:t xml:space="preserve">12.4 </w:t>
      </w:r>
      <w:r>
        <w:rPr>
          <w:rFonts w:hint="eastAsia" w:ascii="宋体" w:hAnsi="宋体" w:cs="宋体"/>
          <w:color w:val="000000"/>
          <w:kern w:val="0"/>
          <w:szCs w:val="21"/>
        </w:rPr>
        <w:t xml:space="preserve">如果买方收到任何第三方有关知识产权的主张、索赔或诉讼，卖方在收到买方通知后，应以买方名义并在买方的协助下，自负费用处理与第三方的索赔或诉讼，并赔偿买方因此发生的费用和遭受的损失。除专用合同条款另有约定外，如果卖方拒绝处理前述索赔或诉讼或在收到买方通知后 </w:t>
      </w:r>
      <w:r>
        <w:rPr>
          <w:color w:val="000000"/>
          <w:kern w:val="0"/>
          <w:szCs w:val="21"/>
        </w:rPr>
        <w:t xml:space="preserve">28 </w:t>
      </w:r>
      <w:r>
        <w:rPr>
          <w:rFonts w:hint="eastAsia" w:ascii="宋体" w:hAnsi="宋体" w:cs="宋体"/>
          <w:color w:val="000000"/>
          <w:kern w:val="0"/>
          <w:szCs w:val="21"/>
        </w:rPr>
        <w:t xml:space="preserve">日内未作表示，买方可以自己的名义进行这些索赔或诉讼，因此发生的费用和遭受的损失均应由卖方承担。 </w:t>
      </w:r>
    </w:p>
    <w:p>
      <w:pPr>
        <w:widowControl/>
        <w:spacing w:line="480" w:lineRule="exact"/>
        <w:ind w:firstLine="622" w:firstLineChars="200"/>
        <w:jc w:val="left"/>
      </w:pPr>
      <w:r>
        <w:rPr>
          <w:b/>
          <w:bCs/>
          <w:color w:val="000000"/>
          <w:kern w:val="0"/>
          <w:sz w:val="31"/>
          <w:szCs w:val="31"/>
        </w:rPr>
        <w:t xml:space="preserve">13. </w:t>
      </w:r>
      <w:r>
        <w:rPr>
          <w:rFonts w:hint="eastAsia" w:ascii="宋体" w:hAnsi="宋体" w:cs="宋体"/>
          <w:b/>
          <w:bCs/>
          <w:color w:val="000000"/>
          <w:kern w:val="0"/>
          <w:sz w:val="31"/>
          <w:szCs w:val="31"/>
        </w:rPr>
        <w:t xml:space="preserve">保密 </w:t>
      </w:r>
    </w:p>
    <w:p>
      <w:pPr>
        <w:widowControl/>
        <w:spacing w:line="480" w:lineRule="exact"/>
        <w:ind w:firstLine="420" w:firstLineChars="200"/>
        <w:jc w:val="left"/>
      </w:pPr>
      <w:r>
        <w:rPr>
          <w:rFonts w:hint="eastAsia" w:ascii="宋体" w:hAnsi="宋体" w:cs="宋体"/>
          <w:color w:val="000000"/>
          <w:kern w:val="0"/>
          <w:szCs w:val="21"/>
        </w:rPr>
        <w:t xml:space="preserve">合同双方应对因履行合同而取得的另一方当事人的信息、资料等予以保密。未经另一方当事人书面同意，任何一方均不得为与履行合同无关的目的使用或向第三方披露另一方当事人提供的信息、资料。 </w:t>
      </w:r>
    </w:p>
    <w:p>
      <w:pPr>
        <w:widowControl/>
        <w:spacing w:line="480" w:lineRule="exact"/>
        <w:ind w:firstLine="420" w:firstLineChars="200"/>
        <w:jc w:val="left"/>
      </w:pPr>
      <w:r>
        <w:rPr>
          <w:rFonts w:hint="eastAsia" w:ascii="宋体" w:hAnsi="宋体" w:cs="宋体"/>
          <w:color w:val="000000"/>
          <w:kern w:val="0"/>
          <w:szCs w:val="21"/>
        </w:rPr>
        <w:t xml:space="preserve">合同当事人的保密义务不适用于下列信息：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1</w:t>
      </w:r>
      <w:r>
        <w:rPr>
          <w:rFonts w:hint="eastAsia" w:ascii="宋体" w:hAnsi="宋体" w:cs="宋体"/>
          <w:color w:val="000000"/>
          <w:kern w:val="0"/>
          <w:szCs w:val="21"/>
        </w:rPr>
        <w:t xml:space="preserve">）非因接受信息一方的过失现在或以后进入公共领域的信息；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2</w:t>
      </w:r>
      <w:r>
        <w:rPr>
          <w:rFonts w:hint="eastAsia" w:ascii="宋体" w:hAnsi="宋体" w:cs="宋体"/>
          <w:color w:val="000000"/>
          <w:kern w:val="0"/>
          <w:szCs w:val="21"/>
        </w:rPr>
        <w:t>）</w:t>
      </w:r>
      <w:r>
        <w:rPr>
          <w:rFonts w:hint="eastAsia" w:ascii="宋体" w:hAnsi="宋体" w:cs="宋体"/>
          <w:color w:val="000000"/>
          <w:kern w:val="0"/>
          <w:szCs w:val="21"/>
          <w:lang w:eastAsia="zh-CN"/>
        </w:rPr>
        <w:t>接收信息</w:t>
      </w:r>
      <w:r>
        <w:rPr>
          <w:rFonts w:hint="eastAsia" w:ascii="宋体" w:hAnsi="宋体" w:cs="宋体"/>
          <w:color w:val="000000"/>
          <w:kern w:val="0"/>
          <w:szCs w:val="21"/>
        </w:rPr>
        <w:t>一方当事人合法地从第三方获得并且据其善意了解第三方也不对此承担保密</w:t>
      </w:r>
      <w:r>
        <w:rPr>
          <w:rFonts w:hint="eastAsia" w:ascii="宋体" w:hAnsi="宋体" w:cs="宋体"/>
          <w:color w:val="000000"/>
          <w:kern w:val="0"/>
          <w:szCs w:val="21"/>
          <w:lang w:eastAsia="zh-CN"/>
        </w:rPr>
        <w:t>义务</w:t>
      </w:r>
      <w:r>
        <w:rPr>
          <w:rFonts w:hint="eastAsia" w:ascii="宋体" w:hAnsi="宋体" w:cs="宋体"/>
          <w:color w:val="000000"/>
          <w:kern w:val="0"/>
          <w:szCs w:val="21"/>
        </w:rPr>
        <w:t xml:space="preserve"> </w:t>
      </w:r>
    </w:p>
    <w:p>
      <w:pPr>
        <w:widowControl/>
        <w:spacing w:line="480" w:lineRule="exact"/>
        <w:ind w:firstLine="420" w:firstLineChars="200"/>
        <w:jc w:val="left"/>
      </w:pPr>
      <w:r>
        <w:rPr>
          <w:rFonts w:hint="eastAsia" w:ascii="宋体" w:hAnsi="宋体" w:cs="宋体"/>
          <w:color w:val="000000"/>
          <w:kern w:val="0"/>
          <w:szCs w:val="21"/>
        </w:rPr>
        <w:t xml:space="preserve">务的信息；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3</w:t>
      </w:r>
      <w:r>
        <w:rPr>
          <w:rFonts w:hint="eastAsia" w:ascii="宋体" w:hAnsi="宋体" w:cs="宋体"/>
          <w:color w:val="000000"/>
          <w:kern w:val="0"/>
          <w:szCs w:val="21"/>
        </w:rPr>
        <w:t xml:space="preserve">）法律或法律的执行要求披露的信息。 </w:t>
      </w:r>
    </w:p>
    <w:p>
      <w:pPr>
        <w:widowControl/>
        <w:spacing w:line="480" w:lineRule="exact"/>
        <w:ind w:firstLine="622" w:firstLineChars="200"/>
        <w:jc w:val="left"/>
      </w:pPr>
      <w:r>
        <w:rPr>
          <w:b/>
          <w:bCs/>
          <w:color w:val="000000"/>
          <w:kern w:val="0"/>
          <w:sz w:val="31"/>
          <w:szCs w:val="31"/>
        </w:rPr>
        <w:t xml:space="preserve">14. </w:t>
      </w:r>
      <w:r>
        <w:rPr>
          <w:rFonts w:hint="eastAsia" w:ascii="宋体" w:hAnsi="宋体" w:cs="宋体"/>
          <w:b/>
          <w:bCs/>
          <w:color w:val="000000"/>
          <w:kern w:val="0"/>
          <w:sz w:val="31"/>
          <w:szCs w:val="31"/>
        </w:rPr>
        <w:t xml:space="preserve">违约责任 </w:t>
      </w:r>
    </w:p>
    <w:p>
      <w:pPr>
        <w:widowControl/>
        <w:spacing w:line="480" w:lineRule="exact"/>
        <w:ind w:firstLine="420" w:firstLineChars="200"/>
        <w:jc w:val="left"/>
      </w:pPr>
      <w:r>
        <w:rPr>
          <w:color w:val="000000"/>
          <w:kern w:val="0"/>
          <w:szCs w:val="21"/>
        </w:rPr>
        <w:t xml:space="preserve">14.1 </w:t>
      </w:r>
      <w:r>
        <w:rPr>
          <w:rFonts w:hint="eastAsia" w:ascii="宋体" w:hAnsi="宋体" w:cs="宋体"/>
          <w:color w:val="000000"/>
          <w:kern w:val="0"/>
          <w:szCs w:val="21"/>
        </w:rPr>
        <w:t xml:space="preserve">合同一方不履行合同义务、履行合同义务不符合约定或者违反合同项下所作保证的，应向对方承担继续履行、采取修理、更换、退货等补救措施或者赔偿损失等违约责任。 </w:t>
      </w:r>
    </w:p>
    <w:p>
      <w:pPr>
        <w:widowControl/>
        <w:spacing w:line="480" w:lineRule="exact"/>
        <w:ind w:firstLine="420" w:firstLineChars="200"/>
        <w:jc w:val="left"/>
      </w:pPr>
      <w:r>
        <w:rPr>
          <w:color w:val="000000"/>
          <w:kern w:val="0"/>
          <w:szCs w:val="21"/>
        </w:rPr>
        <w:t xml:space="preserve">14.2 </w:t>
      </w:r>
      <w:r>
        <w:rPr>
          <w:rFonts w:hint="eastAsia" w:ascii="宋体" w:hAnsi="宋体" w:cs="宋体"/>
          <w:color w:val="000000"/>
          <w:kern w:val="0"/>
          <w:szCs w:val="21"/>
        </w:rPr>
        <w:t xml:space="preserve">卖方未能按时交付合同设备（包括仅迟延交付技术资料但足以导致合同设备安装、调试、考核、验收工作推迟的）的，应向买方支付迟延交付违约金。除专用合同条款另有约定外，迟延交付违约金的计算方法如下：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1</w:t>
      </w:r>
      <w:r>
        <w:rPr>
          <w:rFonts w:hint="eastAsia" w:ascii="宋体" w:hAnsi="宋体" w:cs="宋体"/>
          <w:color w:val="000000"/>
          <w:kern w:val="0"/>
          <w:szCs w:val="21"/>
        </w:rPr>
        <w:t xml:space="preserve">）从迟交的第一周到第四周，每周迟延交付违约金为迟交合同设备价格的 </w:t>
      </w:r>
      <w:r>
        <w:rPr>
          <w:color w:val="000000"/>
          <w:kern w:val="0"/>
          <w:szCs w:val="21"/>
        </w:rPr>
        <w:t>0.5%</w:t>
      </w:r>
      <w:r>
        <w:rPr>
          <w:rFonts w:hint="eastAsia" w:ascii="宋体" w:hAnsi="宋体" w:cs="宋体"/>
          <w:color w:val="000000"/>
          <w:kern w:val="0"/>
          <w:szCs w:val="21"/>
        </w:rPr>
        <w:t xml:space="preserve">；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2</w:t>
      </w:r>
      <w:r>
        <w:rPr>
          <w:rFonts w:hint="eastAsia" w:ascii="宋体" w:hAnsi="宋体" w:cs="宋体"/>
          <w:color w:val="000000"/>
          <w:kern w:val="0"/>
          <w:szCs w:val="21"/>
        </w:rPr>
        <w:t xml:space="preserve">）从迟交的第五周到第八周，每周迟延交付违约金为迟交合同设备价格的 </w:t>
      </w:r>
      <w:r>
        <w:rPr>
          <w:color w:val="000000"/>
          <w:kern w:val="0"/>
          <w:szCs w:val="21"/>
        </w:rPr>
        <w:t>1%</w:t>
      </w:r>
      <w:r>
        <w:rPr>
          <w:rFonts w:hint="eastAsia" w:ascii="宋体" w:hAnsi="宋体" w:cs="宋体"/>
          <w:color w:val="000000"/>
          <w:kern w:val="0"/>
          <w:szCs w:val="21"/>
        </w:rPr>
        <w:t xml:space="preserve">； </w:t>
      </w:r>
    </w:p>
    <w:p>
      <w:pPr>
        <w:widowControl/>
        <w:spacing w:line="48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w:t>
      </w:r>
      <w:r>
        <w:rPr>
          <w:color w:val="000000"/>
          <w:kern w:val="0"/>
          <w:szCs w:val="21"/>
        </w:rPr>
        <w:t>3</w:t>
      </w:r>
      <w:r>
        <w:rPr>
          <w:rFonts w:hint="eastAsia" w:ascii="宋体" w:hAnsi="宋体" w:cs="宋体"/>
          <w:color w:val="000000"/>
          <w:kern w:val="0"/>
          <w:szCs w:val="21"/>
        </w:rPr>
        <w:t xml:space="preserve">）从迟交第九周起，每周迟延交付违约金为迟交合同设备价格的 </w:t>
      </w:r>
      <w:r>
        <w:rPr>
          <w:color w:val="000000"/>
          <w:kern w:val="0"/>
          <w:szCs w:val="21"/>
        </w:rPr>
        <w:t>1.5%</w:t>
      </w:r>
      <w:r>
        <w:rPr>
          <w:rFonts w:hint="eastAsia" w:ascii="宋体" w:hAnsi="宋体" w:cs="宋体"/>
          <w:color w:val="000000"/>
          <w:kern w:val="0"/>
          <w:szCs w:val="21"/>
        </w:rPr>
        <w:t>。</w:t>
      </w:r>
    </w:p>
    <w:p>
      <w:pPr>
        <w:widowControl/>
        <w:spacing w:line="480" w:lineRule="exact"/>
        <w:ind w:firstLine="420" w:firstLineChars="200"/>
        <w:jc w:val="left"/>
      </w:pPr>
      <w:r>
        <w:rPr>
          <w:rFonts w:hint="eastAsia" w:ascii="宋体" w:hAnsi="宋体" w:cs="宋体"/>
          <w:color w:val="000000"/>
          <w:kern w:val="0"/>
          <w:szCs w:val="21"/>
        </w:rPr>
        <w:t xml:space="preserve"> 在计算迟延交付违约金时，迟交不足一周的按一周计算。迟延交付违约金的总额不得超过合同价格的 </w:t>
      </w:r>
      <w:r>
        <w:rPr>
          <w:color w:val="000000"/>
          <w:kern w:val="0"/>
          <w:szCs w:val="21"/>
        </w:rPr>
        <w:t>10%</w:t>
      </w:r>
      <w:r>
        <w:rPr>
          <w:rFonts w:hint="eastAsia" w:ascii="宋体" w:hAnsi="宋体" w:cs="宋体"/>
          <w:color w:val="000000"/>
          <w:kern w:val="0"/>
          <w:szCs w:val="21"/>
        </w:rPr>
        <w:t xml:space="preserve">。 </w:t>
      </w:r>
    </w:p>
    <w:p>
      <w:pPr>
        <w:widowControl/>
        <w:spacing w:line="480" w:lineRule="exact"/>
        <w:ind w:firstLine="420" w:firstLineChars="200"/>
        <w:jc w:val="left"/>
      </w:pPr>
      <w:r>
        <w:rPr>
          <w:rFonts w:hint="eastAsia" w:ascii="宋体" w:hAnsi="宋体" w:cs="宋体"/>
          <w:color w:val="000000"/>
          <w:kern w:val="0"/>
          <w:szCs w:val="21"/>
        </w:rPr>
        <w:t xml:space="preserve">迟延交付违约金的支付不能免除卖方继续交付相关合同设备的义务，但如迟延交付必然导致合同设备安装、调试、考核、验收工作推迟的，相关工作应相应顺延。 </w:t>
      </w:r>
    </w:p>
    <w:p>
      <w:pPr>
        <w:widowControl/>
        <w:spacing w:line="480" w:lineRule="exact"/>
        <w:ind w:firstLine="420" w:firstLineChars="200"/>
        <w:jc w:val="left"/>
      </w:pPr>
      <w:r>
        <w:rPr>
          <w:color w:val="000000"/>
          <w:kern w:val="0"/>
          <w:szCs w:val="21"/>
        </w:rPr>
        <w:t xml:space="preserve">14.3 </w:t>
      </w:r>
      <w:r>
        <w:rPr>
          <w:rFonts w:hint="eastAsia" w:ascii="宋体" w:hAnsi="宋体" w:cs="宋体"/>
          <w:color w:val="000000"/>
          <w:kern w:val="0"/>
          <w:szCs w:val="21"/>
        </w:rPr>
        <w:t xml:space="preserve">买方未能按合同约定支付合同价款的，应向卖方支付延迟付款违约金。除专用合同条款另有约定外，迟延付款违约金的计算方法如下：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1</w:t>
      </w:r>
      <w:r>
        <w:rPr>
          <w:rFonts w:hint="eastAsia" w:ascii="宋体" w:hAnsi="宋体" w:cs="宋体"/>
          <w:color w:val="000000"/>
          <w:kern w:val="0"/>
          <w:szCs w:val="21"/>
        </w:rPr>
        <w:t xml:space="preserve">）从迟付的第一周到第四周，每周迟延付款违约金为迟延付款金额的 </w:t>
      </w:r>
      <w:r>
        <w:rPr>
          <w:color w:val="000000"/>
          <w:kern w:val="0"/>
          <w:szCs w:val="21"/>
        </w:rPr>
        <w:t>0.5%</w:t>
      </w:r>
      <w:r>
        <w:rPr>
          <w:rFonts w:hint="eastAsia" w:ascii="宋体" w:hAnsi="宋体" w:cs="宋体"/>
          <w:color w:val="000000"/>
          <w:kern w:val="0"/>
          <w:szCs w:val="21"/>
        </w:rPr>
        <w:t xml:space="preserve">；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2</w:t>
      </w:r>
      <w:r>
        <w:rPr>
          <w:rFonts w:hint="eastAsia" w:ascii="宋体" w:hAnsi="宋体" w:cs="宋体"/>
          <w:color w:val="000000"/>
          <w:kern w:val="0"/>
          <w:szCs w:val="21"/>
        </w:rPr>
        <w:t xml:space="preserve">）从迟付的第五周到第八周，每周迟延付款违约金为迟延付款金额的 </w:t>
      </w:r>
      <w:r>
        <w:rPr>
          <w:color w:val="000000"/>
          <w:kern w:val="0"/>
          <w:szCs w:val="21"/>
        </w:rPr>
        <w:t>1%</w:t>
      </w:r>
      <w:r>
        <w:rPr>
          <w:rFonts w:hint="eastAsia" w:ascii="宋体" w:hAnsi="宋体" w:cs="宋体"/>
          <w:color w:val="000000"/>
          <w:kern w:val="0"/>
          <w:szCs w:val="21"/>
        </w:rPr>
        <w:t xml:space="preserve">；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3</w:t>
      </w:r>
      <w:r>
        <w:rPr>
          <w:rFonts w:hint="eastAsia" w:ascii="宋体" w:hAnsi="宋体" w:cs="宋体"/>
          <w:color w:val="000000"/>
          <w:kern w:val="0"/>
          <w:szCs w:val="21"/>
        </w:rPr>
        <w:t xml:space="preserve">）从迟付第九周起，每周迟延付款违约金为迟延付款金额的 </w:t>
      </w:r>
      <w:r>
        <w:rPr>
          <w:color w:val="000000"/>
          <w:kern w:val="0"/>
          <w:szCs w:val="21"/>
        </w:rPr>
        <w:t>1.5%</w:t>
      </w:r>
      <w:r>
        <w:rPr>
          <w:rFonts w:hint="eastAsia" w:ascii="宋体" w:hAnsi="宋体" w:cs="宋体"/>
          <w:color w:val="000000"/>
          <w:kern w:val="0"/>
          <w:szCs w:val="21"/>
        </w:rPr>
        <w:t xml:space="preserve">。 </w:t>
      </w:r>
    </w:p>
    <w:p>
      <w:pPr>
        <w:widowControl/>
        <w:spacing w:line="480" w:lineRule="exact"/>
        <w:ind w:firstLine="420" w:firstLineChars="200"/>
        <w:jc w:val="left"/>
      </w:pPr>
      <w:r>
        <w:rPr>
          <w:rFonts w:hint="eastAsia" w:ascii="宋体" w:hAnsi="宋体" w:cs="宋体"/>
          <w:color w:val="000000"/>
          <w:kern w:val="0"/>
          <w:szCs w:val="21"/>
        </w:rPr>
        <w:t xml:space="preserve">在计算迟延付款违约金时，迟付不足一周的按一周计算。迟延付款违约金的总额不得超过合同价格的 </w:t>
      </w:r>
      <w:r>
        <w:rPr>
          <w:color w:val="000000"/>
          <w:kern w:val="0"/>
          <w:szCs w:val="21"/>
        </w:rPr>
        <w:t>10%</w:t>
      </w:r>
      <w:r>
        <w:rPr>
          <w:rFonts w:hint="eastAsia" w:ascii="宋体" w:hAnsi="宋体" w:cs="宋体"/>
          <w:color w:val="000000"/>
          <w:kern w:val="0"/>
          <w:szCs w:val="21"/>
        </w:rPr>
        <w:t xml:space="preserve">。 </w:t>
      </w:r>
    </w:p>
    <w:p>
      <w:pPr>
        <w:widowControl/>
        <w:spacing w:line="480" w:lineRule="exact"/>
        <w:ind w:firstLine="622" w:firstLineChars="200"/>
        <w:jc w:val="left"/>
      </w:pPr>
      <w:r>
        <w:rPr>
          <w:b/>
          <w:bCs/>
          <w:color w:val="000000"/>
          <w:kern w:val="0"/>
          <w:sz w:val="31"/>
          <w:szCs w:val="31"/>
        </w:rPr>
        <w:t xml:space="preserve">15. </w:t>
      </w:r>
      <w:r>
        <w:rPr>
          <w:rFonts w:hint="eastAsia" w:ascii="宋体" w:hAnsi="宋体" w:cs="宋体"/>
          <w:b/>
          <w:bCs/>
          <w:color w:val="000000"/>
          <w:kern w:val="0"/>
          <w:sz w:val="31"/>
          <w:szCs w:val="31"/>
        </w:rPr>
        <w:t xml:space="preserve">合同的解除 </w:t>
      </w:r>
    </w:p>
    <w:p>
      <w:pPr>
        <w:widowControl/>
        <w:spacing w:line="480" w:lineRule="exact"/>
        <w:ind w:firstLine="420" w:firstLineChars="200"/>
        <w:jc w:val="left"/>
      </w:pPr>
      <w:r>
        <w:rPr>
          <w:rFonts w:hint="eastAsia" w:ascii="宋体" w:hAnsi="宋体" w:cs="宋体"/>
          <w:color w:val="000000"/>
          <w:kern w:val="0"/>
          <w:szCs w:val="21"/>
        </w:rPr>
        <w:t xml:space="preserve">除专用合同条款另有约定外，有下述情形之一，当事人可发出书面通知全部或部分地解除合同，合同自通知到达对方时全部或部分地解除：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1</w:t>
      </w:r>
      <w:r>
        <w:rPr>
          <w:rFonts w:hint="eastAsia" w:ascii="宋体" w:hAnsi="宋体" w:cs="宋体"/>
          <w:color w:val="000000"/>
          <w:kern w:val="0"/>
          <w:szCs w:val="21"/>
        </w:rPr>
        <w:t xml:space="preserve">）卖方迟延交付合同设备超过 </w:t>
      </w:r>
      <w:r>
        <w:rPr>
          <w:color w:val="000000"/>
          <w:kern w:val="0"/>
          <w:szCs w:val="21"/>
        </w:rPr>
        <w:t xml:space="preserve">3 </w:t>
      </w:r>
      <w:r>
        <w:rPr>
          <w:rFonts w:hint="eastAsia" w:ascii="宋体" w:hAnsi="宋体" w:cs="宋体"/>
          <w:color w:val="000000"/>
          <w:kern w:val="0"/>
          <w:szCs w:val="21"/>
        </w:rPr>
        <w:t xml:space="preserve">个月；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2</w:t>
      </w:r>
      <w:r>
        <w:rPr>
          <w:rFonts w:hint="eastAsia" w:ascii="宋体" w:hAnsi="宋体" w:cs="宋体"/>
          <w:color w:val="000000"/>
          <w:kern w:val="0"/>
          <w:szCs w:val="21"/>
        </w:rPr>
        <w:t xml:space="preserve">）合同设备由于卖方原因三次考核均未能达到技术性能考核指标或在合同约定了或双方在考核中另行达成了最低技术性能考核指标时均未能达到最低技术性能考核指标，且买卖双方未就合同的后续履行协商达成一致；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3</w:t>
      </w:r>
      <w:r>
        <w:rPr>
          <w:rFonts w:hint="eastAsia" w:ascii="宋体" w:hAnsi="宋体" w:cs="宋体"/>
          <w:color w:val="000000"/>
          <w:kern w:val="0"/>
          <w:szCs w:val="21"/>
        </w:rPr>
        <w:t xml:space="preserve">）买方迟延付款超过 </w:t>
      </w:r>
      <w:r>
        <w:rPr>
          <w:color w:val="000000"/>
          <w:kern w:val="0"/>
          <w:szCs w:val="21"/>
        </w:rPr>
        <w:t xml:space="preserve">3 </w:t>
      </w:r>
      <w:r>
        <w:rPr>
          <w:rFonts w:hint="eastAsia" w:ascii="宋体" w:hAnsi="宋体" w:cs="宋体"/>
          <w:color w:val="000000"/>
          <w:kern w:val="0"/>
          <w:szCs w:val="21"/>
        </w:rPr>
        <w:t xml:space="preserve">个月；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4</w:t>
      </w:r>
      <w:r>
        <w:rPr>
          <w:rFonts w:hint="eastAsia" w:ascii="宋体" w:hAnsi="宋体" w:cs="宋体"/>
          <w:color w:val="000000"/>
          <w:kern w:val="0"/>
          <w:szCs w:val="21"/>
        </w:rPr>
        <w:t xml:space="preserve">）合同一方当事人未能履行合同项下任何其他义务（细微义务除外），或在未事先征得另一方当事人同意的情况下，从事任何可能在实质上不利影响其履行合同能力的活动，经另一方当事人书面通知后 </w:t>
      </w:r>
      <w:r>
        <w:rPr>
          <w:color w:val="000000"/>
          <w:kern w:val="0"/>
          <w:szCs w:val="21"/>
        </w:rPr>
        <w:t xml:space="preserve">14 </w:t>
      </w:r>
      <w:r>
        <w:rPr>
          <w:rFonts w:hint="eastAsia" w:ascii="宋体" w:hAnsi="宋体" w:cs="宋体"/>
          <w:color w:val="000000"/>
          <w:kern w:val="0"/>
          <w:szCs w:val="21"/>
        </w:rPr>
        <w:t xml:space="preserve">日内或在专用合同条款约定的其他期限内未能对其行为作出补救；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5</w:t>
      </w:r>
      <w:r>
        <w:rPr>
          <w:rFonts w:hint="eastAsia" w:ascii="宋体" w:hAnsi="宋体" w:cs="宋体"/>
          <w:color w:val="000000"/>
          <w:kern w:val="0"/>
          <w:szCs w:val="21"/>
        </w:rPr>
        <w:t>）合同一方当事人出现破产、清算、资不抵债、成为失信被执行人等可能丧失履约能力的情形，且未能提供令对方满意的履约保证金。</w:t>
      </w:r>
    </w:p>
    <w:p>
      <w:pPr>
        <w:widowControl/>
        <w:spacing w:line="480" w:lineRule="exact"/>
        <w:ind w:firstLine="420" w:firstLineChars="200"/>
        <w:jc w:val="left"/>
      </w:pPr>
    </w:p>
    <w:p>
      <w:pPr>
        <w:widowControl/>
        <w:spacing w:line="480" w:lineRule="exact"/>
        <w:ind w:firstLine="622" w:firstLineChars="200"/>
        <w:jc w:val="left"/>
      </w:pPr>
      <w:r>
        <w:rPr>
          <w:b/>
          <w:bCs/>
          <w:color w:val="000000"/>
          <w:kern w:val="0"/>
          <w:sz w:val="31"/>
          <w:szCs w:val="31"/>
        </w:rPr>
        <w:t xml:space="preserve">16. </w:t>
      </w:r>
      <w:r>
        <w:rPr>
          <w:rFonts w:hint="eastAsia" w:ascii="宋体" w:hAnsi="宋体" w:cs="宋体"/>
          <w:b/>
          <w:bCs/>
          <w:color w:val="000000"/>
          <w:kern w:val="0"/>
          <w:sz w:val="31"/>
          <w:szCs w:val="31"/>
        </w:rPr>
        <w:t xml:space="preserve">不可抗力 </w:t>
      </w:r>
    </w:p>
    <w:p>
      <w:pPr>
        <w:widowControl/>
        <w:spacing w:line="480" w:lineRule="exact"/>
        <w:ind w:firstLine="420" w:firstLineChars="200"/>
        <w:jc w:val="left"/>
      </w:pPr>
      <w:r>
        <w:rPr>
          <w:color w:val="000000"/>
          <w:kern w:val="0"/>
          <w:szCs w:val="21"/>
        </w:rPr>
        <w:t xml:space="preserve">16.1 </w:t>
      </w:r>
      <w:r>
        <w:rPr>
          <w:rFonts w:hint="eastAsia" w:ascii="宋体" w:hAnsi="宋体" w:cs="宋体"/>
          <w:color w:val="000000"/>
          <w:kern w:val="0"/>
          <w:szCs w:val="21"/>
        </w:rPr>
        <w:t xml:space="preserve">如果任何一方当事人受到不能预见、不能避免且不能克服的不可抗力事件的影响，例如战争、严重的火灾、台风、地震、洪水和专用合同条款约定的其他情形，而无法履行合同项下的任何义务，则受影响的一方当事人应立即将此类事件的发生通知另一方当事人，并应在不可抗力事件发生后 </w:t>
      </w:r>
      <w:r>
        <w:rPr>
          <w:color w:val="000000"/>
          <w:kern w:val="0"/>
          <w:szCs w:val="21"/>
        </w:rPr>
        <w:t xml:space="preserve">28 </w:t>
      </w:r>
      <w:r>
        <w:rPr>
          <w:rFonts w:hint="eastAsia" w:ascii="宋体" w:hAnsi="宋体" w:cs="宋体"/>
          <w:color w:val="000000"/>
          <w:kern w:val="0"/>
          <w:szCs w:val="21"/>
        </w:rPr>
        <w:t xml:space="preserve">日内将有关当局或机构出具的证明文件提交给另一方当事人。 </w:t>
      </w:r>
    </w:p>
    <w:p>
      <w:pPr>
        <w:widowControl/>
        <w:spacing w:line="480" w:lineRule="exact"/>
        <w:ind w:firstLine="420" w:firstLineChars="200"/>
        <w:jc w:val="left"/>
      </w:pPr>
      <w:r>
        <w:rPr>
          <w:color w:val="000000"/>
          <w:kern w:val="0"/>
          <w:szCs w:val="21"/>
        </w:rPr>
        <w:t xml:space="preserve">16.2 </w:t>
      </w:r>
      <w:r>
        <w:rPr>
          <w:rFonts w:hint="eastAsia" w:ascii="宋体" w:hAnsi="宋体" w:cs="宋体"/>
          <w:color w:val="000000"/>
          <w:kern w:val="0"/>
          <w:szCs w:val="21"/>
        </w:rPr>
        <w:t xml:space="preserve">受不可抗力事件影响的一方当事人对于不可抗力事件导致的任何合同义务的迟延履行或不能履行不承担违约责任。但该方当事人应尽快将不可抗力事件结束或消除的情况通知另一方当事人。 </w:t>
      </w:r>
    </w:p>
    <w:p>
      <w:pPr>
        <w:widowControl/>
        <w:spacing w:line="480" w:lineRule="exact"/>
        <w:ind w:firstLine="420" w:firstLineChars="200"/>
        <w:jc w:val="left"/>
      </w:pPr>
      <w:r>
        <w:rPr>
          <w:color w:val="000000"/>
          <w:kern w:val="0"/>
          <w:szCs w:val="21"/>
        </w:rPr>
        <w:t xml:space="preserve">16.3 </w:t>
      </w:r>
      <w:r>
        <w:rPr>
          <w:rFonts w:hint="eastAsia" w:ascii="宋体" w:hAnsi="宋体" w:cs="宋体"/>
          <w:color w:val="000000"/>
          <w:kern w:val="0"/>
          <w:szCs w:val="21"/>
        </w:rPr>
        <w:t xml:space="preserve">双方当事人应在不可抗力事件结束或其影响消除后立即继续履行其合同义务，合同期限也应相应顺延。除专用合同条款另有约定外，如果不可抗力事件的影响持续超过 </w:t>
      </w:r>
      <w:r>
        <w:rPr>
          <w:color w:val="000000"/>
          <w:kern w:val="0"/>
          <w:szCs w:val="21"/>
        </w:rPr>
        <w:t xml:space="preserve">140 </w:t>
      </w:r>
      <w:r>
        <w:rPr>
          <w:rFonts w:hint="eastAsia" w:ascii="宋体" w:hAnsi="宋体" w:cs="宋体"/>
          <w:color w:val="000000"/>
          <w:kern w:val="0"/>
          <w:szCs w:val="21"/>
        </w:rPr>
        <w:t xml:space="preserve">日，则任何一方当事人均有权以书面通知解除合同。 </w:t>
      </w:r>
    </w:p>
    <w:p>
      <w:pPr>
        <w:widowControl/>
        <w:spacing w:line="480" w:lineRule="exact"/>
        <w:ind w:firstLine="622" w:firstLineChars="200"/>
        <w:jc w:val="left"/>
      </w:pPr>
      <w:r>
        <w:rPr>
          <w:b/>
          <w:bCs/>
          <w:color w:val="000000"/>
          <w:kern w:val="0"/>
          <w:sz w:val="31"/>
          <w:szCs w:val="31"/>
        </w:rPr>
        <w:t xml:space="preserve">17. </w:t>
      </w:r>
      <w:r>
        <w:rPr>
          <w:rFonts w:hint="eastAsia" w:ascii="宋体" w:hAnsi="宋体" w:cs="宋体"/>
          <w:b/>
          <w:bCs/>
          <w:color w:val="000000"/>
          <w:kern w:val="0"/>
          <w:sz w:val="31"/>
          <w:szCs w:val="31"/>
        </w:rPr>
        <w:t xml:space="preserve">争议的解决 </w:t>
      </w:r>
    </w:p>
    <w:p>
      <w:pPr>
        <w:widowControl/>
        <w:spacing w:line="480" w:lineRule="exact"/>
        <w:ind w:firstLine="420" w:firstLineChars="200"/>
        <w:jc w:val="left"/>
      </w:pPr>
      <w:r>
        <w:rPr>
          <w:rFonts w:hint="eastAsia" w:ascii="宋体" w:hAnsi="宋体" w:cs="宋体"/>
          <w:color w:val="000000"/>
          <w:kern w:val="0"/>
          <w:szCs w:val="21"/>
        </w:rPr>
        <w:t>因本合同引起的或与本合同有关的任何争议</w:t>
      </w:r>
      <w:r>
        <w:rPr>
          <w:rFonts w:hint="eastAsia" w:ascii="宋体" w:hAnsi="宋体" w:cs="宋体"/>
          <w:color w:val="000000"/>
          <w:kern w:val="0"/>
          <w:szCs w:val="21"/>
          <w:lang w:eastAsia="zh-CN"/>
        </w:rPr>
        <w:t>，</w:t>
      </w:r>
      <w:r>
        <w:rPr>
          <w:rFonts w:hint="eastAsia" w:ascii="宋体" w:hAnsi="宋体" w:cs="宋体"/>
          <w:color w:val="000000"/>
          <w:kern w:val="0"/>
          <w:szCs w:val="21"/>
        </w:rPr>
        <w:t xml:space="preserve">双方可通过友好协商解决。友好协商解决不成的，可在专用合同条款中约定下列一种方式解决：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1</w:t>
      </w:r>
      <w:r>
        <w:rPr>
          <w:rFonts w:hint="eastAsia" w:ascii="宋体" w:hAnsi="宋体" w:cs="宋体"/>
          <w:color w:val="000000"/>
          <w:kern w:val="0"/>
          <w:szCs w:val="21"/>
        </w:rPr>
        <w:t xml:space="preserve">）向约定的仲裁委员会申请仲裁； </w:t>
      </w:r>
    </w:p>
    <w:p>
      <w:pPr>
        <w:widowControl/>
        <w:spacing w:line="480" w:lineRule="exact"/>
        <w:ind w:firstLine="420" w:firstLineChars="200"/>
        <w:jc w:val="left"/>
      </w:pPr>
      <w:r>
        <w:rPr>
          <w:rFonts w:hint="eastAsia" w:ascii="宋体" w:hAnsi="宋体" w:cs="宋体"/>
          <w:color w:val="000000"/>
          <w:kern w:val="0"/>
          <w:szCs w:val="21"/>
        </w:rPr>
        <w:t>（</w:t>
      </w:r>
      <w:r>
        <w:rPr>
          <w:color w:val="000000"/>
          <w:kern w:val="0"/>
          <w:szCs w:val="21"/>
        </w:rPr>
        <w:t>2</w:t>
      </w:r>
      <w:r>
        <w:rPr>
          <w:rFonts w:hint="eastAsia" w:ascii="宋体" w:hAnsi="宋体" w:cs="宋体"/>
          <w:color w:val="000000"/>
          <w:kern w:val="0"/>
          <w:szCs w:val="21"/>
        </w:rPr>
        <w:t>）向有管辖权的人民法院提起诉讼。</w:t>
      </w:r>
    </w:p>
    <w:p>
      <w:pPr>
        <w:spacing w:line="360" w:lineRule="auto"/>
        <w:ind w:firstLine="420" w:firstLineChars="200"/>
        <w:rPr>
          <w:szCs w:val="21"/>
        </w:rPr>
      </w:pPr>
    </w:p>
    <w:p>
      <w:pPr>
        <w:spacing w:line="360" w:lineRule="auto"/>
        <w:rPr>
          <w:rFonts w:hint="eastAsia" w:eastAsia="楷体"/>
          <w:color w:val="548DD4"/>
          <w:shd w:val="clear" w:color="auto" w:fill="FFFFFF"/>
        </w:rPr>
      </w:pPr>
    </w:p>
    <w:p>
      <w:pPr>
        <w:pStyle w:val="3"/>
        <w:ind w:firstLine="643" w:firstLineChars="200"/>
        <w:jc w:val="center"/>
        <w:rPr>
          <w:rFonts w:hint="eastAsia" w:ascii="Times New Roman" w:hAnsi="Times New Roman"/>
          <w:color w:val="000000"/>
        </w:rPr>
      </w:pPr>
      <w:bookmarkStart w:id="399" w:name="_Toc15928659"/>
      <w:bookmarkStart w:id="400" w:name="_Toc501460712"/>
      <w:r>
        <w:rPr>
          <w:rFonts w:ascii="Times New Roman" w:hAnsi="Times New Roman"/>
          <w:color w:val="000000"/>
        </w:rPr>
        <w:br w:type="page"/>
      </w:r>
      <w:bookmarkStart w:id="401" w:name="_Toc26781098"/>
      <w:r>
        <w:rPr>
          <w:rFonts w:ascii="Times New Roman" w:hAnsi="Times New Roman"/>
          <w:color w:val="000000"/>
        </w:rPr>
        <w:t>第二节</w:t>
      </w:r>
      <w:r>
        <w:rPr>
          <w:rFonts w:hint="eastAsia" w:ascii="Times New Roman" w:hAnsi="Times New Roman"/>
          <w:color w:val="000000"/>
        </w:rPr>
        <w:t xml:space="preserve">  </w:t>
      </w:r>
      <w:r>
        <w:rPr>
          <w:rFonts w:ascii="Times New Roman" w:hAnsi="Times New Roman"/>
          <w:color w:val="000000"/>
        </w:rPr>
        <w:t>专用合同条款</w:t>
      </w:r>
      <w:bookmarkEnd w:id="399"/>
      <w:bookmarkEnd w:id="400"/>
      <w:bookmarkEnd w:id="401"/>
    </w:p>
    <w:p>
      <w:pPr>
        <w:spacing w:line="440" w:lineRule="exact"/>
        <w:ind w:firstLine="442" w:firstLineChars="200"/>
        <w:rPr>
          <w:b/>
          <w:bCs/>
          <w:sz w:val="22"/>
          <w:szCs w:val="22"/>
        </w:rPr>
      </w:pPr>
      <w:r>
        <w:rPr>
          <w:b/>
          <w:bCs/>
          <w:sz w:val="22"/>
          <w:szCs w:val="22"/>
        </w:rPr>
        <w:t>招标人（甲方）：</w:t>
      </w:r>
    </w:p>
    <w:p>
      <w:pPr>
        <w:spacing w:line="440" w:lineRule="exact"/>
        <w:ind w:firstLine="442" w:firstLineChars="200"/>
        <w:rPr>
          <w:b/>
          <w:bCs/>
          <w:sz w:val="22"/>
          <w:szCs w:val="22"/>
          <w:u w:val="single"/>
        </w:rPr>
      </w:pPr>
      <w:r>
        <w:rPr>
          <w:b/>
          <w:bCs/>
          <w:sz w:val="22"/>
          <w:szCs w:val="22"/>
        </w:rPr>
        <w:t>供货人（乙方）：</w:t>
      </w:r>
    </w:p>
    <w:p>
      <w:pPr>
        <w:spacing w:line="440" w:lineRule="exact"/>
        <w:ind w:firstLine="442" w:firstLineChars="200"/>
        <w:rPr>
          <w:b/>
          <w:bCs/>
          <w:sz w:val="22"/>
          <w:szCs w:val="22"/>
          <w:u w:val="single"/>
        </w:rPr>
      </w:pPr>
      <w:r>
        <w:rPr>
          <w:b/>
          <w:bCs/>
          <w:sz w:val="22"/>
          <w:szCs w:val="22"/>
        </w:rPr>
        <w:t>签订地点：</w:t>
      </w:r>
    </w:p>
    <w:p>
      <w:pPr>
        <w:spacing w:line="440" w:lineRule="exact"/>
        <w:ind w:firstLine="442" w:firstLineChars="200"/>
        <w:rPr>
          <w:b/>
          <w:bCs/>
          <w:sz w:val="22"/>
          <w:szCs w:val="22"/>
        </w:rPr>
      </w:pPr>
      <w:r>
        <w:rPr>
          <w:b/>
          <w:bCs/>
          <w:sz w:val="22"/>
          <w:szCs w:val="22"/>
        </w:rPr>
        <w:t xml:space="preserve">项目名称： </w:t>
      </w:r>
    </w:p>
    <w:p>
      <w:pPr>
        <w:spacing w:line="440" w:lineRule="exact"/>
        <w:ind w:firstLine="442" w:firstLineChars="200"/>
        <w:rPr>
          <w:b/>
          <w:bCs/>
          <w:sz w:val="22"/>
          <w:szCs w:val="22"/>
          <w:u w:val="single"/>
        </w:rPr>
      </w:pPr>
      <w:r>
        <w:rPr>
          <w:b/>
          <w:bCs/>
          <w:sz w:val="22"/>
          <w:szCs w:val="22"/>
        </w:rPr>
        <w:t>项目编号：</w:t>
      </w:r>
    </w:p>
    <w:p>
      <w:pPr>
        <w:spacing w:line="440" w:lineRule="exact"/>
        <w:ind w:firstLine="422" w:firstLineChars="192"/>
        <w:rPr>
          <w:sz w:val="22"/>
          <w:szCs w:val="22"/>
        </w:rPr>
      </w:pPr>
      <w:r>
        <w:rPr>
          <w:sz w:val="22"/>
          <w:szCs w:val="22"/>
        </w:rPr>
        <w:t>本项目采用</w:t>
      </w:r>
      <w:r>
        <w:rPr>
          <w:color w:val="FF0000"/>
          <w:sz w:val="22"/>
          <w:szCs w:val="22"/>
          <w:u w:val="single"/>
        </w:rPr>
        <w:t>公开招标</w:t>
      </w:r>
      <w:r>
        <w:rPr>
          <w:sz w:val="22"/>
          <w:szCs w:val="22"/>
        </w:rPr>
        <w:t>方式，经本项目评审委员会认真评审，决定将合同授予乙方。为进一步明确双方的责任，确保合同的顺利履行，根据《中华人民共和国</w:t>
      </w:r>
      <w:r>
        <w:rPr>
          <w:rFonts w:hint="eastAsia"/>
          <w:sz w:val="22"/>
          <w:szCs w:val="22"/>
        </w:rPr>
        <w:t>民法典</w:t>
      </w:r>
      <w:r>
        <w:rPr>
          <w:sz w:val="22"/>
          <w:szCs w:val="22"/>
        </w:rPr>
        <w:t>》之规定及招标文件、中标（成交）通知书等相关资料的要求，经甲乙双方充分协商，特订立本合同，以便共同遵守。</w:t>
      </w:r>
    </w:p>
    <w:p>
      <w:pPr>
        <w:spacing w:line="440" w:lineRule="exact"/>
        <w:rPr>
          <w:color w:val="FF0000"/>
          <w:sz w:val="22"/>
          <w:szCs w:val="22"/>
          <w:u w:val="single"/>
        </w:rPr>
      </w:pPr>
      <w:r>
        <w:rPr>
          <w:b/>
          <w:bCs/>
          <w:sz w:val="22"/>
          <w:szCs w:val="22"/>
        </w:rPr>
        <w:t>第一条</w:t>
      </w:r>
      <w:r>
        <w:rPr>
          <w:sz w:val="22"/>
          <w:szCs w:val="22"/>
        </w:rPr>
        <w:t xml:space="preserve">  </w:t>
      </w:r>
      <w:r>
        <w:rPr>
          <w:b/>
          <w:bCs/>
          <w:sz w:val="22"/>
          <w:szCs w:val="22"/>
        </w:rPr>
        <w:t>设备名称、品牌、型号、规格、数量（详见供货一览表）</w:t>
      </w: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2881"/>
        <w:gridCol w:w="861"/>
        <w:gridCol w:w="1108"/>
        <w:gridCol w:w="1058"/>
        <w:gridCol w:w="984"/>
        <w:gridCol w:w="787"/>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497" w:type="dxa"/>
          </w:tcPr>
          <w:p>
            <w:pPr>
              <w:spacing w:line="400" w:lineRule="exact"/>
              <w:jc w:val="center"/>
              <w:rPr>
                <w:sz w:val="22"/>
                <w:szCs w:val="22"/>
              </w:rPr>
            </w:pPr>
            <w:r>
              <w:rPr>
                <w:sz w:val="22"/>
                <w:szCs w:val="22"/>
              </w:rPr>
              <w:t>设备名称</w:t>
            </w:r>
          </w:p>
        </w:tc>
        <w:tc>
          <w:tcPr>
            <w:tcW w:w="2881" w:type="dxa"/>
          </w:tcPr>
          <w:p>
            <w:pPr>
              <w:spacing w:line="400" w:lineRule="exact"/>
              <w:jc w:val="center"/>
              <w:rPr>
                <w:sz w:val="22"/>
                <w:szCs w:val="22"/>
              </w:rPr>
            </w:pPr>
            <w:r>
              <w:rPr>
                <w:sz w:val="22"/>
                <w:szCs w:val="22"/>
              </w:rPr>
              <w:t>规格型号</w:t>
            </w:r>
          </w:p>
        </w:tc>
        <w:tc>
          <w:tcPr>
            <w:tcW w:w="861" w:type="dxa"/>
          </w:tcPr>
          <w:p>
            <w:pPr>
              <w:spacing w:line="400" w:lineRule="exact"/>
              <w:jc w:val="center"/>
              <w:rPr>
                <w:sz w:val="22"/>
                <w:szCs w:val="22"/>
              </w:rPr>
            </w:pPr>
            <w:r>
              <w:rPr>
                <w:sz w:val="22"/>
                <w:szCs w:val="22"/>
              </w:rPr>
              <w:t>单位</w:t>
            </w:r>
          </w:p>
        </w:tc>
        <w:tc>
          <w:tcPr>
            <w:tcW w:w="1108" w:type="dxa"/>
          </w:tcPr>
          <w:p>
            <w:pPr>
              <w:spacing w:line="400" w:lineRule="exact"/>
              <w:jc w:val="center"/>
              <w:rPr>
                <w:sz w:val="22"/>
                <w:szCs w:val="22"/>
              </w:rPr>
            </w:pPr>
            <w:r>
              <w:rPr>
                <w:sz w:val="22"/>
                <w:szCs w:val="22"/>
              </w:rPr>
              <w:t>数量</w:t>
            </w:r>
          </w:p>
        </w:tc>
        <w:tc>
          <w:tcPr>
            <w:tcW w:w="1058" w:type="dxa"/>
          </w:tcPr>
          <w:p>
            <w:pPr>
              <w:spacing w:line="400" w:lineRule="exact"/>
              <w:jc w:val="center"/>
              <w:rPr>
                <w:sz w:val="22"/>
                <w:szCs w:val="22"/>
              </w:rPr>
            </w:pPr>
            <w:r>
              <w:rPr>
                <w:sz w:val="22"/>
                <w:szCs w:val="22"/>
              </w:rPr>
              <w:t>单价</w:t>
            </w:r>
          </w:p>
        </w:tc>
        <w:tc>
          <w:tcPr>
            <w:tcW w:w="984" w:type="dxa"/>
          </w:tcPr>
          <w:p>
            <w:pPr>
              <w:spacing w:line="400" w:lineRule="exact"/>
              <w:jc w:val="center"/>
              <w:rPr>
                <w:sz w:val="22"/>
                <w:szCs w:val="22"/>
              </w:rPr>
            </w:pPr>
            <w:r>
              <w:rPr>
                <w:sz w:val="22"/>
                <w:szCs w:val="22"/>
              </w:rPr>
              <w:t>小计</w:t>
            </w:r>
          </w:p>
        </w:tc>
        <w:tc>
          <w:tcPr>
            <w:tcW w:w="787" w:type="dxa"/>
          </w:tcPr>
          <w:p>
            <w:pPr>
              <w:spacing w:line="400" w:lineRule="exact"/>
              <w:jc w:val="center"/>
              <w:rPr>
                <w:sz w:val="22"/>
                <w:szCs w:val="22"/>
              </w:rPr>
            </w:pPr>
            <w:r>
              <w:rPr>
                <w:sz w:val="22"/>
                <w:szCs w:val="22"/>
              </w:rPr>
              <w:t>品牌</w:t>
            </w:r>
          </w:p>
        </w:tc>
        <w:tc>
          <w:tcPr>
            <w:tcW w:w="787" w:type="dxa"/>
          </w:tcPr>
          <w:p>
            <w:pPr>
              <w:spacing w:line="400" w:lineRule="exact"/>
              <w:jc w:val="center"/>
              <w:rPr>
                <w:sz w:val="22"/>
                <w:szCs w:val="22"/>
              </w:rPr>
            </w:pPr>
            <w:r>
              <w:rPr>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497" w:type="dxa"/>
          </w:tcPr>
          <w:p>
            <w:pPr>
              <w:spacing w:line="400" w:lineRule="exact"/>
              <w:rPr>
                <w:sz w:val="22"/>
                <w:szCs w:val="22"/>
              </w:rPr>
            </w:pPr>
          </w:p>
        </w:tc>
        <w:tc>
          <w:tcPr>
            <w:tcW w:w="2881" w:type="dxa"/>
          </w:tcPr>
          <w:p>
            <w:pPr>
              <w:spacing w:line="400" w:lineRule="exact"/>
              <w:rPr>
                <w:sz w:val="22"/>
                <w:szCs w:val="22"/>
              </w:rPr>
            </w:pPr>
          </w:p>
        </w:tc>
        <w:tc>
          <w:tcPr>
            <w:tcW w:w="861" w:type="dxa"/>
          </w:tcPr>
          <w:p>
            <w:pPr>
              <w:spacing w:line="400" w:lineRule="exact"/>
              <w:rPr>
                <w:sz w:val="22"/>
                <w:szCs w:val="22"/>
              </w:rPr>
            </w:pPr>
          </w:p>
        </w:tc>
        <w:tc>
          <w:tcPr>
            <w:tcW w:w="1108" w:type="dxa"/>
          </w:tcPr>
          <w:p>
            <w:pPr>
              <w:spacing w:line="400" w:lineRule="exact"/>
              <w:rPr>
                <w:sz w:val="22"/>
                <w:szCs w:val="22"/>
              </w:rPr>
            </w:pPr>
          </w:p>
        </w:tc>
        <w:tc>
          <w:tcPr>
            <w:tcW w:w="1058" w:type="dxa"/>
          </w:tcPr>
          <w:p>
            <w:pPr>
              <w:spacing w:line="400" w:lineRule="exact"/>
              <w:rPr>
                <w:sz w:val="22"/>
                <w:szCs w:val="22"/>
              </w:rPr>
            </w:pPr>
          </w:p>
        </w:tc>
        <w:tc>
          <w:tcPr>
            <w:tcW w:w="984" w:type="dxa"/>
          </w:tcPr>
          <w:p>
            <w:pPr>
              <w:spacing w:line="400" w:lineRule="exact"/>
              <w:rPr>
                <w:sz w:val="22"/>
                <w:szCs w:val="22"/>
              </w:rPr>
            </w:pPr>
          </w:p>
        </w:tc>
        <w:tc>
          <w:tcPr>
            <w:tcW w:w="787" w:type="dxa"/>
          </w:tcPr>
          <w:p>
            <w:pPr>
              <w:spacing w:line="400" w:lineRule="exact"/>
              <w:rPr>
                <w:sz w:val="22"/>
                <w:szCs w:val="22"/>
              </w:rPr>
            </w:pPr>
          </w:p>
        </w:tc>
        <w:tc>
          <w:tcPr>
            <w:tcW w:w="787" w:type="dxa"/>
          </w:tcPr>
          <w:p>
            <w:pPr>
              <w:spacing w:line="40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497" w:type="dxa"/>
          </w:tcPr>
          <w:p>
            <w:pPr>
              <w:spacing w:line="400" w:lineRule="exact"/>
              <w:rPr>
                <w:sz w:val="22"/>
                <w:szCs w:val="22"/>
              </w:rPr>
            </w:pPr>
          </w:p>
        </w:tc>
        <w:tc>
          <w:tcPr>
            <w:tcW w:w="2881" w:type="dxa"/>
          </w:tcPr>
          <w:p>
            <w:pPr>
              <w:spacing w:line="400" w:lineRule="exact"/>
              <w:rPr>
                <w:sz w:val="22"/>
                <w:szCs w:val="22"/>
              </w:rPr>
            </w:pPr>
          </w:p>
        </w:tc>
        <w:tc>
          <w:tcPr>
            <w:tcW w:w="861" w:type="dxa"/>
          </w:tcPr>
          <w:p>
            <w:pPr>
              <w:spacing w:line="400" w:lineRule="exact"/>
              <w:rPr>
                <w:sz w:val="22"/>
                <w:szCs w:val="22"/>
              </w:rPr>
            </w:pPr>
          </w:p>
        </w:tc>
        <w:tc>
          <w:tcPr>
            <w:tcW w:w="1108" w:type="dxa"/>
          </w:tcPr>
          <w:p>
            <w:pPr>
              <w:spacing w:line="400" w:lineRule="exact"/>
              <w:rPr>
                <w:sz w:val="22"/>
                <w:szCs w:val="22"/>
              </w:rPr>
            </w:pPr>
          </w:p>
        </w:tc>
        <w:tc>
          <w:tcPr>
            <w:tcW w:w="1058" w:type="dxa"/>
          </w:tcPr>
          <w:p>
            <w:pPr>
              <w:spacing w:line="400" w:lineRule="exact"/>
              <w:rPr>
                <w:sz w:val="22"/>
                <w:szCs w:val="22"/>
              </w:rPr>
            </w:pPr>
          </w:p>
        </w:tc>
        <w:tc>
          <w:tcPr>
            <w:tcW w:w="984" w:type="dxa"/>
          </w:tcPr>
          <w:p>
            <w:pPr>
              <w:spacing w:line="400" w:lineRule="exact"/>
              <w:rPr>
                <w:sz w:val="22"/>
                <w:szCs w:val="22"/>
              </w:rPr>
            </w:pPr>
          </w:p>
        </w:tc>
        <w:tc>
          <w:tcPr>
            <w:tcW w:w="787" w:type="dxa"/>
          </w:tcPr>
          <w:p>
            <w:pPr>
              <w:spacing w:line="400" w:lineRule="exact"/>
              <w:rPr>
                <w:sz w:val="22"/>
                <w:szCs w:val="22"/>
              </w:rPr>
            </w:pPr>
          </w:p>
        </w:tc>
        <w:tc>
          <w:tcPr>
            <w:tcW w:w="787" w:type="dxa"/>
          </w:tcPr>
          <w:p>
            <w:pPr>
              <w:spacing w:line="40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497" w:type="dxa"/>
          </w:tcPr>
          <w:p>
            <w:pPr>
              <w:spacing w:line="400" w:lineRule="exact"/>
              <w:rPr>
                <w:sz w:val="22"/>
                <w:szCs w:val="22"/>
              </w:rPr>
            </w:pPr>
          </w:p>
        </w:tc>
        <w:tc>
          <w:tcPr>
            <w:tcW w:w="2881" w:type="dxa"/>
          </w:tcPr>
          <w:p>
            <w:pPr>
              <w:spacing w:line="400" w:lineRule="exact"/>
              <w:rPr>
                <w:sz w:val="22"/>
                <w:szCs w:val="22"/>
              </w:rPr>
            </w:pPr>
          </w:p>
        </w:tc>
        <w:tc>
          <w:tcPr>
            <w:tcW w:w="861" w:type="dxa"/>
          </w:tcPr>
          <w:p>
            <w:pPr>
              <w:spacing w:line="400" w:lineRule="exact"/>
              <w:rPr>
                <w:sz w:val="22"/>
                <w:szCs w:val="22"/>
              </w:rPr>
            </w:pPr>
          </w:p>
        </w:tc>
        <w:tc>
          <w:tcPr>
            <w:tcW w:w="1108" w:type="dxa"/>
          </w:tcPr>
          <w:p>
            <w:pPr>
              <w:spacing w:line="400" w:lineRule="exact"/>
              <w:rPr>
                <w:sz w:val="22"/>
                <w:szCs w:val="22"/>
              </w:rPr>
            </w:pPr>
          </w:p>
        </w:tc>
        <w:tc>
          <w:tcPr>
            <w:tcW w:w="1058" w:type="dxa"/>
          </w:tcPr>
          <w:p>
            <w:pPr>
              <w:spacing w:line="400" w:lineRule="exact"/>
              <w:rPr>
                <w:sz w:val="22"/>
                <w:szCs w:val="22"/>
              </w:rPr>
            </w:pPr>
          </w:p>
        </w:tc>
        <w:tc>
          <w:tcPr>
            <w:tcW w:w="984" w:type="dxa"/>
          </w:tcPr>
          <w:p>
            <w:pPr>
              <w:spacing w:line="400" w:lineRule="exact"/>
              <w:rPr>
                <w:sz w:val="22"/>
                <w:szCs w:val="22"/>
              </w:rPr>
            </w:pPr>
          </w:p>
        </w:tc>
        <w:tc>
          <w:tcPr>
            <w:tcW w:w="787" w:type="dxa"/>
          </w:tcPr>
          <w:p>
            <w:pPr>
              <w:spacing w:line="400" w:lineRule="exact"/>
              <w:rPr>
                <w:sz w:val="22"/>
                <w:szCs w:val="22"/>
              </w:rPr>
            </w:pPr>
          </w:p>
        </w:tc>
        <w:tc>
          <w:tcPr>
            <w:tcW w:w="787" w:type="dxa"/>
          </w:tcPr>
          <w:p>
            <w:pPr>
              <w:spacing w:line="40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497" w:type="dxa"/>
          </w:tcPr>
          <w:p>
            <w:pPr>
              <w:spacing w:line="400" w:lineRule="exact"/>
              <w:rPr>
                <w:sz w:val="22"/>
                <w:szCs w:val="22"/>
              </w:rPr>
            </w:pPr>
          </w:p>
        </w:tc>
        <w:tc>
          <w:tcPr>
            <w:tcW w:w="2881" w:type="dxa"/>
          </w:tcPr>
          <w:p>
            <w:pPr>
              <w:spacing w:line="400" w:lineRule="exact"/>
              <w:rPr>
                <w:sz w:val="22"/>
                <w:szCs w:val="22"/>
              </w:rPr>
            </w:pPr>
          </w:p>
        </w:tc>
        <w:tc>
          <w:tcPr>
            <w:tcW w:w="861" w:type="dxa"/>
          </w:tcPr>
          <w:p>
            <w:pPr>
              <w:spacing w:line="400" w:lineRule="exact"/>
              <w:rPr>
                <w:sz w:val="22"/>
                <w:szCs w:val="22"/>
              </w:rPr>
            </w:pPr>
          </w:p>
        </w:tc>
        <w:tc>
          <w:tcPr>
            <w:tcW w:w="1108" w:type="dxa"/>
          </w:tcPr>
          <w:p>
            <w:pPr>
              <w:spacing w:line="400" w:lineRule="exact"/>
              <w:rPr>
                <w:sz w:val="22"/>
                <w:szCs w:val="22"/>
              </w:rPr>
            </w:pPr>
          </w:p>
        </w:tc>
        <w:tc>
          <w:tcPr>
            <w:tcW w:w="1058" w:type="dxa"/>
          </w:tcPr>
          <w:p>
            <w:pPr>
              <w:spacing w:line="400" w:lineRule="exact"/>
              <w:rPr>
                <w:sz w:val="22"/>
                <w:szCs w:val="22"/>
              </w:rPr>
            </w:pPr>
          </w:p>
        </w:tc>
        <w:tc>
          <w:tcPr>
            <w:tcW w:w="984" w:type="dxa"/>
          </w:tcPr>
          <w:p>
            <w:pPr>
              <w:spacing w:line="400" w:lineRule="exact"/>
              <w:rPr>
                <w:sz w:val="22"/>
                <w:szCs w:val="22"/>
              </w:rPr>
            </w:pPr>
          </w:p>
        </w:tc>
        <w:tc>
          <w:tcPr>
            <w:tcW w:w="787" w:type="dxa"/>
          </w:tcPr>
          <w:p>
            <w:pPr>
              <w:spacing w:line="400" w:lineRule="exact"/>
              <w:rPr>
                <w:sz w:val="22"/>
                <w:szCs w:val="22"/>
              </w:rPr>
            </w:pPr>
          </w:p>
        </w:tc>
        <w:tc>
          <w:tcPr>
            <w:tcW w:w="787" w:type="dxa"/>
          </w:tcPr>
          <w:p>
            <w:pPr>
              <w:spacing w:line="40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497" w:type="dxa"/>
          </w:tcPr>
          <w:p>
            <w:pPr>
              <w:spacing w:line="400" w:lineRule="exact"/>
              <w:rPr>
                <w:sz w:val="22"/>
                <w:szCs w:val="22"/>
              </w:rPr>
            </w:pPr>
          </w:p>
        </w:tc>
        <w:tc>
          <w:tcPr>
            <w:tcW w:w="2881" w:type="dxa"/>
          </w:tcPr>
          <w:p>
            <w:pPr>
              <w:spacing w:line="400" w:lineRule="exact"/>
              <w:rPr>
                <w:sz w:val="22"/>
                <w:szCs w:val="22"/>
              </w:rPr>
            </w:pPr>
          </w:p>
        </w:tc>
        <w:tc>
          <w:tcPr>
            <w:tcW w:w="861" w:type="dxa"/>
          </w:tcPr>
          <w:p>
            <w:pPr>
              <w:spacing w:line="400" w:lineRule="exact"/>
              <w:rPr>
                <w:sz w:val="22"/>
                <w:szCs w:val="22"/>
              </w:rPr>
            </w:pPr>
          </w:p>
        </w:tc>
        <w:tc>
          <w:tcPr>
            <w:tcW w:w="1108" w:type="dxa"/>
          </w:tcPr>
          <w:p>
            <w:pPr>
              <w:spacing w:line="400" w:lineRule="exact"/>
              <w:rPr>
                <w:sz w:val="22"/>
                <w:szCs w:val="22"/>
              </w:rPr>
            </w:pPr>
          </w:p>
        </w:tc>
        <w:tc>
          <w:tcPr>
            <w:tcW w:w="1058" w:type="dxa"/>
          </w:tcPr>
          <w:p>
            <w:pPr>
              <w:spacing w:line="400" w:lineRule="exact"/>
              <w:rPr>
                <w:sz w:val="22"/>
                <w:szCs w:val="22"/>
              </w:rPr>
            </w:pPr>
          </w:p>
        </w:tc>
        <w:tc>
          <w:tcPr>
            <w:tcW w:w="984" w:type="dxa"/>
          </w:tcPr>
          <w:p>
            <w:pPr>
              <w:spacing w:line="400" w:lineRule="exact"/>
              <w:rPr>
                <w:sz w:val="22"/>
                <w:szCs w:val="22"/>
              </w:rPr>
            </w:pPr>
          </w:p>
        </w:tc>
        <w:tc>
          <w:tcPr>
            <w:tcW w:w="787" w:type="dxa"/>
          </w:tcPr>
          <w:p>
            <w:pPr>
              <w:spacing w:line="400" w:lineRule="exact"/>
              <w:rPr>
                <w:sz w:val="22"/>
                <w:szCs w:val="22"/>
              </w:rPr>
            </w:pPr>
          </w:p>
        </w:tc>
        <w:tc>
          <w:tcPr>
            <w:tcW w:w="787" w:type="dxa"/>
          </w:tcPr>
          <w:p>
            <w:pPr>
              <w:spacing w:line="40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97" w:type="dxa"/>
          </w:tcPr>
          <w:p>
            <w:pPr>
              <w:spacing w:line="400" w:lineRule="exact"/>
              <w:rPr>
                <w:sz w:val="22"/>
                <w:szCs w:val="22"/>
              </w:rPr>
            </w:pPr>
            <w:r>
              <w:rPr>
                <w:sz w:val="22"/>
                <w:szCs w:val="22"/>
              </w:rPr>
              <w:t>总合计</w:t>
            </w:r>
          </w:p>
        </w:tc>
        <w:tc>
          <w:tcPr>
            <w:tcW w:w="8466" w:type="dxa"/>
            <w:gridSpan w:val="7"/>
          </w:tcPr>
          <w:p>
            <w:pPr>
              <w:spacing w:line="400" w:lineRule="exact"/>
              <w:rPr>
                <w:sz w:val="22"/>
                <w:szCs w:val="22"/>
                <w:u w:val="single"/>
              </w:rPr>
            </w:pPr>
            <w:r>
              <w:rPr>
                <w:sz w:val="22"/>
                <w:szCs w:val="22"/>
                <w:u w:val="single"/>
              </w:rPr>
              <w:t xml:space="preserve">大写：                        小写：                   </w:t>
            </w:r>
          </w:p>
        </w:tc>
      </w:tr>
    </w:tbl>
    <w:p>
      <w:pPr>
        <w:spacing w:line="440" w:lineRule="exact"/>
        <w:rPr>
          <w:b/>
          <w:bCs/>
          <w:sz w:val="22"/>
          <w:szCs w:val="22"/>
        </w:rPr>
      </w:pPr>
      <w:r>
        <w:rPr>
          <w:b/>
          <w:bCs/>
          <w:sz w:val="22"/>
          <w:szCs w:val="22"/>
        </w:rPr>
        <w:t>第二条  合同总价款</w:t>
      </w:r>
    </w:p>
    <w:p>
      <w:pPr>
        <w:spacing w:line="360" w:lineRule="auto"/>
        <w:ind w:firstLine="442" w:firstLineChars="200"/>
        <w:rPr>
          <w:rFonts w:hint="eastAsia" w:ascii="宋体" w:hAnsi="宋体" w:cs="宋体"/>
          <w:sz w:val="22"/>
          <w:szCs w:val="22"/>
        </w:rPr>
      </w:pPr>
      <w:r>
        <w:rPr>
          <w:rFonts w:hint="eastAsia" w:ascii="宋体" w:hAnsi="宋体" w:cs="宋体"/>
          <w:b/>
          <w:bCs/>
          <w:sz w:val="22"/>
          <w:szCs w:val="22"/>
        </w:rPr>
        <w:t>1、</w:t>
      </w:r>
      <w:r>
        <w:rPr>
          <w:rFonts w:hint="eastAsia" w:ascii="宋体" w:hAnsi="宋体" w:cs="宋体"/>
          <w:sz w:val="22"/>
          <w:szCs w:val="22"/>
        </w:rPr>
        <w:t>合同总价（含税）：（人民币）大写</w:t>
      </w: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r>
        <w:rPr>
          <w:rFonts w:hint="eastAsia" w:ascii="宋体" w:hAnsi="宋体" w:cs="宋体"/>
          <w:sz w:val="22"/>
          <w:szCs w:val="22"/>
        </w:rPr>
        <w:t>增值税税率为：</w:t>
      </w:r>
      <w:r>
        <w:rPr>
          <w:rFonts w:hint="eastAsia" w:ascii="宋体" w:hAnsi="宋体" w:cs="宋体"/>
          <w:sz w:val="22"/>
          <w:szCs w:val="22"/>
          <w:highlight w:val="yellow"/>
          <w:u w:val="single"/>
        </w:rPr>
        <w:t>13%</w:t>
      </w:r>
      <w:r>
        <w:rPr>
          <w:rFonts w:hint="eastAsia" w:ascii="宋体" w:hAnsi="宋体" w:cs="宋体"/>
          <w:sz w:val="22"/>
          <w:szCs w:val="22"/>
        </w:rPr>
        <w:t>。</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2、总价应包括材料（主要及辅助材料）及设备的生产（购买）、包装、运输、装卸、加工（含加工过程中的主要及辅助材料损耗）、施工（含施工过程中的主要及辅助材料损耗）、检测、验收、维保、培训、利润、税金、安全经费、文明施工费、临时设施费、环保费及其他相关施工措施费用和技术措施费用、规费等全部费用。</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3.本项目为总价合同，乙方须完成图纸、清单、答疑等招标范围内的所有内容。</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4.结算方式：</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结算价=合同总价-暂列金额+其他</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其他是指增减工程量涉及价款调整、增值税税率调整（执行国家、省市相关文件调整）等。</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5.增减工程量的综合单价确定原则：</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（1）已标价清单中有相同子目的，利用其综合单价；</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（2）已标价清单中有相似子目的，参照其综合单价；</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（3）已标价清单中没有可利用子目的，按施工当期市场价格并结合投标降幅考虑其综合单价。</w:t>
      </w:r>
    </w:p>
    <w:p>
      <w:pPr>
        <w:spacing w:line="360" w:lineRule="auto"/>
        <w:rPr>
          <w:rFonts w:hint="eastAsia" w:ascii="宋体" w:hAnsi="宋体" w:cs="宋体"/>
          <w:b/>
          <w:bCs/>
          <w:sz w:val="22"/>
          <w:szCs w:val="22"/>
        </w:rPr>
      </w:pPr>
      <w:r>
        <w:rPr>
          <w:rFonts w:hint="eastAsia" w:ascii="宋体" w:hAnsi="宋体" w:cs="宋体"/>
          <w:b/>
          <w:bCs/>
          <w:sz w:val="22"/>
          <w:szCs w:val="22"/>
        </w:rPr>
        <w:t>第三条 产品的技术标准（包括质量要求），按下列第（①）项执行：</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①按国家标准执行；②按部颁标准执行；③若无以上标准，则应不低于同行业质量标准；④有特殊要求的，按甲乙双方在合同中商定的技术条件、样品或补充的技术要求执行；乙方提供和交付的货物技术标准应与招标文件规定的技术标准相一致。若技术标准中无相应规定，所投货物应符合相应的国际标准或原产地国家有关部门最新颁布的相应的正式标准。</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进口产品的质量标准为</w:t>
      </w:r>
      <w:r>
        <w:rPr>
          <w:rFonts w:hint="eastAsia" w:ascii="宋体" w:hAnsi="宋体" w:cs="宋体"/>
          <w:sz w:val="22"/>
          <w:szCs w:val="22"/>
          <w:u w:val="single"/>
        </w:rPr>
        <w:t xml:space="preserve"> 合格</w:t>
      </w:r>
      <w:r>
        <w:rPr>
          <w:rFonts w:hint="eastAsia" w:ascii="宋体" w:hAnsi="宋体" w:cs="宋体"/>
          <w:sz w:val="22"/>
          <w:szCs w:val="22"/>
        </w:rPr>
        <w:t xml:space="preserve"> 。</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乙方所提供的货物应是全新、未使用过的，是完全符合以上质量标准的原装正品（含零部件、配件、随机工具等），表面无划伤、无碰撞；相关的施工安装是由持有有权部门核发上岗证书的安装调试人员按照国际或国家现行安装验收规范来实施的；乙方所提供的货物在正确安装、正常使用和保养条件下，在其使用寿命内应具有满意的性能。</w:t>
      </w:r>
    </w:p>
    <w:p>
      <w:pPr>
        <w:spacing w:line="360" w:lineRule="auto"/>
        <w:rPr>
          <w:rFonts w:hint="eastAsia" w:ascii="宋体" w:hAnsi="宋体" w:cs="宋体"/>
          <w:b/>
          <w:bCs/>
          <w:sz w:val="22"/>
          <w:szCs w:val="22"/>
        </w:rPr>
      </w:pPr>
      <w:r>
        <w:rPr>
          <w:rFonts w:hint="eastAsia" w:ascii="宋体" w:hAnsi="宋体" w:cs="宋体"/>
          <w:b/>
          <w:bCs/>
          <w:sz w:val="22"/>
          <w:szCs w:val="22"/>
        </w:rPr>
        <w:t>第四条 包装、运输、保险</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1、乙方所供货物的制造商原装出厂包装箱号与设备出厂批号一致。</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2、包装必须与运输方式相适应，包装方式的确定及包装费用均由乙方负责，由于不适当的包装而造成货物在运输过程中有任何损坏、丢失由乙方负责。</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3、包装应足以承受整个过程中的运输、转运、贮存等，并考虑合肥市地区</w:t>
      </w:r>
      <w:r>
        <w:rPr>
          <w:rFonts w:hint="eastAsia" w:ascii="宋体" w:hAnsi="宋体" w:cs="宋体"/>
          <w:sz w:val="22"/>
          <w:szCs w:val="22"/>
          <w:lang w:eastAsia="zh-CN"/>
        </w:rPr>
        <w:t>地</w:t>
      </w:r>
      <w:r>
        <w:rPr>
          <w:rFonts w:hint="eastAsia" w:ascii="宋体" w:hAnsi="宋体" w:cs="宋体"/>
          <w:sz w:val="22"/>
          <w:szCs w:val="22"/>
        </w:rPr>
        <w:t>气候特点。</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4、每一包装箱两个侧面用不褪色的容易识别的中文字样</w:t>
      </w:r>
      <w:r>
        <w:rPr>
          <w:rFonts w:hint="eastAsia" w:ascii="宋体" w:hAnsi="宋体" w:cs="宋体"/>
          <w:sz w:val="22"/>
          <w:szCs w:val="22"/>
          <w:lang w:eastAsia="zh-CN"/>
        </w:rPr>
        <w:t>做出</w:t>
      </w:r>
      <w:r>
        <w:rPr>
          <w:rFonts w:hint="eastAsia" w:ascii="宋体" w:hAnsi="宋体" w:cs="宋体"/>
          <w:sz w:val="22"/>
          <w:szCs w:val="22"/>
        </w:rPr>
        <w:t>标记：箱号、装运标志、毛重、净重、到货地址、收货人名称、货物名称等。</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5、货物在验收合格前的保险由乙方负责，并负责其派出的现场服务人员人身意外保险。</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【注：合同中约定的包装标准应与乙方在投标文件中承诺的一致，且投标文件应作为合同附件与合同具有同等法律效力。】</w:t>
      </w:r>
    </w:p>
    <w:p>
      <w:pPr>
        <w:spacing w:line="360" w:lineRule="auto"/>
        <w:rPr>
          <w:rFonts w:hint="eastAsia" w:ascii="宋体" w:hAnsi="宋体" w:cs="宋体"/>
          <w:b/>
          <w:bCs/>
          <w:sz w:val="22"/>
          <w:szCs w:val="22"/>
        </w:rPr>
      </w:pPr>
      <w:r>
        <w:rPr>
          <w:rFonts w:hint="eastAsia" w:ascii="宋体" w:hAnsi="宋体" w:cs="宋体"/>
          <w:b/>
          <w:bCs/>
          <w:sz w:val="22"/>
          <w:szCs w:val="22"/>
        </w:rPr>
        <w:t>第五条 产品的交货方法、到货地点和完工期限</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1.交货方法，按下列第（①）项执行：</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①乙方送货上门；②乙方代运；③甲方自提自运。</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2.到货地点：合肥市</w:t>
      </w:r>
      <w:r>
        <w:rPr>
          <w:rFonts w:hint="eastAsia" w:ascii="宋体" w:hAnsi="宋体" w:cs="宋体"/>
          <w:sz w:val="22"/>
          <w:szCs w:val="22"/>
          <w:lang w:eastAsia="zh-CN"/>
        </w:rPr>
        <w:t>（</w:t>
      </w:r>
      <w:r>
        <w:rPr>
          <w:rFonts w:hint="eastAsia" w:ascii="宋体" w:hAnsi="宋体" w:cs="宋体"/>
          <w:sz w:val="22"/>
          <w:szCs w:val="22"/>
        </w:rPr>
        <w:t>甲方指定的任何地点，安装并调试.)</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3.交货期限：接单个项目所属分子公司书面供货通知书之日起（按总包单位组团进度）30 个日历天内货到现场（单个项目所属分子公司指定地点）</w:t>
      </w:r>
    </w:p>
    <w:p>
      <w:pPr>
        <w:spacing w:line="360" w:lineRule="auto"/>
        <w:rPr>
          <w:rFonts w:hint="eastAsia" w:ascii="宋体" w:hAnsi="宋体" w:cs="宋体"/>
          <w:b/>
          <w:bCs/>
          <w:sz w:val="22"/>
          <w:szCs w:val="22"/>
        </w:rPr>
      </w:pPr>
      <w:r>
        <w:rPr>
          <w:rFonts w:hint="eastAsia" w:ascii="宋体" w:hAnsi="宋体" w:cs="宋体"/>
          <w:b/>
          <w:bCs/>
          <w:sz w:val="22"/>
          <w:szCs w:val="22"/>
        </w:rPr>
        <w:t>第六条 付款条件</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本合同以人民币付款。</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1.货按批次到工地全部安装完毕，经建设单位、总包单位、监理单位验收合格后付至该批次货款的60%；</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2.总承包工程竣工验收合格、移交后付至总货款的85%；</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3.总承包工程结算审计且总承包工程备案完成，供货人根据结算金额开具100%全额发票后付至结算价的 97%，余款 3%作为质保金待质保期满后一次性付清（无息）。</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备注：</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1）中标人应按招标人要求出具符合国家税务规定的合法有效的增值税专用发票，并确保开具发票的真实性、合法性、有效性（发票，必须保持票面干净、整洁、无折痕，发票的正反两面均不能留下任何脏、乱及签字的痕迹）；如税率发生变化，结算以中标不含税价款为依据，按国家税收政策计算以及相应造价管理部门的造价管理办法进行结算。</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（2）投标人承诺延长免费质保期时间的，免费质保期以承诺为准。</w:t>
      </w:r>
    </w:p>
    <w:p>
      <w:pPr>
        <w:spacing w:line="360" w:lineRule="auto"/>
        <w:rPr>
          <w:rFonts w:hint="eastAsia" w:ascii="宋体" w:hAnsi="宋体" w:cs="宋体"/>
          <w:b/>
          <w:bCs/>
          <w:sz w:val="22"/>
          <w:szCs w:val="22"/>
        </w:rPr>
      </w:pPr>
      <w:r>
        <w:rPr>
          <w:rFonts w:hint="eastAsia" w:ascii="宋体" w:hAnsi="宋体" w:cs="宋体"/>
          <w:b/>
          <w:bCs/>
          <w:sz w:val="22"/>
          <w:szCs w:val="22"/>
        </w:rPr>
        <w:t>第七条 验收方法</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1.乙方货物进场以后，在 2 天内通知甲方、总包单位、监理单位验收。验收不合格的，乙方应负责重新提供达到本合同约定的质量要求的产品。期间产生的全部费用由乙方承担。</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2.总包安装调试后，乙方在 1 天内参加甲方组织的验收。若是乙方责任导致验收不合格的，则乙方负责重新提供达到本合同约定的质量要求的产品。期间产生的全部费用由乙方承担。</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3.甲、乙双方应严格履行合同有关条款，如果验收过程中发现乙方在没有征得甲方同意的情况下擅自变更合同标的物，将拒绝通过验收，且甲方有权解除合同，由此引起的一切后果及损失由乙方承担。</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4.甲方验收时，应成立三人以上（由甲方、乙方、监理方、施工总承包方等相关人员组成）验收小组，明确责任，严格依照有关部门对项目的各项批文、国家和省关于建设项目竣工验收的有关规定、施工图及有关说明、国家施工及验收规范和质量检验评定标准，以及招标文件、中标（成交）通知书、合同要求对所提供设备数量、质量、性能和安装等进行验收，形成验收结论，并出具书面验收报告。</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5.涉及安全、消防、环保等其他需要由质检或行业主管部门进行验收的项目，必须邀请相关部门或相关专家参与验收，在此期间发生的所有相关费用由乙方承担。</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6.检测、验收费用均由乙方承担。</w:t>
      </w:r>
    </w:p>
    <w:p>
      <w:pPr>
        <w:spacing w:line="360" w:lineRule="auto"/>
        <w:rPr>
          <w:rFonts w:hint="eastAsia" w:ascii="宋体" w:hAnsi="宋体" w:cs="宋体"/>
          <w:b/>
          <w:bCs/>
          <w:sz w:val="22"/>
          <w:szCs w:val="22"/>
        </w:rPr>
      </w:pPr>
      <w:r>
        <w:rPr>
          <w:rFonts w:hint="eastAsia" w:ascii="宋体" w:hAnsi="宋体" w:cs="宋体"/>
          <w:b/>
          <w:bCs/>
          <w:sz w:val="22"/>
          <w:szCs w:val="22"/>
        </w:rPr>
        <w:t>第八条 对产品提出异议的时间和办法</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1.甲方在验收中，如果发现产品不符合合同约定的，应一面妥为保管，一面在</w:t>
      </w:r>
      <w:r>
        <w:rPr>
          <w:rFonts w:hint="eastAsia" w:ascii="宋体" w:hAnsi="宋体" w:cs="宋体"/>
          <w:sz w:val="22"/>
          <w:szCs w:val="22"/>
          <w:u w:val="single"/>
        </w:rPr>
        <w:t xml:space="preserve"> 3 </w:t>
      </w:r>
      <w:r>
        <w:rPr>
          <w:rFonts w:hint="eastAsia" w:ascii="宋体" w:hAnsi="宋体" w:cs="宋体"/>
          <w:sz w:val="22"/>
          <w:szCs w:val="22"/>
        </w:rPr>
        <w:t>工作日内向乙方书面提出异议。具体说明产品不符合规定的内容并附相关验收材料，同时提出不符合规定产品的处理意见。</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2.验收合格后，甲方因使用、保管、保养不善等造成产品质量下降的，不得提出异议。</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3.乙方在接到甲方异议后，应在</w:t>
      </w:r>
      <w:r>
        <w:rPr>
          <w:rFonts w:hint="eastAsia" w:ascii="宋体" w:hAnsi="宋体" w:cs="宋体"/>
          <w:sz w:val="22"/>
          <w:szCs w:val="22"/>
          <w:u w:val="single"/>
        </w:rPr>
        <w:t xml:space="preserve"> 2 </w:t>
      </w:r>
      <w:r>
        <w:rPr>
          <w:rFonts w:hint="eastAsia" w:ascii="宋体" w:hAnsi="宋体" w:cs="宋体"/>
          <w:sz w:val="22"/>
          <w:szCs w:val="22"/>
        </w:rPr>
        <w:t>工作日内负责处理，否则，即视为默认甲方提出的异议和处理意见。</w:t>
      </w:r>
    </w:p>
    <w:p>
      <w:pPr>
        <w:spacing w:line="360" w:lineRule="auto"/>
        <w:rPr>
          <w:rFonts w:hint="eastAsia" w:ascii="宋体" w:hAnsi="宋体" w:cs="宋体"/>
          <w:sz w:val="22"/>
          <w:szCs w:val="22"/>
        </w:rPr>
      </w:pPr>
      <w:r>
        <w:rPr>
          <w:rFonts w:hint="eastAsia" w:ascii="宋体" w:hAnsi="宋体" w:cs="宋体"/>
          <w:b/>
          <w:bCs/>
          <w:sz w:val="22"/>
          <w:szCs w:val="22"/>
        </w:rPr>
        <w:t xml:space="preserve">第九条 </w:t>
      </w:r>
      <w:r>
        <w:rPr>
          <w:rFonts w:hint="eastAsia" w:ascii="宋体" w:hAnsi="宋体" w:cs="宋体"/>
          <w:sz w:val="22"/>
          <w:szCs w:val="22"/>
        </w:rPr>
        <w:t>乙方应提供完善周到的技术支持和售后服务，否则甲方在进行事实调查的基础上，视情节轻重从乙方的履约保证金或质保金中扣除部分或全部补偿甲方。</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1.免费质保期</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乙方对其所提供的货物免费质保期 年，免费质保期从 项目验收合格并移交物业且备案完成之日起 开始。乙方应在接到报修通知后</w:t>
      </w:r>
      <w:r>
        <w:rPr>
          <w:rFonts w:hint="eastAsia" w:ascii="宋体" w:hAnsi="宋体" w:cs="宋体"/>
          <w:sz w:val="22"/>
          <w:szCs w:val="22"/>
          <w:u w:val="single"/>
        </w:rPr>
        <w:t xml:space="preserve"> 1 </w:t>
      </w:r>
      <w:r>
        <w:rPr>
          <w:rFonts w:hint="eastAsia" w:ascii="宋体" w:hAnsi="宋体" w:cs="宋体"/>
          <w:sz w:val="22"/>
          <w:szCs w:val="22"/>
        </w:rPr>
        <w:t>天内上门维修，负责更换有瑕疵的货物、部件或提供相应的免费质保期内的服务。由此造成的损失，甲方保留索赔的权利。如果乙方在收到报修通知后 1 天内没有弥补缺陷，甲方可采取必要的补救措施或委托第三方予以修复，但费用和风险由乙方承担。甲方有权直接从质保金中予以扣除。</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2.维修</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免费质保期届满后，乙方应对其提供的货物负有维修义务，但所涉及的费用由甲方承担。但乙方只收取基本的材料费。</w:t>
      </w:r>
    </w:p>
    <w:p>
      <w:pPr>
        <w:spacing w:line="360" w:lineRule="auto"/>
        <w:rPr>
          <w:rFonts w:hint="eastAsia" w:ascii="宋体" w:hAnsi="宋体" w:cs="宋体"/>
          <w:b/>
          <w:bCs/>
          <w:sz w:val="22"/>
          <w:szCs w:val="22"/>
        </w:rPr>
      </w:pPr>
      <w:r>
        <w:rPr>
          <w:rFonts w:hint="eastAsia" w:ascii="宋体" w:hAnsi="宋体" w:cs="宋体"/>
          <w:b/>
          <w:bCs/>
          <w:sz w:val="22"/>
          <w:szCs w:val="22"/>
        </w:rPr>
        <w:t>第十条 乙方的违约责任</w:t>
      </w:r>
    </w:p>
    <w:p>
      <w:pPr>
        <w:spacing w:line="360" w:lineRule="auto"/>
        <w:ind w:firstLine="440" w:firstLineChars="200"/>
        <w:rPr>
          <w:rFonts w:hint="eastAsia" w:ascii="宋体" w:hAnsi="宋体" w:cs="宋体"/>
          <w:sz w:val="22"/>
          <w:szCs w:val="22"/>
          <w:highlight w:val="yellow"/>
        </w:rPr>
      </w:pPr>
      <w:r>
        <w:rPr>
          <w:rFonts w:hint="eastAsia" w:ascii="宋体" w:hAnsi="宋体" w:cs="宋体"/>
          <w:sz w:val="22"/>
          <w:szCs w:val="22"/>
          <w:highlight w:val="yellow"/>
        </w:rPr>
        <w:t>1.乙方不能按合同约定交货的，须向甲方偿付合同价的 5 %（通用产品的幅度为 1%～5%，专用产品的幅度为 10%～30%）的违约金。</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2.乙方所交产品不符合合同约定的，应根据产品的具体情况，由乙方负责包换或包修，并承担修理、调换或退货而支付的实际费用</w:t>
      </w:r>
      <w:r>
        <w:rPr>
          <w:rFonts w:hint="eastAsia" w:ascii="宋体" w:hAnsi="宋体" w:cs="宋体"/>
          <w:sz w:val="22"/>
          <w:szCs w:val="22"/>
          <w:lang w:eastAsia="zh-CN"/>
        </w:rPr>
        <w:t>，</w:t>
      </w:r>
      <w:r>
        <w:rPr>
          <w:rFonts w:hint="eastAsia" w:ascii="宋体" w:hAnsi="宋体" w:cs="宋体"/>
          <w:sz w:val="22"/>
          <w:szCs w:val="22"/>
        </w:rPr>
        <w:t>同时，乙方应按约定，对更换件相应延长免费质保期，并赔偿甲方相应的损失。乙方不能修理或者不能调换的，按不能交货处理。</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3.乙方因产品包装不符合合同约定，必须返修或重新包装的，乙方应负责返修或</w:t>
      </w:r>
      <w:r>
        <w:rPr>
          <w:rFonts w:hint="eastAsia" w:ascii="宋体" w:hAnsi="宋体" w:cs="宋体"/>
          <w:sz w:val="22"/>
          <w:szCs w:val="22"/>
          <w:lang w:eastAsia="zh-CN"/>
        </w:rPr>
        <w:t>重新</w:t>
      </w:r>
      <w:r>
        <w:rPr>
          <w:rFonts w:hint="eastAsia" w:ascii="宋体" w:hAnsi="宋体" w:cs="宋体"/>
          <w:sz w:val="22"/>
          <w:szCs w:val="22"/>
        </w:rPr>
        <w:t>包装，并承担支付的费用。甲方不要求返修或重新包装而要求赔偿损失的，乙方应当偿付甲方该不合格包装物低于合格包装物的价值部分。因包装不符合约定造成货物损坏或灭失的，乙方应当负责赔偿。每件货物包装箱内应附一份详细装箱单和质量证书。为进口件的，应出具报关手续和原产地、原产工厂证明、报关手续和商检证明等。</w:t>
      </w:r>
    </w:p>
    <w:p>
      <w:pPr>
        <w:spacing w:line="360" w:lineRule="auto"/>
        <w:ind w:firstLine="440" w:firstLineChars="200"/>
        <w:rPr>
          <w:rFonts w:hint="eastAsia" w:ascii="宋体" w:hAnsi="宋体" w:cs="宋体"/>
          <w:sz w:val="22"/>
          <w:szCs w:val="22"/>
          <w:highlight w:val="yellow"/>
        </w:rPr>
      </w:pPr>
      <w:r>
        <w:rPr>
          <w:rFonts w:hint="eastAsia" w:ascii="宋体" w:hAnsi="宋体" w:cs="宋体"/>
          <w:sz w:val="22"/>
          <w:szCs w:val="22"/>
        </w:rPr>
        <w:t>4.</w:t>
      </w:r>
      <w:r>
        <w:rPr>
          <w:rFonts w:hint="eastAsia" w:ascii="宋体" w:hAnsi="宋体" w:cs="宋体"/>
          <w:sz w:val="22"/>
          <w:szCs w:val="22"/>
          <w:highlight w:val="yellow"/>
        </w:rPr>
        <w:t>如果乙方没有按照约定的时间交货、完成货物安装和提供服务，须向甲方支付违约金，违约金从货款中扣除，每延迟一日，每日按合同价的0.2%计收迟交货物、未完成安装或未提供服务的违约金。但违约金的最高限额为迟交货物或提供服务合同价的5%。如果达到最高限额，甲方应考虑终止合同，由此给甲方造成的损失由乙方承担。如乙方未按合同约定时间交货、提供服务的期限超过30天的，甲方有权解除合同，并有权要求乙方按前述方式支付违约金，如违约金不足以弥补损失的，甲方有权向乙方追偿。</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5.乙方提前交货的产品、多交的产品和不符合合同约定的产品，甲方在代保管期内实际支付的保管、保养等费用以及非因甲方保管不善而发生的损失，应当由乙方承担。</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6.乙方应对其所提供的货物承担所有权担保责任，并应保证甲方在中华人民共和国内使用该货物时不侵犯第三人的知识产权。否则乙方应承担由此引起的一切法律责任及费用。</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7.任何一方未经对方同意而单方面终止合同的，应向对方赔偿相当于本合同总价款 20 %违约金。</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8.合同履行期间，乙方应做好安全防护工作，如造成乙方工作人员或第三人人身、财产损害的，全部责任由乙方负责，与甲方无关。如甲方先行支付的，有权向乙方追偿，甲方因此遭受的全部损失由乙方承担（包括但不限于诉讼费用、律师费等）。</w:t>
      </w:r>
    </w:p>
    <w:p>
      <w:pPr>
        <w:spacing w:line="360" w:lineRule="auto"/>
        <w:rPr>
          <w:rFonts w:hint="eastAsia" w:ascii="宋体" w:hAnsi="宋体" w:cs="宋体"/>
          <w:b/>
          <w:bCs/>
          <w:sz w:val="22"/>
          <w:szCs w:val="22"/>
        </w:rPr>
      </w:pPr>
      <w:r>
        <w:rPr>
          <w:rFonts w:hint="eastAsia" w:ascii="宋体" w:hAnsi="宋体" w:cs="宋体"/>
          <w:b/>
          <w:bCs/>
          <w:sz w:val="22"/>
          <w:szCs w:val="22"/>
        </w:rPr>
        <w:t>第十一条 甲方的违约责任</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1.甲方中途退货，应向乙方偿付退货部分货款5%（通用产品的幅度为 1%～5%专用产品的幅度为 15%～30%）的违约金。</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2.甲方违反合同约定拒绝接货的，应当承担由此造成的损失。</w:t>
      </w:r>
    </w:p>
    <w:p>
      <w:pPr>
        <w:spacing w:line="360" w:lineRule="auto"/>
        <w:rPr>
          <w:rFonts w:hint="eastAsia" w:ascii="宋体" w:hAnsi="宋体" w:cs="宋体"/>
          <w:b/>
          <w:bCs/>
          <w:sz w:val="22"/>
          <w:szCs w:val="22"/>
        </w:rPr>
      </w:pPr>
      <w:r>
        <w:rPr>
          <w:rFonts w:hint="eastAsia" w:ascii="宋体" w:hAnsi="宋体" w:cs="宋体"/>
          <w:b/>
          <w:bCs/>
          <w:sz w:val="22"/>
          <w:szCs w:val="22"/>
        </w:rPr>
        <w:t>第十二条 不可抗力</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1.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2.甲乙双方的任何一方由于不可抗力的原因不能履行合同时，应及时向对方通报不能履行或不能完全履行的理由，在取得有关主管机关证明以后，允许延期履行、部分履行或者不履行合同，并根据情况可部分或全部</w:t>
      </w:r>
      <w:r>
        <w:rPr>
          <w:rFonts w:hint="eastAsia" w:ascii="宋体" w:hAnsi="宋体" w:cs="宋体"/>
          <w:sz w:val="22"/>
          <w:szCs w:val="22"/>
          <w:lang w:eastAsia="zh-CN"/>
        </w:rPr>
        <w:t>免于</w:t>
      </w:r>
      <w:r>
        <w:rPr>
          <w:rFonts w:hint="eastAsia" w:ascii="宋体" w:hAnsi="宋体" w:cs="宋体"/>
          <w:sz w:val="22"/>
          <w:szCs w:val="22"/>
        </w:rPr>
        <w:t>承担违约责任。</w:t>
      </w:r>
    </w:p>
    <w:p>
      <w:pPr>
        <w:spacing w:line="360" w:lineRule="auto"/>
        <w:rPr>
          <w:rFonts w:hint="eastAsia" w:ascii="宋体" w:hAnsi="宋体" w:cs="宋体"/>
          <w:b/>
          <w:bCs/>
          <w:sz w:val="22"/>
          <w:szCs w:val="22"/>
        </w:rPr>
      </w:pPr>
      <w:r>
        <w:rPr>
          <w:rFonts w:hint="eastAsia" w:ascii="宋体" w:hAnsi="宋体" w:cs="宋体"/>
          <w:b/>
          <w:bCs/>
          <w:sz w:val="22"/>
          <w:szCs w:val="22"/>
        </w:rPr>
        <w:t>第十三条 履约保证金</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1.本项目履约保证金为</w:t>
      </w:r>
      <w:r>
        <w:rPr>
          <w:rFonts w:hint="eastAsia" w:ascii="宋体" w:hAnsi="宋体" w:cs="宋体"/>
          <w:sz w:val="22"/>
          <w:szCs w:val="22"/>
          <w:lang w:eastAsia="zh-CN"/>
        </w:rPr>
        <w:t>（</w:t>
      </w:r>
      <w:r>
        <w:rPr>
          <w:rFonts w:hint="eastAsia" w:ascii="宋体" w:hAnsi="宋体" w:cs="宋体"/>
          <w:sz w:val="22"/>
          <w:szCs w:val="22"/>
        </w:rPr>
        <w:t>人民币</w:t>
      </w:r>
      <w:r>
        <w:rPr>
          <w:rFonts w:hint="eastAsia" w:ascii="宋体" w:hAnsi="宋体" w:cs="宋体"/>
          <w:sz w:val="22"/>
          <w:szCs w:val="22"/>
          <w:lang w:eastAsia="zh-CN"/>
        </w:rPr>
        <w:t>），</w:t>
      </w:r>
      <w:r>
        <w:rPr>
          <w:rFonts w:hint="eastAsia" w:ascii="宋体" w:hAnsi="宋体" w:cs="宋体"/>
          <w:sz w:val="22"/>
          <w:szCs w:val="22"/>
        </w:rPr>
        <w:t>收受人为 ：</w:t>
      </w:r>
      <w:r>
        <w:rPr>
          <w:rFonts w:hint="eastAsia" w:ascii="宋体" w:hAnsi="宋体" w:cs="宋体"/>
          <w:sz w:val="22"/>
          <w:szCs w:val="22"/>
          <w:u w:val="single"/>
        </w:rPr>
        <w:t>安徽省第二人民医院</w:t>
      </w:r>
      <w:r>
        <w:rPr>
          <w:rFonts w:hint="eastAsia" w:ascii="宋体" w:hAnsi="宋体" w:cs="宋体"/>
          <w:sz w:val="22"/>
          <w:szCs w:val="22"/>
        </w:rPr>
        <w:t xml:space="preserve"> ，期限至竣工验收合格、履约担保或履约保证金期满之后，由甲方在依据合同约定扣除相应款项后，经乙方书面申请，一次性无息退还至乙方账户。</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2.乙方提供的履约保证金按约定格式以银行保函形式提供的，与此有关的费用由乙方承担。</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3.如乙方未能履行其合同约定的任何义务，甲方有权从履约保证金中取得补偿。</w:t>
      </w:r>
    </w:p>
    <w:p>
      <w:pPr>
        <w:spacing w:line="360" w:lineRule="auto"/>
        <w:rPr>
          <w:rFonts w:hint="eastAsia" w:ascii="宋体" w:hAnsi="宋体" w:cs="宋体"/>
          <w:b/>
          <w:bCs/>
          <w:sz w:val="22"/>
          <w:szCs w:val="22"/>
        </w:rPr>
      </w:pPr>
      <w:r>
        <w:rPr>
          <w:rFonts w:hint="eastAsia" w:ascii="宋体" w:hAnsi="宋体" w:cs="宋体"/>
          <w:b/>
          <w:bCs/>
          <w:sz w:val="22"/>
          <w:szCs w:val="22"/>
        </w:rPr>
        <w:t>第十四条 转让与分包</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1.除甲方事先书面同意外，乙方不得部分转让或全部转让其应履行的合同义务。</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2.乙方应在投标文件中或以其他书面形式对甲方确认本合同项下所授予的所有分包合同。但该确认不解除乙方承担的本合同下的任何责任或义务。意即在本合同项下，乙方对甲方负总责。</w:t>
      </w:r>
    </w:p>
    <w:p>
      <w:pPr>
        <w:spacing w:line="360" w:lineRule="auto"/>
        <w:rPr>
          <w:rFonts w:hint="eastAsia" w:ascii="宋体" w:hAnsi="宋体" w:cs="宋体"/>
          <w:b/>
          <w:bCs/>
          <w:sz w:val="22"/>
          <w:szCs w:val="22"/>
        </w:rPr>
      </w:pPr>
      <w:r>
        <w:rPr>
          <w:rFonts w:hint="eastAsia" w:ascii="宋体" w:hAnsi="宋体" w:cs="宋体"/>
          <w:b/>
          <w:bCs/>
          <w:sz w:val="22"/>
          <w:szCs w:val="22"/>
        </w:rPr>
        <w:t>第十五条 合同文件及资料的使用</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1.乙方在未经甲方同意的情况下，不得将合同、合同中的规定、有关计划、图纸、样本或甲方为上述内容向乙方提供的资料透露给任何人。否则，给甲方造成的全部损失由乙方承担。</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2.除非执行合同需要，在事先未得到甲方同意的情况下，乙方不得使用前款所列的任何文件和资料。</w:t>
      </w:r>
    </w:p>
    <w:p>
      <w:pPr>
        <w:spacing w:line="360" w:lineRule="auto"/>
        <w:rPr>
          <w:rFonts w:hint="eastAsia" w:ascii="宋体" w:hAnsi="宋体" w:cs="宋体"/>
          <w:b/>
          <w:bCs/>
          <w:sz w:val="22"/>
          <w:szCs w:val="22"/>
        </w:rPr>
      </w:pPr>
      <w:r>
        <w:rPr>
          <w:rFonts w:hint="eastAsia" w:ascii="宋体" w:hAnsi="宋体" w:cs="宋体"/>
          <w:b/>
          <w:bCs/>
          <w:sz w:val="22"/>
          <w:szCs w:val="22"/>
        </w:rPr>
        <w:t>第十六条 其他</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1.按本合同约定应该偿付的违约金、赔偿金、保管保养费和各种经济损失，应当在明确责任后 10 天内，除合同中有约定能从履约保证金或质保金中扣除部分，其他按银行规定的结算办法付清，否则按逾期付款处理。但任何一方不得自行扣发货物或扣付货款来充抵。</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2.本合同如发生纠纷，当事人双方应当及时协商解决，协商不成时，按以下第（②）项方式处理：①根据《中华人民共和国仲裁法》的规定向合肥仲裁委员会申请仲裁。②向工程所在地有级别管辖权的人民法院起诉。</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第十七条 下列关于安徽诚信项目管理有限公司的招标文件（ ）及有关附件是本合同不可分割的组成部分，与本合同具有同等法律效力，这些文件包括但不限于：①招标文件；②乙方提供的投标文件；③服务承诺；④甲乙双方商定的其他文件。以上附件顺序在前的具有优先解释权。</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本合同一式</w:t>
      </w:r>
      <w:r>
        <w:rPr>
          <w:rFonts w:hint="eastAsia" w:ascii="宋体" w:hAnsi="宋体" w:cs="宋体"/>
          <w:sz w:val="22"/>
          <w:szCs w:val="22"/>
          <w:u w:val="single"/>
        </w:rPr>
        <w:t xml:space="preserve">   </w:t>
      </w:r>
      <w:r>
        <w:rPr>
          <w:rFonts w:hint="eastAsia" w:ascii="宋体" w:hAnsi="宋体" w:cs="宋体"/>
          <w:sz w:val="22"/>
          <w:szCs w:val="22"/>
        </w:rPr>
        <w:t>份，甲乙双方各执</w:t>
      </w:r>
      <w:r>
        <w:rPr>
          <w:rFonts w:hint="eastAsia" w:ascii="宋体" w:hAnsi="宋体" w:cs="宋体"/>
          <w:sz w:val="22"/>
          <w:szCs w:val="22"/>
          <w:u w:val="single"/>
        </w:rPr>
        <w:t xml:space="preserve">   </w:t>
      </w:r>
      <w:r>
        <w:rPr>
          <w:rFonts w:hint="eastAsia" w:ascii="宋体" w:hAnsi="宋体" w:cs="宋体"/>
          <w:sz w:val="22"/>
          <w:szCs w:val="22"/>
        </w:rPr>
        <w:t>份，自双方当事人签字并盖章之日起生效。</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本合同合计页 A4 纸</w:t>
      </w:r>
      <w:r>
        <w:rPr>
          <w:rFonts w:hint="eastAsia" w:ascii="宋体" w:hAnsi="宋体" w:cs="宋体"/>
          <w:sz w:val="22"/>
          <w:szCs w:val="22"/>
          <w:u w:val="single"/>
        </w:rPr>
        <w:t xml:space="preserve">    </w:t>
      </w:r>
      <w:r>
        <w:rPr>
          <w:rFonts w:hint="eastAsia" w:ascii="宋体" w:hAnsi="宋体" w:cs="宋体"/>
          <w:sz w:val="22"/>
          <w:szCs w:val="22"/>
        </w:rPr>
        <w:t>张，缺页之合同为无效合同。</w:t>
      </w:r>
    </w:p>
    <w:p>
      <w:pPr>
        <w:spacing w:line="360" w:lineRule="auto"/>
        <w:ind w:firstLine="440" w:firstLineChars="200"/>
        <w:rPr>
          <w:rFonts w:hint="eastAsia" w:ascii="宋体" w:hAnsi="宋体" w:cs="宋体"/>
          <w:sz w:val="22"/>
          <w:szCs w:val="22"/>
        </w:rPr>
      </w:pPr>
    </w:p>
    <w:p>
      <w:pPr>
        <w:spacing w:line="360" w:lineRule="auto"/>
        <w:ind w:firstLine="440" w:firstLineChars="200"/>
        <w:rPr>
          <w:rFonts w:hint="eastAsia" w:ascii="宋体" w:hAnsi="宋体" w:cs="宋体"/>
          <w:sz w:val="22"/>
          <w:szCs w:val="22"/>
        </w:rPr>
      </w:pPr>
      <w:r>
        <w:rPr>
          <w:rFonts w:hint="eastAsia" w:ascii="宋体" w:hAnsi="宋体" w:cs="宋体"/>
          <w:sz w:val="22"/>
          <w:szCs w:val="22"/>
        </w:rPr>
        <w:t>招标人（甲方）：（公章）        供货人（乙方）：（公章）</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地址： 地址：</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法定代表人：                    法定代表人：</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委托代理人：                    委托代理人：</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项目负责人：                    项目负责人：</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项目经办人：</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合同经办人：</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年 月 日 年 月 日</w:t>
      </w:r>
    </w:p>
    <w:p>
      <w:pPr>
        <w:spacing w:line="360" w:lineRule="auto"/>
        <w:ind w:firstLine="440" w:firstLineChars="200"/>
        <w:rPr>
          <w:rFonts w:hint="eastAsia" w:ascii="宋体" w:hAnsi="宋体" w:cs="宋体"/>
          <w:sz w:val="22"/>
          <w:szCs w:val="22"/>
        </w:rPr>
      </w:pPr>
    </w:p>
    <w:p>
      <w:pPr>
        <w:spacing w:line="360" w:lineRule="auto"/>
        <w:ind w:firstLine="440" w:firstLineChars="200"/>
        <w:rPr>
          <w:rFonts w:hint="eastAsia" w:ascii="宋体" w:hAnsi="宋体" w:cs="宋体"/>
          <w:sz w:val="22"/>
          <w:szCs w:val="22"/>
        </w:rPr>
      </w:pPr>
    </w:p>
    <w:p>
      <w:pPr>
        <w:spacing w:line="360" w:lineRule="auto"/>
        <w:ind w:firstLine="440" w:firstLineChars="200"/>
        <w:rPr>
          <w:rFonts w:hint="eastAsia" w:ascii="宋体" w:hAnsi="宋体" w:cs="宋体"/>
          <w:sz w:val="22"/>
          <w:szCs w:val="22"/>
        </w:rPr>
      </w:pPr>
    </w:p>
    <w:p>
      <w:pPr>
        <w:spacing w:line="360" w:lineRule="auto"/>
        <w:ind w:firstLine="440" w:firstLineChars="200"/>
        <w:rPr>
          <w:rFonts w:hint="eastAsia" w:ascii="宋体" w:hAnsi="宋体" w:cs="宋体"/>
          <w:sz w:val="22"/>
          <w:szCs w:val="22"/>
        </w:rPr>
      </w:pPr>
      <w:r>
        <w:rPr>
          <w:rFonts w:hint="eastAsia" w:ascii="宋体" w:hAnsi="宋体" w:cs="宋体"/>
          <w:sz w:val="22"/>
          <w:szCs w:val="22"/>
        </w:rPr>
        <w:t>附件</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协议书附件：</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附件 1：履约保证金格式</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附件 2：工程质量保修书</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附件 3：安全生产文明施工协议书</w:t>
      </w:r>
    </w:p>
    <w:p>
      <w:pPr>
        <w:adjustRightInd w:val="0"/>
        <w:snapToGrid w:val="0"/>
        <w:spacing w:line="360" w:lineRule="auto"/>
        <w:ind w:firstLine="440" w:firstLineChars="200"/>
        <w:rPr>
          <w:szCs w:val="21"/>
        </w:rPr>
      </w:pPr>
      <w:r>
        <w:rPr>
          <w:rFonts w:hint="eastAsia" w:ascii="宋体" w:hAnsi="宋体" w:cs="宋体"/>
          <w:sz w:val="22"/>
          <w:szCs w:val="22"/>
        </w:rPr>
        <w:t>附件4：廉政协议</w:t>
      </w:r>
      <w:r>
        <w:rPr>
          <w:rFonts w:hint="eastAsia" w:ascii="宋体" w:hAnsi="宋体" w:cs="宋体"/>
          <w:color w:val="000000"/>
          <w:sz w:val="22"/>
          <w:szCs w:val="22"/>
        </w:rPr>
        <w:br w:type="page"/>
      </w:r>
      <w:bookmarkStart w:id="402" w:name="_Toc246997062"/>
      <w:bookmarkEnd w:id="402"/>
      <w:bookmarkStart w:id="403" w:name="_Toc247085834"/>
      <w:bookmarkEnd w:id="403"/>
      <w:bookmarkStart w:id="404" w:name="_Toc246996319"/>
      <w:bookmarkEnd w:id="404"/>
      <w:bookmarkStart w:id="405" w:name="_Toc184635117"/>
      <w:bookmarkEnd w:id="405"/>
      <w:bookmarkStart w:id="406" w:name="_Toc296602565"/>
      <w:bookmarkEnd w:id="406"/>
      <w:bookmarkStart w:id="407" w:name="_Toc369531676"/>
      <w:bookmarkEnd w:id="407"/>
      <w:bookmarkStart w:id="408" w:name="_Toc369531675"/>
      <w:bookmarkEnd w:id="408"/>
      <w:bookmarkStart w:id="409" w:name="_Toc9766"/>
      <w:bookmarkEnd w:id="409"/>
      <w:bookmarkStart w:id="410" w:name="_Toc29298"/>
      <w:bookmarkEnd w:id="410"/>
    </w:p>
    <w:p>
      <w:pPr>
        <w:pStyle w:val="4"/>
        <w:ind w:firstLine="137"/>
        <w:rPr>
          <w:rFonts w:ascii="Times New Roman" w:hAnsi="Times New Roman"/>
        </w:rPr>
      </w:pPr>
      <w:bookmarkStart w:id="411" w:name="_Toc501460715"/>
      <w:r>
        <w:rPr>
          <w:rFonts w:ascii="Times New Roman" w:hAnsi="Times New Roman"/>
        </w:rPr>
        <w:t>附件</w:t>
      </w:r>
      <w:r>
        <w:rPr>
          <w:rFonts w:hint="eastAsia" w:ascii="Times New Roman" w:hAnsi="Times New Roman"/>
        </w:rPr>
        <w:t>1</w:t>
      </w:r>
      <w:r>
        <w:rPr>
          <w:rFonts w:ascii="Times New Roman" w:hAnsi="Times New Roman"/>
        </w:rPr>
        <w:t>：履约保证金格式</w:t>
      </w:r>
      <w:bookmarkEnd w:id="411"/>
    </w:p>
    <w:p>
      <w:pPr>
        <w:pStyle w:val="4"/>
        <w:ind w:firstLine="137"/>
        <w:jc w:val="center"/>
        <w:rPr>
          <w:rFonts w:ascii="Times New Roman" w:hAnsi="Times New Roman"/>
        </w:rPr>
      </w:pPr>
      <w:r>
        <w:rPr>
          <w:rFonts w:hint="eastAsia" w:ascii="仿宋" w:hAnsi="仿宋" w:eastAsia="仿宋"/>
          <w:b/>
          <w:sz w:val="28"/>
          <w:szCs w:val="28"/>
        </w:rPr>
        <w:t>履约保函示范文本</w:t>
      </w:r>
    </w:p>
    <w:p>
      <w:pPr>
        <w:spacing w:line="440" w:lineRule="exact"/>
        <w:jc w:val="right"/>
        <w:rPr>
          <w:u w:val="single"/>
        </w:rPr>
      </w:pPr>
      <w:r>
        <w:rPr>
          <w:rFonts w:hint="eastAsia" w:ascii="仿宋" w:hAnsi="仿宋" w:eastAsia="仿宋"/>
          <w:sz w:val="24"/>
        </w:rPr>
        <w:t>编号：</w:t>
      </w:r>
      <w:r>
        <w:rPr>
          <w:rFonts w:hint="eastAsia" w:ascii="仿宋" w:hAnsi="仿宋" w:eastAsia="仿宋"/>
          <w:sz w:val="22"/>
          <w:szCs w:val="22"/>
        </w:rPr>
        <w:t xml:space="preserve"> </w:t>
      </w:r>
    </w:p>
    <w:bookmarkEnd w:id="377"/>
    <w:bookmarkEnd w:id="378"/>
    <w:bookmarkEnd w:id="379"/>
    <w:bookmarkEnd w:id="380"/>
    <w:p>
      <w:pPr>
        <w:spacing w:line="360" w:lineRule="auto"/>
        <w:rPr>
          <w:rFonts w:hint="eastAsia" w:ascii="宋体" w:hAnsi="宋体" w:cs="宋体"/>
          <w:sz w:val="22"/>
          <w:szCs w:val="22"/>
          <w:u w:val="single"/>
        </w:rPr>
      </w:pPr>
    </w:p>
    <w:p>
      <w:pPr>
        <w:spacing w:line="360" w:lineRule="auto"/>
        <w:rPr>
          <w:rFonts w:hint="eastAsia" w:ascii="宋体" w:hAnsi="宋体" w:cs="宋体"/>
          <w:sz w:val="22"/>
          <w:szCs w:val="22"/>
        </w:rPr>
      </w:pPr>
      <w:r>
        <w:rPr>
          <w:rFonts w:hint="eastAsia" w:ascii="宋体" w:hAnsi="宋体" w:cs="宋体"/>
          <w:sz w:val="22"/>
          <w:szCs w:val="22"/>
          <w:u w:val="single"/>
        </w:rPr>
        <w:t xml:space="preserve">              </w:t>
      </w:r>
      <w:r>
        <w:rPr>
          <w:rFonts w:hint="eastAsia" w:ascii="宋体" w:hAnsi="宋体" w:cs="宋体"/>
          <w:sz w:val="22"/>
          <w:szCs w:val="22"/>
        </w:rPr>
        <w:t xml:space="preserve">（受益人名称）： </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鉴于</w:t>
      </w:r>
      <w:r>
        <w:rPr>
          <w:rFonts w:hint="eastAsia" w:ascii="宋体" w:hAnsi="宋体" w:cs="宋体"/>
          <w:sz w:val="22"/>
          <w:szCs w:val="22"/>
          <w:u w:val="single"/>
        </w:rPr>
        <w:t xml:space="preserve">        </w:t>
      </w:r>
      <w:r>
        <w:rPr>
          <w:rFonts w:hint="eastAsia" w:ascii="宋体" w:hAnsi="宋体" w:cs="宋体"/>
          <w:sz w:val="22"/>
          <w:szCs w:val="22"/>
        </w:rPr>
        <w:t>（以下简称“受益人”）与</w:t>
      </w:r>
      <w:r>
        <w:rPr>
          <w:rFonts w:hint="eastAsia" w:ascii="宋体" w:hAnsi="宋体" w:cs="宋体"/>
          <w:sz w:val="22"/>
          <w:szCs w:val="22"/>
          <w:u w:val="single"/>
        </w:rPr>
        <w:t xml:space="preserve">         </w:t>
      </w:r>
      <w:r>
        <w:rPr>
          <w:rFonts w:hint="eastAsia" w:ascii="宋体" w:hAnsi="宋体" w:cs="宋体"/>
          <w:sz w:val="22"/>
          <w:szCs w:val="22"/>
        </w:rPr>
        <w:t>（以下简称“申请人”）于</w:t>
      </w:r>
      <w:r>
        <w:rPr>
          <w:rFonts w:hint="eastAsia" w:ascii="宋体" w:hAnsi="宋体" w:cs="宋体"/>
          <w:sz w:val="22"/>
          <w:szCs w:val="22"/>
          <w:u w:val="single"/>
        </w:rPr>
        <w:t xml:space="preserve">   </w:t>
      </w:r>
      <w:r>
        <w:rPr>
          <w:rFonts w:hint="eastAsia" w:ascii="宋体" w:hAnsi="宋体" w:cs="宋体"/>
          <w:sz w:val="22"/>
          <w:szCs w:val="22"/>
        </w:rPr>
        <w:t>年</w:t>
      </w:r>
      <w:r>
        <w:rPr>
          <w:rFonts w:hint="eastAsia" w:ascii="宋体" w:hAnsi="宋体" w:cs="宋体"/>
          <w:sz w:val="22"/>
          <w:szCs w:val="22"/>
          <w:u w:val="single"/>
        </w:rPr>
        <w:t xml:space="preserve">   </w:t>
      </w:r>
      <w:r>
        <w:rPr>
          <w:rFonts w:hint="eastAsia" w:ascii="宋体" w:hAnsi="宋体" w:cs="宋体"/>
          <w:sz w:val="22"/>
          <w:szCs w:val="22"/>
        </w:rPr>
        <w:t>月</w:t>
      </w:r>
      <w:r>
        <w:rPr>
          <w:rFonts w:hint="eastAsia" w:ascii="宋体" w:hAnsi="宋体" w:cs="宋体"/>
          <w:sz w:val="22"/>
          <w:szCs w:val="22"/>
          <w:u w:val="single"/>
        </w:rPr>
        <w:t xml:space="preserve">   </w:t>
      </w:r>
      <w:r>
        <w:rPr>
          <w:rFonts w:hint="eastAsia" w:ascii="宋体" w:hAnsi="宋体" w:cs="宋体"/>
          <w:sz w:val="22"/>
          <w:szCs w:val="22"/>
        </w:rPr>
        <w:t>日就</w:t>
      </w:r>
      <w:r>
        <w:rPr>
          <w:rFonts w:hint="eastAsia" w:ascii="宋体" w:hAnsi="宋体" w:cs="宋体"/>
          <w:snapToGrid w:val="0"/>
          <w:color w:val="000000"/>
          <w:kern w:val="0"/>
          <w:sz w:val="22"/>
          <w:szCs w:val="22"/>
          <w:u w:val="single"/>
        </w:rPr>
        <w:t xml:space="preserve">        </w:t>
      </w:r>
      <w:r>
        <w:rPr>
          <w:rFonts w:hint="eastAsia" w:ascii="宋体" w:hAnsi="宋体" w:cs="宋体"/>
          <w:snapToGrid w:val="0"/>
          <w:color w:val="000000"/>
          <w:kern w:val="0"/>
          <w:sz w:val="22"/>
          <w:szCs w:val="22"/>
        </w:rPr>
        <w:t>（标段编号）的</w:t>
      </w:r>
      <w:r>
        <w:rPr>
          <w:rFonts w:hint="eastAsia" w:ascii="宋体" w:hAnsi="宋体" w:cs="宋体"/>
          <w:snapToGrid w:val="0"/>
          <w:color w:val="000000"/>
          <w:kern w:val="0"/>
          <w:sz w:val="22"/>
          <w:szCs w:val="22"/>
          <w:u w:val="single"/>
        </w:rPr>
        <w:t xml:space="preserve">         </w:t>
      </w:r>
      <w:r>
        <w:rPr>
          <w:rFonts w:hint="eastAsia" w:ascii="宋体" w:hAnsi="宋体" w:cs="宋体"/>
          <w:snapToGrid w:val="0"/>
          <w:color w:val="000000"/>
          <w:kern w:val="0"/>
          <w:sz w:val="22"/>
          <w:szCs w:val="22"/>
        </w:rPr>
        <w:t>（标段名称）</w:t>
      </w:r>
      <w:r>
        <w:rPr>
          <w:rFonts w:hint="eastAsia" w:ascii="宋体" w:hAnsi="宋体" w:cs="宋体"/>
          <w:sz w:val="22"/>
          <w:szCs w:val="22"/>
        </w:rPr>
        <w:t>有关事项协商一致共同签订</w:t>
      </w:r>
      <w:r>
        <w:rPr>
          <w:rFonts w:hint="eastAsia" w:ascii="宋体" w:hAnsi="宋体" w:cs="宋体"/>
          <w:sz w:val="22"/>
          <w:szCs w:val="22"/>
          <w:u w:val="single"/>
        </w:rPr>
        <w:t>《        》</w:t>
      </w:r>
      <w:r>
        <w:rPr>
          <w:rFonts w:hint="eastAsia" w:ascii="宋体" w:hAnsi="宋体" w:cs="宋体"/>
          <w:sz w:val="22"/>
          <w:szCs w:val="22"/>
        </w:rPr>
        <w:t xml:space="preserve">（以下简称“基础合同”），开立人根据基础合同了解到申请人为基础合同项下之承包人，受益人为基础合同项下之发包人，基于申请人的请求，开立人同意就申请人履行与受益人签订的基础合同项下的义务，向受益人提供不可撤销、不可转让的见索即付独立保函（以下简称“本保函”）。 </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一、本保函担保范围：承包人未按照基础合同的约定履行义务，应当向受益人承担的违约责任和赔偿因此造成的损失、利息、律师费、诉讼费用等实现债权的费用。</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二、本保函担保金额最高不超过人民币（大写）</w:t>
      </w:r>
      <w:r>
        <w:rPr>
          <w:rFonts w:hint="eastAsia" w:ascii="宋体" w:hAnsi="宋体" w:cs="宋体"/>
          <w:sz w:val="22"/>
          <w:szCs w:val="22"/>
          <w:u w:val="single"/>
        </w:rPr>
        <w:t xml:space="preserve">          </w:t>
      </w:r>
      <w:r>
        <w:rPr>
          <w:rFonts w:hint="eastAsia" w:ascii="宋体" w:hAnsi="宋体" w:cs="宋体"/>
          <w:sz w:val="22"/>
          <w:szCs w:val="22"/>
        </w:rPr>
        <w:t>元（¥</w:t>
      </w:r>
      <w:r>
        <w:rPr>
          <w:rFonts w:hint="eastAsia" w:ascii="宋体" w:hAnsi="宋体" w:cs="宋体"/>
          <w:sz w:val="22"/>
          <w:szCs w:val="22"/>
          <w:u w:val="single"/>
        </w:rPr>
        <w:t xml:space="preserve">       </w:t>
      </w:r>
      <w:r>
        <w:rPr>
          <w:rFonts w:hint="eastAsia" w:ascii="宋体" w:hAnsi="宋体" w:cs="宋体"/>
          <w:sz w:val="22"/>
          <w:szCs w:val="22"/>
        </w:rPr>
        <w:t xml:space="preserve">）。 </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 xml:space="preserve">三、本保函有效期自开立之日起至基础合同约定的缺陷责任期满之日止。 </w:t>
      </w:r>
    </w:p>
    <w:p>
      <w:pPr>
        <w:spacing w:line="400" w:lineRule="exact"/>
        <w:ind w:firstLine="480"/>
        <w:rPr>
          <w:rFonts w:hint="eastAsia" w:ascii="宋体" w:hAnsi="宋体" w:cs="宋体"/>
          <w:sz w:val="22"/>
          <w:szCs w:val="22"/>
        </w:rPr>
      </w:pPr>
      <w:bookmarkStart w:id="412" w:name="_Hlk40302764"/>
      <w:r>
        <w:rPr>
          <w:rFonts w:hint="eastAsia" w:ascii="宋体" w:hAnsi="宋体" w:cs="宋体"/>
          <w:sz w:val="22"/>
          <w:szCs w:val="22"/>
        </w:rPr>
        <w:t>四、开立人承诺，在收到受益人发来的书面付款通知后的七日内无条件支付，前述书面付款通知即为付款要求之单据，且应满足以下要求：</w:t>
      </w:r>
    </w:p>
    <w:bookmarkEnd w:id="412"/>
    <w:p>
      <w:pPr>
        <w:spacing w:line="360" w:lineRule="auto"/>
        <w:ind w:firstLine="440" w:firstLineChars="200"/>
        <w:rPr>
          <w:rFonts w:hint="eastAsia" w:ascii="宋体" w:hAnsi="宋体" w:cs="宋体"/>
          <w:sz w:val="22"/>
          <w:szCs w:val="22"/>
        </w:rPr>
      </w:pPr>
      <w:r>
        <w:rPr>
          <w:rFonts w:hint="eastAsia" w:ascii="宋体" w:hAnsi="宋体" w:cs="宋体"/>
          <w:sz w:val="22"/>
          <w:szCs w:val="22"/>
        </w:rPr>
        <w:t>（1）付款通知到达的日期在本保函的有效期内；</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（2）载明要求支付的金额；</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（3）载明申请人违反合同义务的条款和内容；</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（4）声明不存在合同文件约定或我国法律规定免除申请人或开立人支付责任的情形；</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（5）付款通知应在本保函有效期内到达的地址是：</w:t>
      </w:r>
      <w:r>
        <w:rPr>
          <w:rFonts w:hint="eastAsia" w:ascii="宋体" w:hAnsi="宋体" w:cs="宋体"/>
          <w:sz w:val="22"/>
          <w:szCs w:val="22"/>
          <w:u w:val="single"/>
        </w:rPr>
        <w:t xml:space="preserve">             </w:t>
      </w:r>
      <w:r>
        <w:rPr>
          <w:rFonts w:hint="eastAsia" w:ascii="宋体" w:hAnsi="宋体" w:cs="宋体"/>
          <w:sz w:val="22"/>
          <w:szCs w:val="22"/>
        </w:rPr>
        <w:t>。</w:t>
      </w:r>
    </w:p>
    <w:p>
      <w:pPr>
        <w:spacing w:line="400" w:lineRule="exact"/>
        <w:rPr>
          <w:rFonts w:hint="eastAsia" w:ascii="宋体" w:hAnsi="宋体" w:cs="宋体"/>
          <w:sz w:val="22"/>
          <w:szCs w:val="22"/>
        </w:rPr>
      </w:pPr>
      <w:r>
        <w:rPr>
          <w:rFonts w:hint="eastAsia" w:ascii="宋体" w:hAnsi="宋体" w:cs="宋体"/>
          <w:sz w:val="22"/>
          <w:szCs w:val="22"/>
        </w:rPr>
        <w:t xml:space="preserve">    </w:t>
      </w:r>
      <w:bookmarkStart w:id="413" w:name="_Hlk40303486"/>
      <w:r>
        <w:rPr>
          <w:rFonts w:hint="eastAsia" w:ascii="宋体" w:hAnsi="宋体" w:cs="宋体"/>
          <w:sz w:val="22"/>
          <w:szCs w:val="22"/>
        </w:rPr>
        <w:t>受益人发出的书面付款通知应由其法定代表人（负责人）或授权代理人签字并加盖公章。</w:t>
      </w:r>
      <w:bookmarkEnd w:id="413"/>
    </w:p>
    <w:p>
      <w:pPr>
        <w:spacing w:line="360" w:lineRule="auto"/>
        <w:ind w:firstLine="440" w:firstLineChars="200"/>
        <w:rPr>
          <w:rFonts w:hint="eastAsia" w:ascii="宋体" w:hAnsi="宋体" w:cs="宋体"/>
          <w:sz w:val="22"/>
          <w:szCs w:val="22"/>
        </w:rPr>
      </w:pPr>
      <w:r>
        <w:rPr>
          <w:rFonts w:hint="eastAsia" w:ascii="宋体" w:hAnsi="宋体" w:cs="宋体"/>
          <w:sz w:val="22"/>
          <w:szCs w:val="22"/>
        </w:rPr>
        <w:t xml:space="preserve">五、本保函项下的权利不得转让，不得设定担保。受益人未经我方书面同意转 让本保函或其项下任何权利，对我方不发生法律效力。 </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 xml:space="preserve">六、与本保函有关的基础合同不成立、不生效、无效、被撤销、被解除，不影响本保函的独立有效。 </w:t>
      </w:r>
    </w:p>
    <w:p>
      <w:pPr>
        <w:spacing w:line="400" w:lineRule="exact"/>
        <w:ind w:firstLine="440" w:firstLineChars="200"/>
        <w:rPr>
          <w:rFonts w:hint="eastAsia" w:ascii="宋体" w:hAnsi="宋体" w:cs="宋体"/>
          <w:sz w:val="22"/>
          <w:szCs w:val="22"/>
        </w:rPr>
      </w:pPr>
      <w:bookmarkStart w:id="414" w:name="_Hlk40303383"/>
      <w:bookmarkStart w:id="415" w:name="_Hlk40354981"/>
      <w:r>
        <w:rPr>
          <w:rFonts w:hint="eastAsia" w:ascii="宋体" w:hAnsi="宋体" w:cs="宋体"/>
          <w:sz w:val="22"/>
          <w:szCs w:val="22"/>
        </w:rPr>
        <w:t xml:space="preserve">七、本保函项下的义务和责任均在保函有效期到期后自动消灭。 </w:t>
      </w:r>
    </w:p>
    <w:p>
      <w:pPr>
        <w:spacing w:line="400" w:lineRule="exact"/>
        <w:ind w:firstLine="440" w:firstLineChars="200"/>
        <w:rPr>
          <w:rFonts w:hint="eastAsia" w:ascii="宋体" w:hAnsi="宋体" w:cs="宋体"/>
          <w:sz w:val="22"/>
          <w:szCs w:val="22"/>
        </w:rPr>
      </w:pPr>
      <w:r>
        <w:rPr>
          <w:rFonts w:hint="eastAsia" w:ascii="宋体" w:hAnsi="宋体" w:cs="宋体"/>
          <w:sz w:val="22"/>
          <w:szCs w:val="22"/>
        </w:rPr>
        <w:t>八、本保函适用的法律为中华人民共和国法律，因本保函产生的纠纷案件，</w:t>
      </w:r>
      <w:bookmarkEnd w:id="414"/>
      <w:r>
        <w:rPr>
          <w:rFonts w:hint="eastAsia" w:ascii="宋体" w:hAnsi="宋体" w:cs="宋体"/>
          <w:sz w:val="22"/>
          <w:szCs w:val="22"/>
        </w:rPr>
        <w:t xml:space="preserve">由受益人所在地人民法院管辖。 </w:t>
      </w:r>
    </w:p>
    <w:bookmarkEnd w:id="415"/>
    <w:p>
      <w:pPr>
        <w:spacing w:line="360" w:lineRule="auto"/>
        <w:ind w:firstLine="440" w:firstLineChars="200"/>
        <w:rPr>
          <w:rFonts w:hint="eastAsia" w:ascii="宋体" w:hAnsi="宋体" w:cs="宋体"/>
          <w:sz w:val="22"/>
          <w:szCs w:val="22"/>
        </w:rPr>
      </w:pPr>
      <w:r>
        <w:rPr>
          <w:rFonts w:hint="eastAsia" w:ascii="宋体" w:hAnsi="宋体" w:cs="宋体"/>
          <w:sz w:val="22"/>
          <w:szCs w:val="22"/>
        </w:rPr>
        <w:t xml:space="preserve">九、本保函自我方法定代表人或授权代表签字并加盖公章之日起生效。 </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开 立 人：</w:t>
      </w:r>
      <w:r>
        <w:rPr>
          <w:rFonts w:hint="eastAsia" w:ascii="宋体" w:hAnsi="宋体" w:cs="宋体"/>
          <w:sz w:val="22"/>
          <w:szCs w:val="22"/>
          <w:u w:val="single"/>
        </w:rPr>
        <w:t xml:space="preserve">                              </w:t>
      </w:r>
      <w:r>
        <w:rPr>
          <w:rFonts w:hint="eastAsia" w:ascii="宋体" w:hAnsi="宋体" w:cs="宋体"/>
          <w:sz w:val="22"/>
          <w:szCs w:val="22"/>
        </w:rPr>
        <w:t xml:space="preserve">（公章） </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法定代表人（或授权代表）：</w:t>
      </w:r>
      <w:r>
        <w:rPr>
          <w:rFonts w:hint="eastAsia" w:ascii="宋体" w:hAnsi="宋体" w:cs="宋体"/>
          <w:sz w:val="22"/>
          <w:szCs w:val="22"/>
          <w:u w:val="single"/>
        </w:rPr>
        <w:t xml:space="preserve">               </w:t>
      </w:r>
      <w:r>
        <w:rPr>
          <w:rFonts w:hint="eastAsia" w:ascii="宋体" w:hAnsi="宋体" w:cs="宋体"/>
          <w:sz w:val="22"/>
          <w:szCs w:val="22"/>
        </w:rPr>
        <w:t xml:space="preserve">（签字） </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地    址：</w:t>
      </w:r>
      <w:r>
        <w:rPr>
          <w:rFonts w:hint="eastAsia" w:ascii="宋体" w:hAnsi="宋体" w:cs="宋体"/>
          <w:sz w:val="22"/>
          <w:szCs w:val="22"/>
          <w:u w:val="single"/>
        </w:rPr>
        <w:t xml:space="preserve">                                       </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邮政编码：</w:t>
      </w:r>
      <w:r>
        <w:rPr>
          <w:rFonts w:hint="eastAsia" w:ascii="宋体" w:hAnsi="宋体" w:cs="宋体"/>
          <w:sz w:val="22"/>
          <w:szCs w:val="22"/>
          <w:u w:val="single"/>
        </w:rPr>
        <w:t xml:space="preserve">                 </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电    话：</w:t>
      </w:r>
      <w:r>
        <w:rPr>
          <w:rFonts w:hint="eastAsia" w:ascii="宋体" w:hAnsi="宋体" w:cs="宋体"/>
          <w:sz w:val="22"/>
          <w:szCs w:val="22"/>
          <w:u w:val="single"/>
        </w:rPr>
        <w:t xml:space="preserve">                 </w:t>
      </w:r>
    </w:p>
    <w:p>
      <w:pPr>
        <w:spacing w:line="360" w:lineRule="auto"/>
        <w:ind w:firstLine="440" w:firstLineChars="200"/>
        <w:rPr>
          <w:rFonts w:hint="eastAsia" w:ascii="宋体" w:hAnsi="宋体" w:cs="宋体"/>
          <w:sz w:val="22"/>
          <w:szCs w:val="22"/>
          <w:u w:val="single"/>
        </w:rPr>
      </w:pPr>
      <w:r>
        <w:rPr>
          <w:rFonts w:hint="eastAsia" w:ascii="宋体" w:hAnsi="宋体" w:cs="宋体"/>
          <w:sz w:val="22"/>
          <w:szCs w:val="22"/>
        </w:rPr>
        <w:t>传    真：</w:t>
      </w:r>
      <w:r>
        <w:rPr>
          <w:rFonts w:hint="eastAsia" w:ascii="宋体" w:hAnsi="宋体" w:cs="宋体"/>
          <w:sz w:val="22"/>
          <w:szCs w:val="22"/>
          <w:u w:val="single"/>
        </w:rPr>
        <w:t xml:space="preserve">                 </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开立时间：</w:t>
      </w:r>
      <w:r>
        <w:rPr>
          <w:rFonts w:hint="eastAsia" w:ascii="宋体" w:hAnsi="宋体" w:cs="宋体"/>
          <w:sz w:val="22"/>
          <w:szCs w:val="22"/>
          <w:u w:val="single"/>
        </w:rPr>
        <w:t xml:space="preserve">      </w:t>
      </w:r>
      <w:r>
        <w:rPr>
          <w:rFonts w:hint="eastAsia" w:ascii="宋体" w:hAnsi="宋体" w:cs="宋体"/>
          <w:sz w:val="22"/>
          <w:szCs w:val="22"/>
        </w:rPr>
        <w:t>年</w:t>
      </w:r>
      <w:r>
        <w:rPr>
          <w:rFonts w:hint="eastAsia" w:ascii="宋体" w:hAnsi="宋体" w:cs="宋体"/>
          <w:sz w:val="22"/>
          <w:szCs w:val="22"/>
          <w:u w:val="single"/>
        </w:rPr>
        <w:t xml:space="preserve">      </w:t>
      </w:r>
      <w:r>
        <w:rPr>
          <w:rFonts w:hint="eastAsia" w:ascii="宋体" w:hAnsi="宋体" w:cs="宋体"/>
          <w:sz w:val="22"/>
          <w:szCs w:val="22"/>
        </w:rPr>
        <w:t>月</w:t>
      </w:r>
      <w:r>
        <w:rPr>
          <w:rFonts w:hint="eastAsia" w:ascii="宋体" w:hAnsi="宋体" w:cs="宋体"/>
          <w:sz w:val="22"/>
          <w:szCs w:val="22"/>
          <w:u w:val="single"/>
        </w:rPr>
        <w:t xml:space="preserve">    </w:t>
      </w:r>
      <w:r>
        <w:rPr>
          <w:rFonts w:hint="eastAsia" w:ascii="宋体" w:hAnsi="宋体" w:cs="宋体"/>
          <w:sz w:val="22"/>
          <w:szCs w:val="22"/>
        </w:rPr>
        <w:t>日</w:t>
      </w:r>
    </w:p>
    <w:p>
      <w:pPr>
        <w:spacing w:line="360" w:lineRule="auto"/>
        <w:ind w:firstLine="440" w:firstLineChars="200"/>
        <w:rPr>
          <w:rFonts w:hint="eastAsia" w:ascii="宋体" w:hAnsi="宋体" w:cs="宋体"/>
          <w:sz w:val="22"/>
          <w:szCs w:val="22"/>
        </w:rPr>
      </w:pPr>
    </w:p>
    <w:p>
      <w:pPr>
        <w:spacing w:line="360" w:lineRule="auto"/>
        <w:ind w:firstLine="440" w:firstLineChars="200"/>
        <w:rPr>
          <w:rFonts w:hint="eastAsia" w:ascii="宋体" w:hAnsi="宋体" w:cs="宋体"/>
          <w:sz w:val="22"/>
          <w:szCs w:val="22"/>
        </w:rPr>
      </w:pPr>
    </w:p>
    <w:p>
      <w:pPr>
        <w:spacing w:line="360" w:lineRule="auto"/>
        <w:ind w:firstLine="440" w:firstLineChars="200"/>
        <w:rPr>
          <w:rFonts w:hint="eastAsia" w:ascii="宋体" w:hAnsi="宋体" w:cs="宋体"/>
          <w:sz w:val="22"/>
          <w:szCs w:val="22"/>
        </w:rPr>
      </w:pPr>
    </w:p>
    <w:p>
      <w:pPr>
        <w:spacing w:line="360" w:lineRule="auto"/>
        <w:ind w:firstLine="440" w:firstLineChars="200"/>
        <w:rPr>
          <w:rFonts w:hint="eastAsia" w:ascii="宋体" w:hAnsi="宋体" w:cs="宋体"/>
          <w:sz w:val="22"/>
          <w:szCs w:val="22"/>
        </w:rPr>
        <w:sectPr>
          <w:footerReference r:id="rId9" w:type="default"/>
          <w:pgSz w:w="11907" w:h="16840"/>
          <w:pgMar w:top="1440" w:right="1247" w:bottom="1440" w:left="1247" w:header="851" w:footer="992" w:gutter="0"/>
          <w:cols w:space="720" w:num="1"/>
          <w:docGrid w:linePitch="303" w:charSpace="0"/>
        </w:sectPr>
      </w:pPr>
    </w:p>
    <w:p>
      <w:pPr>
        <w:spacing w:line="360" w:lineRule="auto"/>
        <w:ind w:firstLine="440" w:firstLineChars="200"/>
        <w:rPr>
          <w:rFonts w:hint="eastAsia" w:ascii="宋体" w:hAnsi="宋体" w:cs="宋体"/>
          <w:b/>
          <w:bCs/>
          <w:sz w:val="22"/>
          <w:szCs w:val="22"/>
        </w:rPr>
      </w:pPr>
      <w:r>
        <w:rPr>
          <w:rFonts w:hint="eastAsia" w:ascii="宋体" w:hAnsi="宋体" w:cs="宋体"/>
          <w:sz w:val="22"/>
          <w:szCs w:val="22"/>
        </w:rPr>
        <w:t>附件2</w:t>
      </w:r>
    </w:p>
    <w:p>
      <w:pPr>
        <w:spacing w:line="360" w:lineRule="auto"/>
        <w:ind w:firstLine="442" w:firstLineChars="200"/>
        <w:jc w:val="center"/>
        <w:rPr>
          <w:rFonts w:hint="eastAsia" w:ascii="宋体" w:hAnsi="宋体" w:cs="宋体"/>
          <w:b/>
          <w:bCs/>
          <w:sz w:val="22"/>
          <w:szCs w:val="22"/>
        </w:rPr>
      </w:pPr>
      <w:r>
        <w:rPr>
          <w:rFonts w:hint="eastAsia" w:ascii="宋体" w:hAnsi="宋体" w:cs="宋体"/>
          <w:b/>
          <w:bCs/>
          <w:sz w:val="22"/>
          <w:szCs w:val="22"/>
        </w:rPr>
        <w:t>工程质量保修书</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发包人：安徽省第二人民医院</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承包人：</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发包人、承包人根据《中华人民共和国建筑法</w:t>
      </w:r>
      <w:r>
        <w:rPr>
          <w:rFonts w:hint="eastAsia" w:ascii="宋体" w:hAnsi="宋体" w:cs="宋体"/>
          <w:sz w:val="22"/>
          <w:szCs w:val="22"/>
          <w:lang w:eastAsia="zh-CN"/>
        </w:rPr>
        <w:t>》《</w:t>
      </w:r>
      <w:r>
        <w:rPr>
          <w:rFonts w:hint="eastAsia" w:ascii="宋体" w:hAnsi="宋体" w:cs="宋体"/>
          <w:sz w:val="22"/>
          <w:szCs w:val="22"/>
        </w:rPr>
        <w:t>建设工程质量管理条例》</w:t>
      </w:r>
      <w:r>
        <w:rPr>
          <w:rFonts w:hint="eastAsia" w:ascii="宋体" w:hAnsi="宋体" w:cs="宋体"/>
          <w:sz w:val="22"/>
          <w:szCs w:val="22"/>
          <w:lang w:eastAsia="zh-CN"/>
        </w:rPr>
        <w:t>，</w:t>
      </w:r>
      <w:r>
        <w:rPr>
          <w:rFonts w:hint="eastAsia" w:ascii="宋体" w:hAnsi="宋体" w:cs="宋体"/>
          <w:sz w:val="22"/>
          <w:szCs w:val="22"/>
        </w:rPr>
        <w:t>参照《房屋建筑工程质量保修办法》，经协商一致，对安徽省第二人民医院专科医疗及科教功能区建设项目楼层配电箱采购项目工程</w:t>
      </w:r>
      <w:r>
        <w:rPr>
          <w:rFonts w:hint="eastAsia" w:ascii="宋体" w:hAnsi="宋体" w:cs="宋体"/>
          <w:sz w:val="22"/>
          <w:szCs w:val="22"/>
          <w:lang w:eastAsia="zh-CN"/>
        </w:rPr>
        <w:t>签订</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工程质量保修书。</w:t>
      </w:r>
    </w:p>
    <w:p>
      <w:pPr>
        <w:spacing w:line="360" w:lineRule="auto"/>
        <w:rPr>
          <w:rFonts w:hint="eastAsia" w:ascii="宋体" w:hAnsi="宋体" w:cs="宋体"/>
          <w:sz w:val="22"/>
          <w:szCs w:val="22"/>
        </w:rPr>
      </w:pPr>
      <w:r>
        <w:rPr>
          <w:rFonts w:hint="eastAsia" w:ascii="宋体" w:hAnsi="宋体" w:cs="宋体"/>
          <w:sz w:val="22"/>
          <w:szCs w:val="22"/>
        </w:rPr>
        <w:t>一、工程质量保修范围和内容</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按照《建设工程质量管理条例》及有关</w:t>
      </w:r>
      <w:r>
        <w:rPr>
          <w:rFonts w:hint="eastAsia" w:ascii="宋体" w:hAnsi="宋体" w:cs="宋体"/>
          <w:sz w:val="22"/>
          <w:szCs w:val="22"/>
          <w:lang w:eastAsia="zh-CN"/>
        </w:rPr>
        <w:t>法律法规</w:t>
      </w:r>
      <w:r>
        <w:rPr>
          <w:rFonts w:hint="eastAsia" w:ascii="宋体" w:hAnsi="宋体" w:cs="宋体"/>
          <w:sz w:val="22"/>
          <w:szCs w:val="22"/>
        </w:rPr>
        <w:t>、规章的管理规定，双方约定由施工单位在</w:t>
      </w:r>
    </w:p>
    <w:p>
      <w:pPr>
        <w:spacing w:line="360" w:lineRule="auto"/>
        <w:rPr>
          <w:rFonts w:hint="eastAsia" w:ascii="宋体" w:hAnsi="宋体" w:cs="宋体"/>
          <w:sz w:val="22"/>
          <w:szCs w:val="22"/>
        </w:rPr>
      </w:pPr>
      <w:r>
        <w:rPr>
          <w:rFonts w:hint="eastAsia" w:ascii="宋体" w:hAnsi="宋体" w:cs="宋体"/>
          <w:sz w:val="22"/>
          <w:szCs w:val="22"/>
        </w:rPr>
        <w:t>免费质保期内，承担本工程的质量保修责任。质量保修范围和内容：详见合同约定</w:t>
      </w:r>
    </w:p>
    <w:p>
      <w:pPr>
        <w:spacing w:line="360" w:lineRule="auto"/>
        <w:rPr>
          <w:rFonts w:hint="eastAsia" w:ascii="宋体" w:hAnsi="宋体" w:cs="宋体"/>
          <w:sz w:val="22"/>
          <w:szCs w:val="22"/>
        </w:rPr>
      </w:pPr>
      <w:r>
        <w:rPr>
          <w:rFonts w:hint="eastAsia" w:ascii="宋体" w:hAnsi="宋体" w:cs="宋体"/>
          <w:sz w:val="22"/>
          <w:szCs w:val="22"/>
        </w:rPr>
        <w:t>二、免费质保期</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双方根据《建设工程质量管理条例》及有关规定，约定本工程的免费质保期如下：</w:t>
      </w:r>
    </w:p>
    <w:p>
      <w:pPr>
        <w:spacing w:line="360" w:lineRule="auto"/>
        <w:ind w:firstLine="440" w:firstLineChars="200"/>
        <w:rPr>
          <w:rFonts w:hint="eastAsia" w:ascii="宋体" w:hAnsi="宋体" w:cs="宋体"/>
          <w:sz w:val="22"/>
          <w:szCs w:val="22"/>
        </w:rPr>
      </w:pPr>
      <w:r>
        <w:rPr>
          <w:rFonts w:hint="eastAsia" w:ascii="宋体" w:hAnsi="宋体" w:cs="宋体"/>
          <w:sz w:val="22"/>
          <w:szCs w:val="22"/>
          <w:lang w:eastAsia="zh-CN"/>
        </w:rPr>
        <w:t>（</w:t>
      </w:r>
      <w:r>
        <w:rPr>
          <w:rFonts w:hint="eastAsia" w:ascii="宋体" w:hAnsi="宋体" w:cs="宋体"/>
          <w:sz w:val="22"/>
          <w:szCs w:val="22"/>
        </w:rPr>
        <w:t>1</w:t>
      </w:r>
      <w:r>
        <w:rPr>
          <w:rFonts w:hint="eastAsia" w:ascii="宋体" w:hAnsi="宋体" w:cs="宋体"/>
          <w:sz w:val="22"/>
          <w:szCs w:val="22"/>
          <w:lang w:eastAsia="zh-CN"/>
        </w:rPr>
        <w:t>）</w:t>
      </w:r>
      <w:r>
        <w:rPr>
          <w:rFonts w:hint="eastAsia" w:ascii="宋体" w:hAnsi="宋体" w:cs="宋体"/>
          <w:sz w:val="22"/>
          <w:szCs w:val="22"/>
        </w:rPr>
        <w:t>地基基础工程和主体结构工程为设计文件规定的该工程合理使用年限；</w:t>
      </w:r>
    </w:p>
    <w:p>
      <w:pPr>
        <w:spacing w:line="360" w:lineRule="auto"/>
        <w:ind w:firstLine="440" w:firstLineChars="200"/>
        <w:rPr>
          <w:rFonts w:hint="eastAsia" w:ascii="宋体" w:hAnsi="宋体" w:cs="宋体"/>
          <w:sz w:val="22"/>
          <w:szCs w:val="22"/>
        </w:rPr>
      </w:pPr>
      <w:r>
        <w:rPr>
          <w:rFonts w:hint="eastAsia" w:ascii="宋体" w:hAnsi="宋体" w:cs="宋体"/>
          <w:sz w:val="22"/>
          <w:szCs w:val="22"/>
          <w:lang w:eastAsia="zh-CN"/>
        </w:rPr>
        <w:t>（</w:t>
      </w:r>
      <w:r>
        <w:rPr>
          <w:rFonts w:hint="eastAsia" w:ascii="宋体" w:hAnsi="宋体" w:cs="宋体"/>
          <w:sz w:val="22"/>
          <w:szCs w:val="22"/>
        </w:rPr>
        <w:t>2</w:t>
      </w:r>
      <w:r>
        <w:rPr>
          <w:rFonts w:hint="eastAsia" w:ascii="宋体" w:hAnsi="宋体" w:cs="宋体"/>
          <w:sz w:val="22"/>
          <w:szCs w:val="22"/>
          <w:lang w:eastAsia="zh-CN"/>
        </w:rPr>
        <w:t>）</w:t>
      </w:r>
      <w:r>
        <w:rPr>
          <w:rFonts w:hint="eastAsia" w:ascii="宋体" w:hAnsi="宋体" w:cs="宋体"/>
          <w:sz w:val="22"/>
          <w:szCs w:val="22"/>
        </w:rPr>
        <w:t>屋面防水工程、有防水要求的卫生间、房间和外墙面的防渗漏为 5 年；</w:t>
      </w:r>
    </w:p>
    <w:p>
      <w:pPr>
        <w:spacing w:line="360" w:lineRule="auto"/>
        <w:ind w:firstLine="440" w:firstLineChars="200"/>
        <w:rPr>
          <w:rFonts w:hint="eastAsia" w:ascii="宋体" w:hAnsi="宋体" w:cs="宋体"/>
          <w:sz w:val="22"/>
          <w:szCs w:val="22"/>
        </w:rPr>
      </w:pPr>
      <w:r>
        <w:rPr>
          <w:rFonts w:hint="eastAsia" w:ascii="宋体" w:hAnsi="宋体" w:cs="宋体"/>
          <w:sz w:val="22"/>
          <w:szCs w:val="22"/>
          <w:lang w:eastAsia="zh-CN"/>
        </w:rPr>
        <w:t>（</w:t>
      </w:r>
      <w:r>
        <w:rPr>
          <w:rFonts w:hint="eastAsia" w:ascii="宋体" w:hAnsi="宋体" w:cs="宋体"/>
          <w:sz w:val="22"/>
          <w:szCs w:val="22"/>
        </w:rPr>
        <w:t>3</w:t>
      </w:r>
      <w:r>
        <w:rPr>
          <w:rFonts w:hint="eastAsia" w:ascii="宋体" w:hAnsi="宋体" w:cs="宋体"/>
          <w:sz w:val="22"/>
          <w:szCs w:val="22"/>
          <w:lang w:eastAsia="zh-CN"/>
        </w:rPr>
        <w:t>）</w:t>
      </w:r>
      <w:r>
        <w:rPr>
          <w:rFonts w:hint="eastAsia" w:ascii="宋体" w:hAnsi="宋体" w:cs="宋体"/>
          <w:sz w:val="22"/>
          <w:szCs w:val="22"/>
        </w:rPr>
        <w:t>装修工程为 2 年；</w:t>
      </w:r>
    </w:p>
    <w:p>
      <w:pPr>
        <w:spacing w:line="360" w:lineRule="auto"/>
        <w:ind w:firstLine="440" w:firstLineChars="200"/>
        <w:rPr>
          <w:rFonts w:hint="eastAsia" w:ascii="宋体" w:hAnsi="宋体" w:cs="宋体"/>
          <w:sz w:val="22"/>
          <w:szCs w:val="22"/>
        </w:rPr>
      </w:pPr>
      <w:r>
        <w:rPr>
          <w:rFonts w:hint="eastAsia" w:ascii="宋体" w:hAnsi="宋体" w:cs="宋体"/>
          <w:sz w:val="22"/>
          <w:szCs w:val="22"/>
          <w:lang w:eastAsia="zh-CN"/>
        </w:rPr>
        <w:t>（</w:t>
      </w:r>
      <w:r>
        <w:rPr>
          <w:rFonts w:hint="eastAsia" w:ascii="宋体" w:hAnsi="宋体" w:cs="宋体"/>
          <w:sz w:val="22"/>
          <w:szCs w:val="22"/>
        </w:rPr>
        <w:t>4</w:t>
      </w:r>
      <w:r>
        <w:rPr>
          <w:rFonts w:hint="eastAsia" w:ascii="宋体" w:hAnsi="宋体" w:cs="宋体"/>
          <w:sz w:val="22"/>
          <w:szCs w:val="22"/>
          <w:lang w:eastAsia="zh-CN"/>
        </w:rPr>
        <w:t>）</w:t>
      </w:r>
      <w:r>
        <w:rPr>
          <w:rFonts w:hint="eastAsia" w:ascii="宋体" w:hAnsi="宋体" w:cs="宋体"/>
          <w:sz w:val="22"/>
          <w:szCs w:val="22"/>
        </w:rPr>
        <w:t>电气管线、给排水管道、设备安装工程为</w:t>
      </w:r>
      <w:r>
        <w:rPr>
          <w:rFonts w:hint="eastAsia" w:ascii="宋体" w:hAnsi="宋体" w:cs="宋体"/>
          <w:b/>
          <w:bCs/>
          <w:color w:val="0000FF"/>
          <w:sz w:val="22"/>
          <w:szCs w:val="22"/>
          <w:highlight w:val="yellow"/>
        </w:rPr>
        <w:t xml:space="preserve"> 2 年</w:t>
      </w:r>
      <w:r>
        <w:rPr>
          <w:rFonts w:hint="eastAsia" w:ascii="宋体" w:hAnsi="宋体" w:cs="宋体"/>
          <w:sz w:val="22"/>
          <w:szCs w:val="22"/>
        </w:rPr>
        <w:t>；</w:t>
      </w:r>
    </w:p>
    <w:p>
      <w:pPr>
        <w:spacing w:line="360" w:lineRule="auto"/>
        <w:ind w:firstLine="440" w:firstLineChars="200"/>
        <w:rPr>
          <w:rFonts w:hint="eastAsia" w:ascii="宋体" w:hAnsi="宋体" w:cs="宋体"/>
          <w:sz w:val="22"/>
          <w:szCs w:val="22"/>
        </w:rPr>
      </w:pPr>
      <w:r>
        <w:rPr>
          <w:rFonts w:hint="eastAsia" w:ascii="宋体" w:hAnsi="宋体" w:cs="宋体"/>
          <w:sz w:val="22"/>
          <w:szCs w:val="22"/>
          <w:lang w:eastAsia="zh-CN"/>
        </w:rPr>
        <w:t>（</w:t>
      </w:r>
      <w:r>
        <w:rPr>
          <w:rFonts w:hint="eastAsia" w:ascii="宋体" w:hAnsi="宋体" w:cs="宋体"/>
          <w:sz w:val="22"/>
          <w:szCs w:val="22"/>
        </w:rPr>
        <w:t>5</w:t>
      </w:r>
      <w:r>
        <w:rPr>
          <w:rFonts w:hint="eastAsia" w:ascii="宋体" w:hAnsi="宋体" w:cs="宋体"/>
          <w:sz w:val="22"/>
          <w:szCs w:val="22"/>
          <w:lang w:eastAsia="zh-CN"/>
        </w:rPr>
        <w:t>）</w:t>
      </w:r>
      <w:r>
        <w:rPr>
          <w:rFonts w:hint="eastAsia" w:ascii="宋体" w:hAnsi="宋体" w:cs="宋体"/>
          <w:sz w:val="22"/>
          <w:szCs w:val="22"/>
        </w:rPr>
        <w:t>供热与供冷系统为 2 个采暖期、供冷期；</w:t>
      </w:r>
    </w:p>
    <w:p>
      <w:pPr>
        <w:spacing w:line="360" w:lineRule="auto"/>
        <w:ind w:firstLine="440" w:firstLineChars="200"/>
        <w:rPr>
          <w:rFonts w:hint="eastAsia" w:ascii="宋体" w:hAnsi="宋体" w:cs="宋体"/>
          <w:sz w:val="22"/>
          <w:szCs w:val="22"/>
        </w:rPr>
      </w:pPr>
      <w:r>
        <w:rPr>
          <w:rFonts w:hint="eastAsia" w:ascii="宋体" w:hAnsi="宋体" w:cs="宋体"/>
          <w:sz w:val="22"/>
          <w:szCs w:val="22"/>
          <w:lang w:eastAsia="zh-CN"/>
        </w:rPr>
        <w:t>（</w:t>
      </w:r>
      <w:r>
        <w:rPr>
          <w:rFonts w:hint="eastAsia" w:ascii="宋体" w:hAnsi="宋体" w:cs="宋体"/>
          <w:sz w:val="22"/>
          <w:szCs w:val="22"/>
        </w:rPr>
        <w:t>6</w:t>
      </w:r>
      <w:r>
        <w:rPr>
          <w:rFonts w:hint="eastAsia" w:ascii="宋体" w:hAnsi="宋体" w:cs="宋体"/>
          <w:sz w:val="22"/>
          <w:szCs w:val="22"/>
          <w:lang w:eastAsia="zh-CN"/>
        </w:rPr>
        <w:t>）</w:t>
      </w:r>
      <w:r>
        <w:rPr>
          <w:rFonts w:hint="eastAsia" w:ascii="宋体" w:hAnsi="宋体" w:cs="宋体"/>
          <w:sz w:val="22"/>
          <w:szCs w:val="22"/>
        </w:rPr>
        <w:t>住宅小区内的给排水设施、道路等配套工程为 2 年；</w:t>
      </w:r>
    </w:p>
    <w:p>
      <w:pPr>
        <w:spacing w:line="360" w:lineRule="auto"/>
        <w:ind w:firstLine="440" w:firstLineChars="200"/>
        <w:rPr>
          <w:rFonts w:hint="eastAsia" w:ascii="宋体" w:hAnsi="宋体" w:cs="宋体"/>
          <w:sz w:val="22"/>
          <w:szCs w:val="22"/>
        </w:rPr>
      </w:pPr>
      <w:r>
        <w:rPr>
          <w:rFonts w:hint="eastAsia" w:ascii="宋体" w:hAnsi="宋体" w:cs="宋体"/>
          <w:sz w:val="22"/>
          <w:szCs w:val="22"/>
          <w:lang w:eastAsia="zh-CN"/>
        </w:rPr>
        <w:t>（</w:t>
      </w:r>
      <w:r>
        <w:rPr>
          <w:rFonts w:hint="eastAsia" w:ascii="宋体" w:hAnsi="宋体" w:cs="宋体"/>
          <w:sz w:val="22"/>
          <w:szCs w:val="22"/>
        </w:rPr>
        <w:t>7</w:t>
      </w:r>
      <w:r>
        <w:rPr>
          <w:rFonts w:hint="eastAsia" w:ascii="宋体" w:hAnsi="宋体" w:cs="宋体"/>
          <w:sz w:val="22"/>
          <w:szCs w:val="22"/>
          <w:lang w:eastAsia="zh-CN"/>
        </w:rPr>
        <w:t>）</w:t>
      </w:r>
      <w:r>
        <w:rPr>
          <w:rFonts w:hint="eastAsia" w:ascii="宋体" w:hAnsi="宋体" w:cs="宋体"/>
          <w:sz w:val="22"/>
          <w:szCs w:val="22"/>
        </w:rPr>
        <w:t>其他项目保修期限约定如下保温工程 5 年。</w:t>
      </w:r>
    </w:p>
    <w:p>
      <w:pPr>
        <w:spacing w:line="360" w:lineRule="auto"/>
        <w:ind w:firstLine="440" w:firstLineChars="200"/>
        <w:rPr>
          <w:rFonts w:hint="eastAsia" w:ascii="宋体" w:hAnsi="宋体" w:cs="宋体"/>
          <w:sz w:val="22"/>
          <w:szCs w:val="22"/>
        </w:rPr>
      </w:pPr>
      <w:r>
        <w:rPr>
          <w:rFonts w:hint="eastAsia" w:ascii="宋体" w:hAnsi="宋体" w:cs="宋体"/>
          <w:sz w:val="22"/>
          <w:szCs w:val="22"/>
          <w:lang w:eastAsia="zh-CN"/>
        </w:rPr>
        <w:t>（</w:t>
      </w:r>
      <w:r>
        <w:rPr>
          <w:rFonts w:hint="eastAsia" w:ascii="宋体" w:hAnsi="宋体" w:cs="宋体"/>
          <w:sz w:val="22"/>
          <w:szCs w:val="22"/>
        </w:rPr>
        <w:t>8</w:t>
      </w:r>
      <w:r>
        <w:rPr>
          <w:rFonts w:hint="eastAsia" w:ascii="宋体" w:hAnsi="宋体" w:cs="宋体"/>
          <w:sz w:val="22"/>
          <w:szCs w:val="22"/>
          <w:lang w:eastAsia="zh-CN"/>
        </w:rPr>
        <w:t>）</w:t>
      </w:r>
      <w:r>
        <w:rPr>
          <w:rFonts w:hint="eastAsia" w:ascii="宋体" w:hAnsi="宋体" w:cs="宋体"/>
          <w:sz w:val="22"/>
          <w:szCs w:val="22"/>
        </w:rPr>
        <w:t>本项目质保期为：2 年。</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免费质保期自工程竣工验收合格之日起计算。</w:t>
      </w:r>
    </w:p>
    <w:p>
      <w:pPr>
        <w:spacing w:line="360" w:lineRule="auto"/>
        <w:rPr>
          <w:rFonts w:hint="eastAsia" w:ascii="宋体" w:hAnsi="宋体" w:cs="宋体"/>
          <w:sz w:val="22"/>
          <w:szCs w:val="22"/>
        </w:rPr>
      </w:pPr>
      <w:r>
        <w:rPr>
          <w:rFonts w:hint="eastAsia" w:ascii="宋体" w:hAnsi="宋体" w:cs="宋体"/>
          <w:sz w:val="22"/>
          <w:szCs w:val="22"/>
        </w:rPr>
        <w:t>三、质量保修责任</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1．属于保修范围、内容的项目，承包人应当在接到报修通知之日起 1 天内派人维修。承包人不在约定期限内派人保修的，发包人可以委托他人修理</w:t>
      </w:r>
      <w:r>
        <w:rPr>
          <w:rFonts w:hint="eastAsia" w:ascii="宋体" w:hAnsi="宋体" w:cs="宋体"/>
          <w:sz w:val="22"/>
          <w:szCs w:val="22"/>
          <w:lang w:eastAsia="zh-CN"/>
        </w:rPr>
        <w:t>，</w:t>
      </w:r>
      <w:r>
        <w:rPr>
          <w:rFonts w:hint="eastAsia" w:ascii="宋体" w:hAnsi="宋体" w:cs="宋体"/>
          <w:sz w:val="22"/>
          <w:szCs w:val="22"/>
        </w:rPr>
        <w:t>产生的费用由承包人承担，发包人有权直接从质保金中扣除，并支付给委托维修人员，承包人不得拒绝。质保金不足的，发包人有权向承包人追偿。</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2．发生紧急事故需抢修的，承包人在接到事故通知后，应当立即到达事故现场抢修。承包人未派人到现场抢修的，发包人可以委托他人抢修</w:t>
      </w:r>
      <w:r>
        <w:rPr>
          <w:rFonts w:hint="eastAsia" w:ascii="宋体" w:hAnsi="宋体" w:cs="宋体"/>
          <w:sz w:val="22"/>
          <w:szCs w:val="22"/>
          <w:lang w:eastAsia="zh-CN"/>
        </w:rPr>
        <w:t>，</w:t>
      </w:r>
      <w:r>
        <w:rPr>
          <w:rFonts w:hint="eastAsia" w:ascii="宋体" w:hAnsi="宋体" w:cs="宋体"/>
          <w:sz w:val="22"/>
          <w:szCs w:val="22"/>
        </w:rPr>
        <w:t>产生的费用由承包人承担，发包人有权直接从质保金中扣除，并支付给委托维修人员，承包人不得拒绝。质保金不足的，发包人有权向承包人追偿。</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⒊对于涉及结构安全的质量问题，应当立即向当地建设行政主管部门报告，采取安全防范措施；由原设计单位或者具有相应资质等级的设计单位提出保修方案，承包人实施保修。</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⒋质量保修完成后，由发包人组织验收。</w:t>
      </w:r>
    </w:p>
    <w:p>
      <w:pPr>
        <w:spacing w:line="360" w:lineRule="auto"/>
        <w:rPr>
          <w:rFonts w:hint="eastAsia" w:ascii="宋体" w:hAnsi="宋体" w:cs="宋体"/>
          <w:sz w:val="22"/>
          <w:szCs w:val="22"/>
        </w:rPr>
      </w:pPr>
      <w:r>
        <w:rPr>
          <w:rFonts w:hint="eastAsia" w:ascii="宋体" w:hAnsi="宋体" w:cs="宋体"/>
          <w:sz w:val="22"/>
          <w:szCs w:val="22"/>
        </w:rPr>
        <w:t>四、保修费用</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保修费用由造成质量缺陷的责任方承担。</w:t>
      </w:r>
    </w:p>
    <w:p>
      <w:pPr>
        <w:spacing w:line="360" w:lineRule="auto"/>
        <w:rPr>
          <w:rFonts w:hint="eastAsia" w:ascii="宋体" w:hAnsi="宋体" w:cs="宋体"/>
          <w:sz w:val="22"/>
          <w:szCs w:val="22"/>
        </w:rPr>
      </w:pPr>
      <w:r>
        <w:rPr>
          <w:rFonts w:hint="eastAsia" w:ascii="宋体" w:hAnsi="宋体" w:cs="宋体"/>
          <w:sz w:val="22"/>
          <w:szCs w:val="22"/>
        </w:rPr>
        <w:t>五、因不可抗力或使用不当造成的质量缺陷，不属保修范围。</w:t>
      </w:r>
    </w:p>
    <w:p>
      <w:pPr>
        <w:spacing w:line="360" w:lineRule="auto"/>
        <w:rPr>
          <w:rFonts w:hint="eastAsia" w:ascii="宋体" w:hAnsi="宋体" w:cs="宋体"/>
          <w:sz w:val="22"/>
          <w:szCs w:val="22"/>
        </w:rPr>
      </w:pPr>
      <w:r>
        <w:rPr>
          <w:rFonts w:hint="eastAsia" w:ascii="宋体" w:hAnsi="宋体" w:cs="宋体"/>
          <w:sz w:val="22"/>
          <w:szCs w:val="22"/>
        </w:rPr>
        <w:t>六、本工程质量保修书，由施工合同发包人、承包人双方在竣工验收前共同签署，自双方签</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字并盖章之日起生效。作为施工合同附件，其有效期限至保修期满。</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发 包 人（公章）：                         承 包 人（公章）：</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法定代表人或授权代表人：                   法定代表人或授权代表人：</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（签字）                                      （签字）</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项目负责人：                               项目负责人：</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项目经办人：</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合同经办人：</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年 月 日 年 月 日</w:t>
      </w:r>
    </w:p>
    <w:p>
      <w:pPr>
        <w:spacing w:line="360" w:lineRule="auto"/>
        <w:ind w:firstLine="440" w:firstLineChars="200"/>
        <w:rPr>
          <w:rFonts w:hint="eastAsia" w:ascii="宋体" w:hAnsi="宋体" w:cs="宋体"/>
          <w:sz w:val="22"/>
          <w:szCs w:val="22"/>
        </w:rPr>
        <w:sectPr>
          <w:pgSz w:w="11907" w:h="16840"/>
          <w:pgMar w:top="1440" w:right="1247" w:bottom="1440" w:left="1247" w:header="851" w:footer="992" w:gutter="0"/>
          <w:cols w:space="720" w:num="1"/>
          <w:docGrid w:linePitch="303" w:charSpace="0"/>
        </w:sectPr>
      </w:pPr>
    </w:p>
    <w:p>
      <w:pPr>
        <w:spacing w:line="360" w:lineRule="auto"/>
        <w:ind w:firstLine="440" w:firstLineChars="200"/>
        <w:rPr>
          <w:rFonts w:hint="eastAsia" w:ascii="宋体" w:hAnsi="宋体" w:cs="宋体"/>
          <w:sz w:val="22"/>
          <w:szCs w:val="22"/>
        </w:rPr>
      </w:pPr>
      <w:r>
        <w:rPr>
          <w:rFonts w:hint="eastAsia" w:ascii="宋体" w:hAnsi="宋体" w:cs="宋体"/>
          <w:sz w:val="22"/>
          <w:szCs w:val="22"/>
        </w:rPr>
        <w:t>附件 3</w:t>
      </w:r>
    </w:p>
    <w:p>
      <w:pPr>
        <w:spacing w:line="360" w:lineRule="auto"/>
        <w:ind w:firstLine="442" w:firstLineChars="200"/>
        <w:jc w:val="center"/>
        <w:rPr>
          <w:rFonts w:hint="eastAsia" w:ascii="宋体" w:hAnsi="宋体" w:cs="宋体"/>
          <w:sz w:val="22"/>
          <w:szCs w:val="22"/>
        </w:rPr>
      </w:pPr>
      <w:r>
        <w:rPr>
          <w:rFonts w:hint="eastAsia" w:ascii="宋体" w:hAnsi="宋体" w:cs="宋体"/>
          <w:b/>
          <w:bCs/>
          <w:sz w:val="22"/>
          <w:szCs w:val="22"/>
        </w:rPr>
        <w:t>安全生产文明施工协议书</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甲方： 安徽省第二人民医院</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乙方：</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为了切实加强施工现场安全管理，落实“安全</w:t>
      </w:r>
      <w:r>
        <w:rPr>
          <w:rFonts w:hint="eastAsia" w:ascii="宋体" w:hAnsi="宋体" w:cs="宋体"/>
          <w:sz w:val="22"/>
          <w:szCs w:val="22"/>
          <w:lang w:eastAsia="zh-CN"/>
        </w:rPr>
        <w:t>第一，</w:t>
      </w:r>
      <w:r>
        <w:rPr>
          <w:rFonts w:hint="eastAsia" w:ascii="宋体" w:hAnsi="宋体" w:cs="宋体"/>
          <w:sz w:val="22"/>
          <w:szCs w:val="22"/>
        </w:rPr>
        <w:t>预防为主”的安全生产方针，依照《中华人民共和国安全生产法</w:t>
      </w:r>
      <w:r>
        <w:rPr>
          <w:rFonts w:hint="eastAsia" w:ascii="宋体" w:hAnsi="宋体" w:cs="宋体"/>
          <w:sz w:val="22"/>
          <w:szCs w:val="22"/>
          <w:lang w:eastAsia="zh-CN"/>
        </w:rPr>
        <w:t>》《</w:t>
      </w:r>
      <w:r>
        <w:rPr>
          <w:rFonts w:hint="eastAsia" w:ascii="宋体" w:hAnsi="宋体" w:cs="宋体"/>
          <w:sz w:val="22"/>
          <w:szCs w:val="22"/>
        </w:rPr>
        <w:t>建设工程安全生产管理条例</w:t>
      </w:r>
      <w:r>
        <w:rPr>
          <w:rFonts w:hint="eastAsia" w:ascii="宋体" w:hAnsi="宋体" w:cs="宋体"/>
          <w:sz w:val="22"/>
          <w:szCs w:val="22"/>
          <w:lang w:eastAsia="zh-CN"/>
        </w:rPr>
        <w:t>》《</w:t>
      </w:r>
      <w:r>
        <w:rPr>
          <w:rFonts w:hint="eastAsia" w:ascii="宋体" w:hAnsi="宋体" w:cs="宋体"/>
          <w:sz w:val="22"/>
          <w:szCs w:val="22"/>
        </w:rPr>
        <w:t>安徽省建筑工程安全监督办法</w:t>
      </w:r>
      <w:r>
        <w:rPr>
          <w:rFonts w:hint="eastAsia" w:ascii="宋体" w:hAnsi="宋体" w:cs="宋体"/>
          <w:sz w:val="22"/>
          <w:szCs w:val="22"/>
          <w:lang w:eastAsia="zh-CN"/>
        </w:rPr>
        <w:t>》《</w:t>
      </w:r>
      <w:r>
        <w:rPr>
          <w:rFonts w:hint="eastAsia" w:ascii="宋体" w:hAnsi="宋体" w:cs="宋体"/>
          <w:sz w:val="22"/>
          <w:szCs w:val="22"/>
        </w:rPr>
        <w:t>中华和人民共和国民法典》等相关法律法规的规定，经甲乙双方协商一致，签订本协议书。甲、乙双方均须严格遵守本协议书规定的条款内容，确保施工现场的安全生产，倡导安全文明示范工地。</w:t>
      </w:r>
    </w:p>
    <w:p>
      <w:pPr>
        <w:spacing w:line="360" w:lineRule="auto"/>
        <w:rPr>
          <w:rFonts w:hint="eastAsia" w:ascii="宋体" w:hAnsi="宋体" w:cs="宋体"/>
          <w:sz w:val="22"/>
          <w:szCs w:val="22"/>
        </w:rPr>
      </w:pPr>
      <w:r>
        <w:rPr>
          <w:rFonts w:hint="eastAsia" w:ascii="宋体" w:hAnsi="宋体" w:cs="宋体"/>
          <w:sz w:val="22"/>
          <w:szCs w:val="22"/>
        </w:rPr>
        <w:t>一、工程概况：</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工程名称：</w:t>
      </w:r>
      <w:r>
        <w:rPr>
          <w:rFonts w:hint="eastAsia" w:ascii="宋体" w:hAnsi="宋体" w:cs="宋体"/>
          <w:b/>
          <w:bCs/>
          <w:color w:val="000000"/>
          <w:kern w:val="0"/>
          <w:sz w:val="18"/>
          <w:szCs w:val="18"/>
        </w:rPr>
        <w:t>安徽省第二人民医院专科医疗及科教功能区建设项目楼层配电箱采购项目</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工程地点：合肥市，甲方指定地点</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工程内容：详见招标文件、图纸、清单、补充答疑等所包含的全部内容。</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工程范围：详见招标文件、图纸、清单、补充答疑等所包含的全部内容。</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承包方式：专业承包。</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合同工期及质保期：按合同约定执行。</w:t>
      </w:r>
    </w:p>
    <w:p>
      <w:pPr>
        <w:spacing w:line="360" w:lineRule="auto"/>
        <w:rPr>
          <w:rFonts w:hint="eastAsia" w:ascii="宋体" w:hAnsi="宋体" w:cs="宋体"/>
          <w:sz w:val="22"/>
          <w:szCs w:val="22"/>
        </w:rPr>
      </w:pPr>
      <w:r>
        <w:rPr>
          <w:rFonts w:hint="eastAsia" w:ascii="宋体" w:hAnsi="宋体" w:cs="宋体"/>
          <w:sz w:val="22"/>
          <w:szCs w:val="22"/>
        </w:rPr>
        <w:t>二、乙方安全文明生产要求</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1、贯彻落实国家及当地政府或建设行政主管部门有关施工安全生产文明施工管理的法律法规和管理规定，对现场进行全面的安全生产文明施工</w:t>
      </w:r>
      <w:r>
        <w:rPr>
          <w:rFonts w:hint="eastAsia" w:ascii="宋体" w:hAnsi="宋体" w:cs="宋体"/>
          <w:sz w:val="22"/>
          <w:szCs w:val="22"/>
          <w:lang w:eastAsia="zh-CN"/>
        </w:rPr>
        <w:t>系统</w:t>
      </w:r>
      <w:r>
        <w:rPr>
          <w:rFonts w:hint="eastAsia" w:ascii="宋体" w:hAnsi="宋体" w:cs="宋体"/>
          <w:sz w:val="22"/>
          <w:szCs w:val="22"/>
        </w:rPr>
        <w:t>管理。</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2、乙方进场前需缴纳 / 万元的安全生产﹑文明施工保证金，在工程竣工验收合同并移交后，经相关部门确认后，如没有发生安全生产和文明施工等方面的问题，甲方将保证金如数无息退还给乙方。</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3、设立安全生产管理机构，配备安全员，建立健全安全生产责任制和安全生产管理制度，做好安全生产管理台账。乙方指定 为现场专职安全负责人， 为现场专职安全管理员。</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4、服从甲方安全部门、现场安全管理人员及监理的安全检查和合理建议，并提供相关安全管理资料和安全管理台账。</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5、做好施工现场文明施工管理，建立健全安全生产和文明施工制度。</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①在工程建设费用中必须列支足够的安全生产和文明施工专项经费；</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②乙方必须做好施工期间的安全保障措施；</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③应派出足够的专业专职安全管理人员；</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④负责现场保卫工作，并有责任阻止非本工种相关人员进入现场；</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⑤制定专项方案和安全保障措施，杜绝安全事故的发生。</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6、在现场建立消防安全责任制度及使用明火申请批准制度。</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7、应对施工人员进行作业前安全教育培训，使其具备相应的安全意识和安全技能，特种作业人员必须持证上岗。</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8、定期组织安全生产培训教育和安全生产活动，为本单位作业人员提供合格的劳动保护用品，进行危险预知的教育。乙方使用的各种劳动防护用品，必须经政府有关劳动安全产品检验部门检验合格。</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9、做好职工食堂的食品卫生工作，宿舍的卫生防火防盗和用电管理工作以及职业病预防工作。</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10、定期组织检查现场施工人员的安全环境，在检查中发现事故隐患，应及时向甲方报告，并组织整改，</w:t>
      </w:r>
      <w:r>
        <w:rPr>
          <w:rFonts w:hint="eastAsia" w:ascii="宋体" w:hAnsi="宋体" w:cs="宋体"/>
          <w:sz w:val="22"/>
          <w:szCs w:val="22"/>
          <w:lang w:eastAsia="zh-CN"/>
        </w:rPr>
        <w:t>消除隐患</w:t>
      </w:r>
      <w:r>
        <w:rPr>
          <w:rFonts w:hint="eastAsia" w:ascii="宋体" w:hAnsi="宋体" w:cs="宋体"/>
          <w:sz w:val="22"/>
          <w:szCs w:val="22"/>
        </w:rPr>
        <w:t>。</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11、遵守甲方和监理管理规定，接受甲方﹑监理和地方建设行政主管部门组织的安全检查和按相关规定进行的安全考核。</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12、发生一切施工安全事故均由乙方全部负责，并承担一切经济损失和赔偿责任。</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13、发生施工安全事故后，应按照相关规定如实向当地政府或有关行业主管部门报告，同时如实向甲方报告。</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14、乙方应提供安全检查、培训、学习实施方案给甲方备案，乙方在执行中必须有痕迹记录。</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15、根据合肥市大气污染防治规定，乙方须制定施工环保防尘防污染措施，报甲方﹑监理和环保﹑城管备案。乙方承建的工程必须落实“围盖洒洗”等防尘防污染措施，工地未建成清洗设施的一律不得开挖渣土及其他施工作业；砂浆搅拌场所必须采取封闭、降尘等措施。施工中发生的环保污染等事故由乙方负全部责任并承担一切经济损失和赔偿责任。</w:t>
      </w:r>
    </w:p>
    <w:p>
      <w:pPr>
        <w:spacing w:line="360" w:lineRule="auto"/>
        <w:rPr>
          <w:rFonts w:hint="eastAsia" w:ascii="宋体" w:hAnsi="宋体" w:cs="宋体"/>
          <w:sz w:val="22"/>
          <w:szCs w:val="22"/>
        </w:rPr>
      </w:pPr>
      <w:r>
        <w:rPr>
          <w:rFonts w:hint="eastAsia" w:ascii="宋体" w:hAnsi="宋体" w:cs="宋体"/>
          <w:sz w:val="22"/>
          <w:szCs w:val="22"/>
        </w:rPr>
        <w:t>三、甲方的权利和义务：</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1、贯彻落实国家及当地政府或建设行政主管部门有关施工现场安全生产管理的法律法规和管理规定，对现场进行安全生产监督检查和协调管理。</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2、有权审查乙方安全施工保障体系。</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3、有权要求乙方按照相关规定，制定各项安全措施和施工现场《安全事故应急救援预案》并报甲方和监理备案，协助乙方搞好安全生产、防火管理以及督促乙方常规性检查现场安全管理工作。</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4、协助乙方进行安全生产检查，督促乙方执行有关安全生产方面的工作，对乙方不符合安全文明的行为进行制止和纠正。乙方在施工中发生违反管理制度和有关规定的不良行为，经甲方有关部门查实后，将严格按照行政主管部门或甲方的有关规定进行处罚；对检查中发现的安全隐患，有权通过经济制约或处罚使其得到纠正和整改。对发生的不良行为和整改不彻底的安全隐患甲方和监理有权视严重程度给予停工整顿、中止合同直至清退出场并追究其责任。</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5、甲方和监理有权对乙方未遵守本协议书的行为，依照现场实际给予相应的经济处罚，并责令提交整改方案且按方案实施整改，由此造成的一切损失由乙方自行承担。处罚费用</w:t>
      </w:r>
      <w:r>
        <w:rPr>
          <w:rFonts w:hint="eastAsia" w:ascii="宋体" w:hAnsi="宋体" w:cs="宋体"/>
          <w:sz w:val="22"/>
          <w:szCs w:val="22"/>
          <w:lang w:eastAsia="zh-CN"/>
        </w:rPr>
        <w:t>可</w:t>
      </w:r>
      <w:r>
        <w:rPr>
          <w:rFonts w:hint="eastAsia" w:ascii="宋体" w:hAnsi="宋体" w:cs="宋体"/>
          <w:sz w:val="22"/>
          <w:szCs w:val="22"/>
        </w:rPr>
        <w:t>从乙方</w:t>
      </w:r>
      <w:r>
        <w:rPr>
          <w:rFonts w:hint="eastAsia" w:ascii="宋体" w:hAnsi="宋体" w:cs="宋体"/>
          <w:sz w:val="22"/>
          <w:szCs w:val="22"/>
          <w:lang w:eastAsia="zh-CN"/>
        </w:rPr>
        <w:t>缴纳</w:t>
      </w:r>
      <w:r>
        <w:rPr>
          <w:rFonts w:hint="eastAsia" w:ascii="宋体" w:hAnsi="宋体" w:cs="宋体"/>
          <w:sz w:val="22"/>
          <w:szCs w:val="22"/>
        </w:rPr>
        <w:t>的安全保证金中扣除，也可从甲方向乙方支付的工程款中予以扣除。</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 xml:space="preserve">6、甲方的安全部为安全生产管理部门，甲方指定 </w:t>
      </w:r>
      <w:r>
        <w:rPr>
          <w:rFonts w:hint="eastAsia" w:ascii="宋体" w:hAnsi="宋体" w:cs="宋体"/>
          <w:sz w:val="22"/>
          <w:szCs w:val="22"/>
          <w:lang w:eastAsia="zh-CN"/>
        </w:rPr>
        <w:t>为现场</w:t>
      </w:r>
      <w:r>
        <w:rPr>
          <w:rFonts w:hint="eastAsia" w:ascii="宋体" w:hAnsi="宋体" w:cs="宋体"/>
          <w:sz w:val="22"/>
          <w:szCs w:val="22"/>
        </w:rPr>
        <w:t>安全负责人， 为现场专职</w:t>
      </w:r>
      <w:r>
        <w:rPr>
          <w:rFonts w:hint="eastAsia" w:ascii="宋体" w:hAnsi="宋体" w:cs="宋体"/>
          <w:sz w:val="22"/>
          <w:szCs w:val="22"/>
          <w:lang w:eastAsia="zh-CN"/>
        </w:rPr>
        <w:t>（</w:t>
      </w:r>
      <w:r>
        <w:rPr>
          <w:rFonts w:hint="eastAsia" w:ascii="宋体" w:hAnsi="宋体" w:cs="宋体"/>
          <w:sz w:val="22"/>
          <w:szCs w:val="22"/>
        </w:rPr>
        <w:t>兼职</w:t>
      </w:r>
      <w:r>
        <w:rPr>
          <w:rFonts w:hint="eastAsia" w:ascii="宋体" w:hAnsi="宋体" w:cs="宋体"/>
          <w:sz w:val="22"/>
          <w:szCs w:val="22"/>
          <w:lang w:eastAsia="zh-CN"/>
        </w:rPr>
        <w:t>）</w:t>
      </w:r>
      <w:r>
        <w:rPr>
          <w:rFonts w:hint="eastAsia" w:ascii="宋体" w:hAnsi="宋体" w:cs="宋体"/>
          <w:sz w:val="22"/>
          <w:szCs w:val="22"/>
        </w:rPr>
        <w:t>安全管理员。</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7、甲方对乙方的安全生产和文明施工过程有权进行监督、管理、要求整改并按期回复；有权要求乙方配合甲方的各项检查。</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8、配合对乙方的安全生产培训、劳动保护用品的使用提出意见，并有权监督落实。</w:t>
      </w:r>
    </w:p>
    <w:p>
      <w:pPr>
        <w:spacing w:line="360" w:lineRule="auto"/>
        <w:rPr>
          <w:rFonts w:hint="eastAsia" w:ascii="宋体" w:hAnsi="宋体" w:cs="宋体"/>
          <w:sz w:val="22"/>
          <w:szCs w:val="22"/>
        </w:rPr>
      </w:pPr>
      <w:r>
        <w:rPr>
          <w:rFonts w:hint="eastAsia" w:ascii="宋体" w:hAnsi="宋体" w:cs="宋体"/>
          <w:sz w:val="22"/>
          <w:szCs w:val="22"/>
        </w:rPr>
        <w:t>四、违约责任的处理和时效：</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1、除不可抗拒的自然灾害，不论何种原因发生在乙方工程范围内的安全生产事故、环保污染事故和纠纷，均由乙方负责，并承担责任和相关经济费用和损失，甲方不承担任何责任和经济费用。如给甲方造成经济和名誉损失的，甲方除处罚安全保证金外保留向乙方通过扣留、处罚工程款或法律程序索赔的权利。</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2、对乙方发生安全生产事故或环保污染事故后弄虚作假、隐瞒不报、迟报或谎报，给甲方造成经济或名誉损失的，一经查出，甲方除处罚安全保证金外保留向乙方通过扣留、处罚工程款或法律程序索赔的权利。</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3、乙方在施工过程中，对甲方设施﹑设备造成的损坏等事故责任由乙方承担，并负责赔偿事故所造成的一切损失，按规定追究乙方相关人员的法律责任。</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4、乙方承建的工程在质保期内（含延迟交付的时间推算质保期）以及因建筑质量造成的永久性质量安全责任均由乙方负责。</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5、本协议规定的安全生产文明施工时效为甲乙双方签订施工合同起至该工程竣工验收备案质保期结束后止，含任何原因延期交付的时间。</w:t>
      </w:r>
    </w:p>
    <w:p>
      <w:pPr>
        <w:spacing w:line="360" w:lineRule="auto"/>
        <w:rPr>
          <w:rFonts w:hint="eastAsia" w:ascii="宋体" w:hAnsi="宋体" w:cs="宋体"/>
          <w:sz w:val="22"/>
          <w:szCs w:val="22"/>
        </w:rPr>
      </w:pPr>
      <w:r>
        <w:rPr>
          <w:rFonts w:hint="eastAsia" w:ascii="宋体" w:hAnsi="宋体" w:cs="宋体"/>
          <w:sz w:val="22"/>
          <w:szCs w:val="22"/>
        </w:rPr>
        <w:t>五、附加条款：</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1、甲乙双方签订本协议时，乙方向甲方提供安全生产资质</w:t>
      </w:r>
      <w:r>
        <w:rPr>
          <w:rFonts w:hint="eastAsia" w:ascii="宋体" w:hAnsi="宋体" w:cs="宋体"/>
          <w:sz w:val="22"/>
          <w:szCs w:val="22"/>
          <w:lang w:eastAsia="zh-CN"/>
        </w:rPr>
        <w:t>（</w:t>
      </w:r>
      <w:r>
        <w:rPr>
          <w:rFonts w:hint="eastAsia" w:ascii="宋体" w:hAnsi="宋体" w:cs="宋体"/>
          <w:sz w:val="22"/>
          <w:szCs w:val="22"/>
        </w:rPr>
        <w:t>许可</w:t>
      </w:r>
      <w:r>
        <w:rPr>
          <w:rFonts w:hint="eastAsia" w:ascii="宋体" w:hAnsi="宋体" w:cs="宋体"/>
          <w:sz w:val="22"/>
          <w:szCs w:val="22"/>
          <w:lang w:eastAsia="zh-CN"/>
        </w:rPr>
        <w:t>）</w:t>
      </w:r>
      <w:r>
        <w:rPr>
          <w:rFonts w:hint="eastAsia" w:ascii="宋体" w:hAnsi="宋体" w:cs="宋体"/>
          <w:sz w:val="22"/>
          <w:szCs w:val="22"/>
        </w:rPr>
        <w:t>证的加章影印件一份。</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2、甲乙双方签订本协议时，乙方向甲方提供安全生产文明施工承诺书一份。</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六、本协议书一式肆份，甲乙双方各执贰份</w:t>
      </w:r>
      <w:r>
        <w:rPr>
          <w:rFonts w:hint="eastAsia" w:ascii="宋体" w:hAnsi="宋体" w:cs="宋体"/>
          <w:sz w:val="22"/>
          <w:szCs w:val="22"/>
          <w:lang w:eastAsia="zh-CN"/>
        </w:rPr>
        <w:t>，</w:t>
      </w:r>
      <w:r>
        <w:rPr>
          <w:rFonts w:hint="eastAsia" w:ascii="宋体" w:hAnsi="宋体" w:cs="宋体"/>
          <w:sz w:val="22"/>
          <w:szCs w:val="22"/>
        </w:rPr>
        <w:t>具有同等法律效力，双方签字并盖章</w:t>
      </w:r>
      <w:r>
        <w:rPr>
          <w:rFonts w:hint="eastAsia" w:ascii="宋体" w:hAnsi="宋体" w:cs="宋体"/>
          <w:sz w:val="22"/>
          <w:szCs w:val="22"/>
          <w:lang w:eastAsia="zh-CN"/>
        </w:rPr>
        <w:t>之日起</w:t>
      </w:r>
      <w:r>
        <w:rPr>
          <w:rFonts w:hint="eastAsia" w:ascii="宋体" w:hAnsi="宋体" w:cs="宋体"/>
          <w:sz w:val="22"/>
          <w:szCs w:val="22"/>
        </w:rPr>
        <w:t>生效。</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甲方盖章：                                乙方盖章：</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法定代表人或授权代表人：                  法定代表人或授权代表人：</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（签字）                                 （签字）</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项目负责人：                              项目负责人：</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项目经办人：</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合同经办人：</w:t>
      </w:r>
    </w:p>
    <w:p>
      <w:pPr>
        <w:spacing w:line="360" w:lineRule="auto"/>
        <w:ind w:firstLine="440" w:firstLineChars="200"/>
        <w:rPr>
          <w:rFonts w:hint="eastAsia" w:ascii="宋体" w:hAnsi="宋体" w:cs="宋体"/>
          <w:sz w:val="22"/>
          <w:szCs w:val="22"/>
        </w:rPr>
        <w:sectPr>
          <w:pgSz w:w="11907" w:h="16840"/>
          <w:pgMar w:top="1440" w:right="1247" w:bottom="1440" w:left="1247" w:header="851" w:footer="992" w:gutter="0"/>
          <w:cols w:space="720" w:num="1"/>
          <w:docGrid w:linePitch="303" w:charSpace="0"/>
        </w:sectPr>
      </w:pPr>
      <w:r>
        <w:rPr>
          <w:rFonts w:hint="eastAsia" w:ascii="宋体" w:hAnsi="宋体" w:cs="宋体"/>
          <w:sz w:val="22"/>
          <w:szCs w:val="22"/>
        </w:rPr>
        <w:t>日期： 日期：</w:t>
      </w:r>
    </w:p>
    <w:p>
      <w:pPr>
        <w:pStyle w:val="4"/>
        <w:ind w:firstLine="137"/>
        <w:rPr>
          <w:rFonts w:hint="eastAsia" w:ascii="宋体" w:hAnsi="宋体" w:eastAsia="宋体" w:cs="宋体"/>
          <w:bCs w:val="0"/>
        </w:rPr>
      </w:pPr>
      <w:r>
        <w:rPr>
          <w:rFonts w:hint="eastAsia" w:ascii="宋体" w:hAnsi="宋体" w:eastAsia="宋体" w:cs="宋体"/>
          <w:bCs w:val="0"/>
        </w:rPr>
        <w:t>附</w:t>
      </w:r>
      <w:bookmarkStart w:id="416" w:name="_Toc296891059"/>
      <w:bookmarkStart w:id="417" w:name="_Toc296891271"/>
      <w:bookmarkStart w:id="418" w:name="_Toc296347230"/>
      <w:bookmarkStart w:id="419" w:name="_Toc296346732"/>
      <w:bookmarkStart w:id="420" w:name="_Toc296503231"/>
      <w:bookmarkStart w:id="421" w:name="_Toc296944570"/>
      <w:r>
        <w:rPr>
          <w:rFonts w:hint="eastAsia" w:ascii="宋体" w:hAnsi="宋体" w:eastAsia="宋体" w:cs="宋体"/>
          <w:bCs w:val="0"/>
        </w:rPr>
        <w:t>件4：廉政协议</w:t>
      </w:r>
    </w:p>
    <w:bookmarkEnd w:id="416"/>
    <w:bookmarkEnd w:id="417"/>
    <w:bookmarkEnd w:id="418"/>
    <w:bookmarkEnd w:id="419"/>
    <w:bookmarkEnd w:id="420"/>
    <w:bookmarkEnd w:id="421"/>
    <w:p>
      <w:pPr>
        <w:widowControl/>
        <w:spacing w:line="360" w:lineRule="auto"/>
        <w:ind w:firstLine="643"/>
        <w:jc w:val="center"/>
        <w:rPr>
          <w:b/>
          <w:bCs/>
          <w:kern w:val="0"/>
          <w:sz w:val="32"/>
          <w:szCs w:val="32"/>
        </w:rPr>
      </w:pPr>
      <w:r>
        <w:rPr>
          <w:rFonts w:hint="eastAsia"/>
          <w:b/>
          <w:bCs/>
          <w:kern w:val="0"/>
          <w:sz w:val="32"/>
          <w:szCs w:val="32"/>
        </w:rPr>
        <w:t>廉 政 协 议</w:t>
      </w:r>
    </w:p>
    <w:p>
      <w:pPr>
        <w:widowControl/>
        <w:spacing w:line="360" w:lineRule="auto"/>
        <w:ind w:firstLine="420" w:firstLineChars="200"/>
        <w:jc w:val="left"/>
        <w:rPr>
          <w:kern w:val="0"/>
          <w:szCs w:val="21"/>
        </w:rPr>
      </w:pPr>
      <w:r>
        <w:rPr>
          <w:rFonts w:hint="eastAsia"/>
          <w:kern w:val="0"/>
          <w:szCs w:val="21"/>
        </w:rPr>
        <w:t>为促进双方诚信经营、廉洁从业，防范商业贿赂，保护国家、集体和当事人的合法权益，根据国家有关法律法规和安徽省、合肥市廉政建设的规定，</w:t>
      </w:r>
      <w:r>
        <w:rPr>
          <w:rFonts w:hint="eastAsia"/>
          <w:kern w:val="0"/>
          <w:szCs w:val="21"/>
          <w:u w:val="single"/>
        </w:rPr>
        <w:t xml:space="preserve">                </w:t>
      </w:r>
      <w:r>
        <w:t>（买方名称，以下简称“买方”）</w:t>
      </w:r>
      <w:r>
        <w:rPr>
          <w:rFonts w:hint="eastAsia"/>
          <w:kern w:val="0"/>
          <w:szCs w:val="21"/>
        </w:rPr>
        <w:t>与</w:t>
      </w:r>
      <w:r>
        <w:rPr>
          <w:rFonts w:hint="eastAsia"/>
          <w:kern w:val="0"/>
          <w:szCs w:val="21"/>
          <w:u w:val="single"/>
        </w:rPr>
        <w:t xml:space="preserve">                     </w:t>
      </w:r>
      <w:r>
        <w:t>（</w:t>
      </w:r>
      <w:r>
        <w:rPr>
          <w:szCs w:val="21"/>
        </w:rPr>
        <w:t>卖方</w:t>
      </w:r>
      <w:r>
        <w:t>名称，以下</w:t>
      </w:r>
      <w:r>
        <w:rPr>
          <w:szCs w:val="21"/>
        </w:rPr>
        <w:t>称“卖方”</w:t>
      </w:r>
      <w:r>
        <w:t>）</w:t>
      </w:r>
      <w:r>
        <w:rPr>
          <w:rFonts w:hint="eastAsia"/>
          <w:kern w:val="0"/>
          <w:szCs w:val="21"/>
        </w:rPr>
        <w:t>，特此订立本协议共同遵照执行。</w:t>
      </w:r>
    </w:p>
    <w:p>
      <w:pPr>
        <w:widowControl/>
        <w:spacing w:line="360" w:lineRule="auto"/>
        <w:ind w:firstLine="420" w:firstLineChars="200"/>
        <w:jc w:val="left"/>
        <w:rPr>
          <w:kern w:val="0"/>
          <w:szCs w:val="21"/>
        </w:rPr>
      </w:pPr>
      <w:r>
        <w:rPr>
          <w:rFonts w:hint="eastAsia"/>
          <w:kern w:val="0"/>
          <w:szCs w:val="21"/>
        </w:rPr>
        <w:t>第一条 买卖双方的权利和义务</w:t>
      </w:r>
    </w:p>
    <w:p>
      <w:pPr>
        <w:widowControl/>
        <w:spacing w:line="360" w:lineRule="auto"/>
        <w:ind w:firstLine="420" w:firstLineChars="200"/>
        <w:jc w:val="left"/>
        <w:rPr>
          <w:kern w:val="0"/>
          <w:szCs w:val="21"/>
        </w:rPr>
      </w:pPr>
      <w:r>
        <w:rPr>
          <w:rFonts w:hint="eastAsia"/>
          <w:kern w:val="0"/>
          <w:szCs w:val="21"/>
        </w:rPr>
        <w:t>（一）买卖双方自觉遵守《中华人民共和国反不正当竞争法》、国家工商行政管理局《关于禁止商业贿赂行为的暂行规定》、国家最高人民检察院、最高人民法院《关于办理受贿刑事案件适用法律若干问题的意见》及相关法律法规和廉政建设的规定。</w:t>
      </w:r>
    </w:p>
    <w:p>
      <w:pPr>
        <w:widowControl/>
        <w:spacing w:line="360" w:lineRule="auto"/>
        <w:ind w:firstLine="420" w:firstLineChars="200"/>
        <w:jc w:val="left"/>
        <w:rPr>
          <w:kern w:val="0"/>
          <w:szCs w:val="21"/>
        </w:rPr>
      </w:pPr>
      <w:r>
        <w:rPr>
          <w:rFonts w:hint="eastAsia"/>
          <w:kern w:val="0"/>
          <w:szCs w:val="21"/>
        </w:rPr>
        <w:t>（二）严格执行</w:t>
      </w:r>
      <w:r>
        <w:rPr>
          <w:rFonts w:hint="eastAsia"/>
          <w:kern w:val="0"/>
          <w:szCs w:val="21"/>
          <w:u w:val="single"/>
        </w:rPr>
        <w:t xml:space="preserve">                                </w:t>
      </w:r>
      <w:r>
        <w:rPr>
          <w:rFonts w:hint="eastAsia"/>
          <w:kern w:val="0"/>
          <w:szCs w:val="21"/>
        </w:rPr>
        <w:t>的合同要求，自觉履行合同约定的相关义务。</w:t>
      </w:r>
    </w:p>
    <w:p>
      <w:pPr>
        <w:widowControl/>
        <w:spacing w:line="360" w:lineRule="auto"/>
        <w:ind w:firstLine="420" w:firstLineChars="200"/>
        <w:jc w:val="left"/>
        <w:rPr>
          <w:kern w:val="0"/>
          <w:szCs w:val="21"/>
        </w:rPr>
      </w:pPr>
      <w:r>
        <w:rPr>
          <w:rFonts w:hint="eastAsia"/>
          <w:kern w:val="0"/>
          <w:szCs w:val="21"/>
        </w:rPr>
        <w:t>（三）在业务活动中坚持公开、公正、诚信、透明的原则，不得损害国家、集体利益。</w:t>
      </w:r>
    </w:p>
    <w:p>
      <w:pPr>
        <w:widowControl/>
        <w:spacing w:line="360" w:lineRule="auto"/>
        <w:ind w:firstLine="420" w:firstLineChars="200"/>
        <w:jc w:val="left"/>
        <w:rPr>
          <w:kern w:val="0"/>
          <w:szCs w:val="21"/>
        </w:rPr>
      </w:pPr>
      <w:r>
        <w:rPr>
          <w:rFonts w:hint="eastAsia"/>
          <w:kern w:val="0"/>
          <w:szCs w:val="21"/>
        </w:rPr>
        <w:t>（四）建立健全廉政制度，开展廉政教育，公布举报电话，监督并认真查处违法违纪行为。</w:t>
      </w:r>
    </w:p>
    <w:p>
      <w:pPr>
        <w:widowControl/>
        <w:spacing w:line="360" w:lineRule="auto"/>
        <w:ind w:firstLine="420" w:firstLineChars="200"/>
        <w:jc w:val="left"/>
        <w:rPr>
          <w:kern w:val="0"/>
          <w:szCs w:val="21"/>
        </w:rPr>
      </w:pPr>
      <w:r>
        <w:rPr>
          <w:rFonts w:hint="eastAsia"/>
          <w:kern w:val="0"/>
          <w:szCs w:val="21"/>
        </w:rPr>
        <w:t>（五）发现对方在业务活动中有违反廉政规定的行为，应及时提醒对方纠正。情节严重的，应向其上级有关部门举报、建议给予处理，并有权要求告知处理结果。</w:t>
      </w:r>
    </w:p>
    <w:p>
      <w:pPr>
        <w:widowControl/>
        <w:spacing w:line="360" w:lineRule="auto"/>
        <w:ind w:firstLine="420" w:firstLineChars="200"/>
        <w:jc w:val="left"/>
        <w:rPr>
          <w:kern w:val="0"/>
          <w:szCs w:val="21"/>
        </w:rPr>
      </w:pPr>
      <w:r>
        <w:rPr>
          <w:rFonts w:hint="eastAsia"/>
          <w:kern w:val="0"/>
          <w:szCs w:val="21"/>
        </w:rPr>
        <w:t>第二条 买方的义务</w:t>
      </w:r>
    </w:p>
    <w:p>
      <w:pPr>
        <w:widowControl/>
        <w:spacing w:line="360" w:lineRule="auto"/>
        <w:ind w:firstLine="525" w:firstLineChars="250"/>
        <w:jc w:val="left"/>
        <w:rPr>
          <w:kern w:val="0"/>
          <w:szCs w:val="21"/>
        </w:rPr>
      </w:pPr>
      <w:r>
        <w:rPr>
          <w:rFonts w:hint="eastAsia"/>
          <w:kern w:val="0"/>
          <w:szCs w:val="21"/>
        </w:rPr>
        <w:t>（一）买方及其工作人员不得索要或接受卖方的礼金、有价证券和贵重物品，不得在卖方报销任何应由买方单位或个人支付的费用等。</w:t>
      </w:r>
    </w:p>
    <w:p>
      <w:pPr>
        <w:widowControl/>
        <w:spacing w:line="360" w:lineRule="auto"/>
        <w:ind w:firstLine="420" w:firstLineChars="200"/>
        <w:jc w:val="left"/>
        <w:rPr>
          <w:kern w:val="0"/>
          <w:szCs w:val="21"/>
        </w:rPr>
      </w:pPr>
      <w:r>
        <w:rPr>
          <w:rFonts w:hint="eastAsia"/>
          <w:kern w:val="0"/>
          <w:szCs w:val="21"/>
        </w:rPr>
        <w:t>（二）买方工作人员不得参加卖方安排的可能影响相关业务公开、公正、公平性的宴请和娱乐活动；不得参与任何形式的赌博，严禁通过赌博方式取得卖方及其工作人员的财物；不得接受卖方</w:t>
      </w:r>
      <w:r>
        <w:rPr>
          <w:rFonts w:hint="eastAsia"/>
          <w:kern w:val="0"/>
          <w:szCs w:val="21"/>
          <w:lang w:eastAsia="zh-CN"/>
        </w:rPr>
        <w:t>提供的通信</w:t>
      </w:r>
      <w:r>
        <w:rPr>
          <w:rFonts w:hint="eastAsia"/>
          <w:kern w:val="0"/>
          <w:szCs w:val="21"/>
        </w:rPr>
        <w:t>工具和高档办公用品等。</w:t>
      </w:r>
    </w:p>
    <w:p>
      <w:pPr>
        <w:widowControl/>
        <w:spacing w:line="360" w:lineRule="auto"/>
        <w:ind w:firstLine="420" w:firstLineChars="200"/>
        <w:jc w:val="left"/>
        <w:rPr>
          <w:kern w:val="0"/>
          <w:szCs w:val="21"/>
        </w:rPr>
      </w:pPr>
      <w:r>
        <w:rPr>
          <w:rFonts w:hint="eastAsia"/>
          <w:kern w:val="0"/>
          <w:szCs w:val="21"/>
        </w:rPr>
        <w:t>（三）买方及其工作人员不得要求或者接受卖方为其住房装修、婚丧嫁娶活动、配偶子女工作安排以及出国出境、旅游等提供方便等。</w:t>
      </w:r>
    </w:p>
    <w:p>
      <w:pPr>
        <w:widowControl/>
        <w:spacing w:line="360" w:lineRule="auto"/>
        <w:ind w:firstLine="420" w:firstLineChars="200"/>
        <w:jc w:val="left"/>
        <w:rPr>
          <w:kern w:val="0"/>
          <w:szCs w:val="21"/>
        </w:rPr>
      </w:pPr>
      <w:r>
        <w:rPr>
          <w:rFonts w:hint="eastAsia"/>
          <w:kern w:val="0"/>
          <w:szCs w:val="21"/>
        </w:rPr>
        <w:t>（四）买方工作人员不得在卖方有股权关联的企业兼职，不得向卖方介绍家属或者亲友从事与买方业务有关的经济活动。</w:t>
      </w:r>
    </w:p>
    <w:p>
      <w:pPr>
        <w:widowControl/>
        <w:spacing w:line="360" w:lineRule="auto"/>
        <w:ind w:firstLine="420" w:firstLineChars="200"/>
        <w:jc w:val="left"/>
        <w:rPr>
          <w:kern w:val="0"/>
          <w:szCs w:val="21"/>
        </w:rPr>
      </w:pPr>
      <w:r>
        <w:rPr>
          <w:rFonts w:hint="eastAsia"/>
          <w:kern w:val="0"/>
          <w:szCs w:val="21"/>
        </w:rPr>
        <w:t>（五）买方工作人员不得以明显低于市场的价格向卖方购买房屋、汽车等物品；不得以明显高于市场的价格向卖方出售房屋、汽车等物品；不得以其他交易形式非法收受请托人财物。</w:t>
      </w:r>
    </w:p>
    <w:p>
      <w:pPr>
        <w:widowControl/>
        <w:spacing w:line="360" w:lineRule="auto"/>
        <w:ind w:firstLine="420" w:firstLineChars="200"/>
        <w:jc w:val="left"/>
        <w:rPr>
          <w:kern w:val="0"/>
          <w:szCs w:val="21"/>
        </w:rPr>
      </w:pPr>
      <w:r>
        <w:rPr>
          <w:rFonts w:hint="eastAsia"/>
          <w:kern w:val="0"/>
          <w:szCs w:val="21"/>
        </w:rPr>
        <w:t>（六）买方工作人员不得利用职务之便收受卖方以回扣、手续费、加班费、咨询费、劳务费、协调费、辛苦费等各种名义给予或赠送的钱物。</w:t>
      </w:r>
    </w:p>
    <w:p>
      <w:pPr>
        <w:widowControl/>
        <w:spacing w:line="360" w:lineRule="auto"/>
        <w:ind w:firstLine="420" w:firstLineChars="200"/>
        <w:jc w:val="left"/>
        <w:rPr>
          <w:kern w:val="0"/>
          <w:szCs w:val="21"/>
        </w:rPr>
      </w:pPr>
      <w:r>
        <w:rPr>
          <w:rFonts w:hint="eastAsia"/>
          <w:kern w:val="0"/>
          <w:szCs w:val="21"/>
        </w:rPr>
        <w:t>（七）买方工作人员不得接受卖方给予或赠送的干股或红利。</w:t>
      </w:r>
    </w:p>
    <w:p>
      <w:pPr>
        <w:widowControl/>
        <w:spacing w:line="360" w:lineRule="auto"/>
        <w:ind w:firstLine="420" w:firstLineChars="200"/>
        <w:jc w:val="left"/>
        <w:rPr>
          <w:kern w:val="0"/>
          <w:szCs w:val="21"/>
        </w:rPr>
      </w:pPr>
      <w:r>
        <w:rPr>
          <w:rFonts w:hint="eastAsia"/>
          <w:kern w:val="0"/>
          <w:szCs w:val="21"/>
        </w:rPr>
        <w:t>（八）买方任何人不得以个人的名义向卖方推荐设备、部件等供货商</w:t>
      </w:r>
      <w:r>
        <w:rPr>
          <w:rFonts w:hint="eastAsia"/>
          <w:kern w:val="0"/>
          <w:szCs w:val="21"/>
          <w:lang w:eastAsia="zh-CN"/>
        </w:rPr>
        <w:t>以及其他</w:t>
      </w:r>
      <w:r>
        <w:rPr>
          <w:rFonts w:hint="eastAsia"/>
          <w:kern w:val="0"/>
          <w:szCs w:val="21"/>
        </w:rPr>
        <w:t>合作单位。</w:t>
      </w:r>
    </w:p>
    <w:p>
      <w:pPr>
        <w:widowControl/>
        <w:spacing w:line="360" w:lineRule="auto"/>
        <w:ind w:firstLine="420" w:firstLineChars="200"/>
        <w:jc w:val="left"/>
        <w:rPr>
          <w:rFonts w:hint="eastAsia"/>
          <w:kern w:val="0"/>
          <w:szCs w:val="21"/>
        </w:rPr>
      </w:pPr>
      <w:r>
        <w:rPr>
          <w:rFonts w:hint="eastAsia"/>
          <w:kern w:val="0"/>
          <w:szCs w:val="21"/>
        </w:rPr>
        <w:t>第三条 卖方的义务</w:t>
      </w:r>
    </w:p>
    <w:p>
      <w:pPr>
        <w:widowControl/>
        <w:spacing w:line="360" w:lineRule="auto"/>
        <w:ind w:firstLine="424" w:firstLineChars="202"/>
        <w:jc w:val="left"/>
        <w:rPr>
          <w:rFonts w:hint="eastAsia"/>
          <w:kern w:val="0"/>
          <w:szCs w:val="21"/>
        </w:rPr>
      </w:pPr>
      <w:r>
        <w:rPr>
          <w:rFonts w:hint="eastAsia"/>
          <w:kern w:val="0"/>
          <w:szCs w:val="21"/>
        </w:rPr>
        <w:t>（一）卖方不得以任何理由向买方及其工作人员行贿或馈赠礼金、有价证券、贵重礼品。</w:t>
      </w:r>
    </w:p>
    <w:p>
      <w:pPr>
        <w:widowControl/>
        <w:spacing w:line="360" w:lineRule="auto"/>
        <w:ind w:firstLine="424" w:firstLineChars="202"/>
        <w:jc w:val="left"/>
        <w:rPr>
          <w:rFonts w:hint="eastAsia"/>
          <w:kern w:val="0"/>
          <w:szCs w:val="21"/>
        </w:rPr>
      </w:pPr>
      <w:r>
        <w:rPr>
          <w:rFonts w:hint="eastAsia"/>
          <w:kern w:val="0"/>
          <w:szCs w:val="21"/>
        </w:rPr>
        <w:t>（二）卖方不得以任何名义为买方及其工作人员报销应由买方单位或个人支付的任何费用。</w:t>
      </w:r>
    </w:p>
    <w:p>
      <w:pPr>
        <w:widowControl/>
        <w:spacing w:line="360" w:lineRule="auto"/>
        <w:ind w:firstLine="424" w:firstLineChars="202"/>
        <w:jc w:val="left"/>
        <w:rPr>
          <w:kern w:val="0"/>
          <w:szCs w:val="21"/>
        </w:rPr>
      </w:pPr>
      <w:r>
        <w:rPr>
          <w:rFonts w:hint="eastAsia"/>
          <w:kern w:val="0"/>
          <w:szCs w:val="21"/>
        </w:rPr>
        <w:t>（三）卖方不得以任何理由安排买方工作人员参加可能影响相关业务公开、公正、公平性的宴请及娱乐活动。</w:t>
      </w:r>
    </w:p>
    <w:p>
      <w:pPr>
        <w:widowControl/>
        <w:spacing w:line="360" w:lineRule="auto"/>
        <w:ind w:firstLine="420" w:firstLineChars="200"/>
        <w:jc w:val="left"/>
        <w:rPr>
          <w:kern w:val="0"/>
          <w:szCs w:val="21"/>
        </w:rPr>
      </w:pPr>
      <w:r>
        <w:rPr>
          <w:rFonts w:hint="eastAsia"/>
          <w:kern w:val="0"/>
          <w:szCs w:val="21"/>
        </w:rPr>
        <w:t>（四）卖方不得为买方单位和个人购置或</w:t>
      </w:r>
      <w:r>
        <w:rPr>
          <w:rFonts w:hint="eastAsia"/>
          <w:kern w:val="0"/>
          <w:szCs w:val="21"/>
          <w:lang w:eastAsia="zh-CN"/>
        </w:rPr>
        <w:t>提供通信</w:t>
      </w:r>
      <w:r>
        <w:rPr>
          <w:rFonts w:hint="eastAsia"/>
          <w:kern w:val="0"/>
          <w:szCs w:val="21"/>
        </w:rPr>
        <w:t>工具和高档办公用品等物品，也不得为买方提供与工作无关的房屋、汽车等。</w:t>
      </w:r>
    </w:p>
    <w:p>
      <w:pPr>
        <w:widowControl/>
        <w:spacing w:line="360" w:lineRule="auto"/>
        <w:ind w:firstLine="420" w:firstLineChars="200"/>
        <w:jc w:val="left"/>
        <w:rPr>
          <w:kern w:val="0"/>
          <w:szCs w:val="21"/>
        </w:rPr>
      </w:pPr>
      <w:r>
        <w:rPr>
          <w:rFonts w:hint="eastAsia"/>
          <w:kern w:val="0"/>
          <w:szCs w:val="21"/>
        </w:rPr>
        <w:t>（五）卖方不得与买方工作人员就合同中的质量、数量、价格、工程量、验收等条款进行私下商谈或者达成默契。</w:t>
      </w:r>
    </w:p>
    <w:p>
      <w:pPr>
        <w:widowControl/>
        <w:spacing w:line="360" w:lineRule="auto"/>
        <w:ind w:firstLine="420" w:firstLineChars="200"/>
        <w:jc w:val="left"/>
        <w:rPr>
          <w:kern w:val="0"/>
          <w:szCs w:val="21"/>
        </w:rPr>
      </w:pPr>
      <w:r>
        <w:rPr>
          <w:rFonts w:hint="eastAsia"/>
          <w:kern w:val="0"/>
          <w:szCs w:val="21"/>
        </w:rPr>
        <w:t>（六）卖方不得以回扣、手续费、加班费、咨询费、劳务费、协调费、辛苦费等各种名义向买方工作人员给予或赠送钱物。</w:t>
      </w:r>
    </w:p>
    <w:p>
      <w:pPr>
        <w:widowControl/>
        <w:spacing w:line="360" w:lineRule="auto"/>
        <w:ind w:firstLine="420" w:firstLineChars="200"/>
        <w:jc w:val="left"/>
        <w:rPr>
          <w:kern w:val="0"/>
          <w:szCs w:val="21"/>
        </w:rPr>
      </w:pPr>
      <w:r>
        <w:rPr>
          <w:rFonts w:hint="eastAsia"/>
          <w:kern w:val="0"/>
          <w:szCs w:val="21"/>
        </w:rPr>
        <w:t>（七）卖方不得向买方工作人员提供干股或红利。</w:t>
      </w:r>
    </w:p>
    <w:p>
      <w:pPr>
        <w:widowControl/>
        <w:spacing w:line="360" w:lineRule="auto"/>
        <w:ind w:firstLine="420" w:firstLineChars="200"/>
        <w:jc w:val="left"/>
        <w:rPr>
          <w:kern w:val="0"/>
          <w:szCs w:val="21"/>
        </w:rPr>
      </w:pPr>
      <w:r>
        <w:rPr>
          <w:rFonts w:hint="eastAsia"/>
          <w:kern w:val="0"/>
          <w:szCs w:val="21"/>
        </w:rPr>
        <w:t>（八）卖方须按</w:t>
      </w:r>
      <w:r>
        <w:rPr>
          <w:rFonts w:hint="eastAsia"/>
          <w:kern w:val="0"/>
          <w:szCs w:val="21"/>
          <w:u w:val="single"/>
        </w:rPr>
        <w:t xml:space="preserve">         </w:t>
      </w:r>
      <w:r>
        <w:rPr>
          <w:rFonts w:hint="eastAsia"/>
          <w:kern w:val="0"/>
          <w:szCs w:val="21"/>
        </w:rPr>
        <w:t>专项纪检监察工作组</w:t>
      </w:r>
      <w:r>
        <w:rPr>
          <w:rFonts w:hint="eastAsia"/>
          <w:kern w:val="0"/>
          <w:szCs w:val="21"/>
          <w:lang w:eastAsia="zh-CN"/>
        </w:rPr>
        <w:t>（</w:t>
      </w:r>
      <w:r>
        <w:rPr>
          <w:rFonts w:hint="eastAsia"/>
          <w:kern w:val="0"/>
          <w:szCs w:val="21"/>
        </w:rPr>
        <w:t>如有</w:t>
      </w:r>
      <w:r>
        <w:rPr>
          <w:rFonts w:hint="eastAsia"/>
          <w:kern w:val="0"/>
          <w:szCs w:val="21"/>
          <w:lang w:eastAsia="zh-CN"/>
        </w:rPr>
        <w:t>）</w:t>
      </w:r>
      <w:r>
        <w:rPr>
          <w:rFonts w:hint="eastAsia"/>
          <w:kern w:val="0"/>
          <w:szCs w:val="21"/>
        </w:rPr>
        <w:t>要求开展相关工作。</w:t>
      </w:r>
    </w:p>
    <w:p>
      <w:pPr>
        <w:widowControl/>
        <w:spacing w:line="360" w:lineRule="auto"/>
        <w:ind w:firstLine="420" w:firstLineChars="200"/>
        <w:jc w:val="left"/>
        <w:rPr>
          <w:kern w:val="0"/>
          <w:szCs w:val="21"/>
        </w:rPr>
      </w:pPr>
      <w:r>
        <w:rPr>
          <w:rFonts w:hint="eastAsia"/>
          <w:kern w:val="0"/>
          <w:szCs w:val="21"/>
        </w:rPr>
        <w:t>第四条 违约责任</w:t>
      </w:r>
    </w:p>
    <w:p>
      <w:pPr>
        <w:widowControl/>
        <w:spacing w:line="360" w:lineRule="auto"/>
        <w:ind w:firstLine="420" w:firstLineChars="200"/>
        <w:jc w:val="left"/>
        <w:rPr>
          <w:kern w:val="0"/>
          <w:szCs w:val="21"/>
        </w:rPr>
      </w:pPr>
      <w:r>
        <w:rPr>
          <w:rFonts w:hint="eastAsia"/>
          <w:kern w:val="0"/>
          <w:szCs w:val="21"/>
        </w:rPr>
        <w:t>（一）买方及其工作人员违反本协议</w:t>
      </w:r>
      <w:r>
        <w:rPr>
          <w:rFonts w:hint="eastAsia"/>
          <w:kern w:val="0"/>
          <w:szCs w:val="21"/>
          <w:lang w:eastAsia="zh-CN"/>
        </w:rPr>
        <w:t>第一，</w:t>
      </w:r>
      <w:r>
        <w:rPr>
          <w:rFonts w:hint="eastAsia"/>
          <w:kern w:val="0"/>
          <w:szCs w:val="21"/>
        </w:rPr>
        <w:t>二条规定。买方按管理权限，对相关责任人依据有关规定给予党纪、政纪处分或组织处理；涉嫌犯罪的，移交司法机关追究刑事责任；给卖方单位造成经济损失的，应予以赔偿。</w:t>
      </w:r>
    </w:p>
    <w:p>
      <w:pPr>
        <w:widowControl/>
        <w:spacing w:line="360" w:lineRule="auto"/>
        <w:ind w:firstLine="420" w:firstLineChars="200"/>
        <w:jc w:val="left"/>
        <w:rPr>
          <w:kern w:val="0"/>
          <w:szCs w:val="21"/>
        </w:rPr>
      </w:pPr>
      <w:r>
        <w:rPr>
          <w:rFonts w:hint="eastAsia"/>
          <w:kern w:val="0"/>
          <w:szCs w:val="21"/>
        </w:rPr>
        <w:t>买方投诉联系部门：</w:t>
      </w:r>
      <w:r>
        <w:rPr>
          <w:rFonts w:hint="eastAsia"/>
          <w:kern w:val="0"/>
          <w:szCs w:val="21"/>
          <w:u w:val="single"/>
        </w:rPr>
        <w:t xml:space="preserve">           </w:t>
      </w:r>
      <w:r>
        <w:rPr>
          <w:rFonts w:hint="eastAsia"/>
          <w:kern w:val="0"/>
          <w:szCs w:val="21"/>
        </w:rPr>
        <w:t>，联系电话：</w:t>
      </w:r>
      <w:r>
        <w:rPr>
          <w:rFonts w:hint="eastAsia"/>
          <w:kern w:val="0"/>
          <w:szCs w:val="21"/>
          <w:u w:val="single"/>
        </w:rPr>
        <w:t xml:space="preserve">           </w:t>
      </w:r>
      <w:r>
        <w:rPr>
          <w:rFonts w:hint="eastAsia"/>
          <w:kern w:val="0"/>
          <w:szCs w:val="21"/>
        </w:rPr>
        <w:t>。</w:t>
      </w:r>
    </w:p>
    <w:p>
      <w:pPr>
        <w:widowControl/>
        <w:spacing w:line="360" w:lineRule="auto"/>
        <w:ind w:firstLine="420" w:firstLineChars="200"/>
        <w:jc w:val="left"/>
        <w:rPr>
          <w:kern w:val="0"/>
          <w:szCs w:val="21"/>
        </w:rPr>
      </w:pPr>
      <w:r>
        <w:rPr>
          <w:rFonts w:hint="eastAsia"/>
          <w:kern w:val="0"/>
          <w:szCs w:val="21"/>
        </w:rPr>
        <w:t>（二）卖方及其工作人员违反本协议</w:t>
      </w:r>
      <w:r>
        <w:rPr>
          <w:rFonts w:hint="eastAsia"/>
          <w:kern w:val="0"/>
          <w:szCs w:val="21"/>
          <w:lang w:eastAsia="zh-CN"/>
        </w:rPr>
        <w:t>第一，</w:t>
      </w:r>
      <w:r>
        <w:rPr>
          <w:rFonts w:hint="eastAsia"/>
          <w:kern w:val="0"/>
          <w:szCs w:val="21"/>
        </w:rPr>
        <w:t>三条规定。根据具体情节和造成的后果，买方有权对卖方采取以下一种或多种处理办法：</w:t>
      </w:r>
    </w:p>
    <w:p>
      <w:pPr>
        <w:widowControl/>
        <w:spacing w:line="360" w:lineRule="auto"/>
        <w:ind w:firstLine="420" w:firstLineChars="200"/>
        <w:jc w:val="left"/>
        <w:rPr>
          <w:kern w:val="0"/>
          <w:szCs w:val="21"/>
        </w:rPr>
      </w:pPr>
      <w:r>
        <w:rPr>
          <w:rFonts w:hint="eastAsia"/>
          <w:kern w:val="0"/>
          <w:szCs w:val="21"/>
        </w:rPr>
        <w:t xml:space="preserve">1.全额收取卖方合同履约保证金不予退还； </w:t>
      </w:r>
    </w:p>
    <w:p>
      <w:pPr>
        <w:widowControl/>
        <w:spacing w:line="360" w:lineRule="auto"/>
        <w:ind w:firstLine="420" w:firstLineChars="200"/>
        <w:jc w:val="left"/>
        <w:rPr>
          <w:kern w:val="0"/>
          <w:szCs w:val="21"/>
        </w:rPr>
      </w:pPr>
      <w:r>
        <w:rPr>
          <w:rFonts w:hint="eastAsia"/>
          <w:kern w:val="0"/>
          <w:szCs w:val="21"/>
        </w:rPr>
        <w:t>2.追究卖方其他违约责任；</w:t>
      </w:r>
    </w:p>
    <w:p>
      <w:pPr>
        <w:widowControl/>
        <w:spacing w:line="360" w:lineRule="auto"/>
        <w:ind w:firstLine="420" w:firstLineChars="200"/>
        <w:jc w:val="left"/>
        <w:rPr>
          <w:kern w:val="0"/>
          <w:szCs w:val="21"/>
        </w:rPr>
      </w:pPr>
      <w:r>
        <w:rPr>
          <w:rFonts w:hint="eastAsia"/>
          <w:kern w:val="0"/>
          <w:szCs w:val="21"/>
        </w:rPr>
        <w:t>3.终止或解除双方已签订的包括本合同在内的所有合同；</w:t>
      </w:r>
    </w:p>
    <w:p>
      <w:pPr>
        <w:widowControl/>
        <w:spacing w:line="360" w:lineRule="auto"/>
        <w:ind w:firstLine="420" w:firstLineChars="200"/>
        <w:jc w:val="left"/>
        <w:rPr>
          <w:kern w:val="0"/>
          <w:szCs w:val="21"/>
        </w:rPr>
      </w:pPr>
      <w:r>
        <w:rPr>
          <w:rFonts w:hint="eastAsia"/>
          <w:kern w:val="0"/>
          <w:szCs w:val="21"/>
        </w:rPr>
        <w:t>4.卖方一定期限内（6个月至3年，具体由买方根据情况而定）不得参与买方作为发包人（业主）的项目投标。</w:t>
      </w:r>
    </w:p>
    <w:p>
      <w:pPr>
        <w:widowControl/>
        <w:spacing w:line="360" w:lineRule="auto"/>
        <w:ind w:firstLine="420" w:firstLineChars="200"/>
        <w:jc w:val="left"/>
        <w:rPr>
          <w:kern w:val="0"/>
          <w:szCs w:val="21"/>
        </w:rPr>
      </w:pPr>
      <w:r>
        <w:rPr>
          <w:rFonts w:hint="eastAsia"/>
          <w:kern w:val="0"/>
          <w:szCs w:val="21"/>
        </w:rPr>
        <w:t>买方作出的处理意见，卖方应无条件接受并承担给买方造成的损失，全额返还通过不正当手段从买方获取的非法所得，并承担相应的法律责任。</w:t>
      </w:r>
    </w:p>
    <w:p>
      <w:pPr>
        <w:widowControl/>
        <w:spacing w:line="360" w:lineRule="auto"/>
        <w:ind w:firstLine="420" w:firstLineChars="200"/>
        <w:jc w:val="left"/>
        <w:rPr>
          <w:kern w:val="0"/>
          <w:szCs w:val="21"/>
        </w:rPr>
      </w:pPr>
      <w:r>
        <w:rPr>
          <w:rFonts w:hint="eastAsia"/>
          <w:kern w:val="0"/>
          <w:szCs w:val="21"/>
        </w:rPr>
        <w:t>第五条 双方约定</w:t>
      </w:r>
    </w:p>
    <w:p>
      <w:pPr>
        <w:widowControl/>
        <w:spacing w:line="360" w:lineRule="auto"/>
        <w:ind w:firstLine="420" w:firstLineChars="200"/>
        <w:jc w:val="left"/>
        <w:rPr>
          <w:kern w:val="0"/>
          <w:szCs w:val="21"/>
        </w:rPr>
      </w:pPr>
      <w:r>
        <w:rPr>
          <w:rFonts w:hint="eastAsia"/>
          <w:kern w:val="0"/>
          <w:szCs w:val="21"/>
        </w:rPr>
        <w:t>本协议由双方或双方上级单位负责监督。可由买方或买方上级单位的纪检监察部门约请卖方或卖方上级单位的纪检监察部门对本协议履行情况进行检查，提出在本协议规定范围内的裁定意见。</w:t>
      </w:r>
    </w:p>
    <w:p>
      <w:pPr>
        <w:widowControl/>
        <w:spacing w:line="360" w:lineRule="auto"/>
        <w:ind w:firstLine="420" w:firstLineChars="200"/>
        <w:jc w:val="left"/>
        <w:rPr>
          <w:kern w:val="0"/>
          <w:szCs w:val="21"/>
        </w:rPr>
      </w:pPr>
      <w:r>
        <w:rPr>
          <w:rFonts w:hint="eastAsia"/>
          <w:kern w:val="0"/>
          <w:szCs w:val="21"/>
        </w:rPr>
        <w:t xml:space="preserve">第六条  本协议有效期为买卖双方签署之日起至合同终止。  </w:t>
      </w:r>
    </w:p>
    <w:p>
      <w:pPr>
        <w:widowControl/>
        <w:spacing w:line="360" w:lineRule="auto"/>
        <w:ind w:firstLine="420" w:firstLineChars="200"/>
        <w:jc w:val="left"/>
        <w:rPr>
          <w:kern w:val="0"/>
          <w:szCs w:val="21"/>
        </w:rPr>
      </w:pPr>
      <w:r>
        <w:rPr>
          <w:rFonts w:hint="eastAsia"/>
          <w:kern w:val="0"/>
          <w:szCs w:val="21"/>
        </w:rPr>
        <w:t>第七条  本协议作为合同的附件，与本合同具有同等法律效力。</w:t>
      </w:r>
    </w:p>
    <w:p>
      <w:pPr>
        <w:widowControl/>
        <w:spacing w:line="360" w:lineRule="auto"/>
        <w:ind w:firstLine="420" w:firstLineChars="200"/>
        <w:jc w:val="left"/>
        <w:rPr>
          <w:kern w:val="0"/>
          <w:szCs w:val="21"/>
        </w:rPr>
      </w:pPr>
      <w:r>
        <w:rPr>
          <w:rFonts w:hint="eastAsia"/>
          <w:kern w:val="0"/>
          <w:szCs w:val="21"/>
        </w:rPr>
        <w:t xml:space="preserve"> </w:t>
      </w:r>
    </w:p>
    <w:p>
      <w:pPr>
        <w:widowControl/>
        <w:spacing w:line="360" w:lineRule="auto"/>
        <w:ind w:firstLine="420" w:firstLineChars="200"/>
        <w:jc w:val="left"/>
        <w:rPr>
          <w:rFonts w:hint="eastAsia"/>
          <w:kern w:val="0"/>
          <w:szCs w:val="21"/>
        </w:rPr>
      </w:pPr>
      <w:r>
        <w:rPr>
          <w:rFonts w:hint="eastAsia"/>
          <w:kern w:val="0"/>
          <w:szCs w:val="21"/>
        </w:rPr>
        <w:t xml:space="preserve">买方（盖章）： </w:t>
      </w:r>
      <w:r>
        <w:rPr>
          <w:rFonts w:hint="eastAsia"/>
          <w:kern w:val="0"/>
          <w:szCs w:val="21"/>
          <w:u w:val="single"/>
        </w:rPr>
        <w:t xml:space="preserve">                      </w:t>
      </w:r>
      <w:r>
        <w:rPr>
          <w:rFonts w:hint="eastAsia"/>
          <w:kern w:val="0"/>
          <w:szCs w:val="21"/>
        </w:rPr>
        <w:t xml:space="preserve">       卖方（盖章）：</w:t>
      </w:r>
      <w:r>
        <w:rPr>
          <w:rFonts w:hint="eastAsia"/>
          <w:kern w:val="0"/>
          <w:szCs w:val="21"/>
          <w:u w:val="single"/>
        </w:rPr>
        <w:t xml:space="preserve">                      </w:t>
      </w:r>
    </w:p>
    <w:p>
      <w:pPr>
        <w:widowControl/>
        <w:spacing w:line="360" w:lineRule="auto"/>
        <w:ind w:firstLine="420" w:firstLineChars="200"/>
        <w:jc w:val="left"/>
        <w:rPr>
          <w:kern w:val="0"/>
          <w:szCs w:val="21"/>
        </w:rPr>
      </w:pPr>
    </w:p>
    <w:p>
      <w:pPr>
        <w:widowControl/>
        <w:spacing w:line="360" w:lineRule="auto"/>
        <w:ind w:firstLine="420" w:firstLineChars="200"/>
        <w:jc w:val="left"/>
        <w:rPr>
          <w:kern w:val="0"/>
          <w:szCs w:val="21"/>
        </w:rPr>
      </w:pPr>
      <w:r>
        <w:rPr>
          <w:rFonts w:hint="eastAsia"/>
          <w:kern w:val="0"/>
          <w:szCs w:val="21"/>
        </w:rPr>
        <w:t>法定代表人或                                法定代表人或</w:t>
      </w:r>
    </w:p>
    <w:p>
      <w:pPr>
        <w:widowControl/>
        <w:spacing w:line="360" w:lineRule="auto"/>
        <w:ind w:firstLine="420" w:firstLineChars="200"/>
        <w:jc w:val="left"/>
        <w:rPr>
          <w:kern w:val="0"/>
          <w:szCs w:val="21"/>
        </w:rPr>
      </w:pPr>
      <w:r>
        <w:rPr>
          <w:rFonts w:hint="eastAsia"/>
          <w:kern w:val="0"/>
          <w:szCs w:val="21"/>
        </w:rPr>
        <w:t>授权代表：</w:t>
      </w:r>
      <w:r>
        <w:rPr>
          <w:rFonts w:hint="eastAsia"/>
          <w:kern w:val="0"/>
          <w:szCs w:val="21"/>
          <w:u w:val="single"/>
        </w:rPr>
        <w:t xml:space="preserve">              </w:t>
      </w:r>
      <w:r>
        <w:rPr>
          <w:rFonts w:hint="eastAsia"/>
          <w:kern w:val="0"/>
          <w:szCs w:val="21"/>
          <w:u w:val="single"/>
          <w:lang w:eastAsia="zh-CN"/>
        </w:rPr>
        <w:t>（</w:t>
      </w:r>
      <w:r>
        <w:rPr>
          <w:rFonts w:hint="eastAsia"/>
          <w:kern w:val="0"/>
          <w:szCs w:val="21"/>
        </w:rPr>
        <w:t>职务</w:t>
      </w:r>
      <w:r>
        <w:rPr>
          <w:rFonts w:hint="eastAsia"/>
          <w:kern w:val="0"/>
          <w:szCs w:val="21"/>
          <w:lang w:eastAsia="zh-CN"/>
        </w:rPr>
        <w:t>）</w:t>
      </w:r>
      <w:r>
        <w:rPr>
          <w:rFonts w:hint="eastAsia"/>
          <w:kern w:val="0"/>
          <w:szCs w:val="21"/>
        </w:rPr>
        <w:t xml:space="preserve">              授权代表：</w:t>
      </w:r>
      <w:r>
        <w:rPr>
          <w:rFonts w:hint="eastAsia"/>
          <w:kern w:val="0"/>
          <w:szCs w:val="21"/>
          <w:u w:val="single"/>
        </w:rPr>
        <w:t xml:space="preserve">             </w:t>
      </w:r>
      <w:r>
        <w:rPr>
          <w:rFonts w:hint="eastAsia"/>
          <w:kern w:val="0"/>
          <w:szCs w:val="21"/>
          <w:u w:val="single"/>
          <w:lang w:eastAsia="zh-CN"/>
        </w:rPr>
        <w:t>（</w:t>
      </w:r>
      <w:r>
        <w:rPr>
          <w:rFonts w:hint="eastAsia"/>
          <w:kern w:val="0"/>
          <w:szCs w:val="21"/>
        </w:rPr>
        <w:t>职务</w:t>
      </w:r>
      <w:r>
        <w:rPr>
          <w:rFonts w:hint="eastAsia"/>
          <w:kern w:val="0"/>
          <w:szCs w:val="21"/>
          <w:lang w:eastAsia="zh-CN"/>
        </w:rPr>
        <w:t>）</w:t>
      </w:r>
    </w:p>
    <w:p>
      <w:pPr>
        <w:widowControl/>
        <w:spacing w:line="360" w:lineRule="auto"/>
        <w:ind w:firstLine="420" w:firstLineChars="200"/>
        <w:jc w:val="left"/>
        <w:rPr>
          <w:kern w:val="0"/>
          <w:szCs w:val="21"/>
        </w:rPr>
      </w:pPr>
      <w:r>
        <w:rPr>
          <w:rFonts w:hint="eastAsia"/>
          <w:kern w:val="0"/>
          <w:szCs w:val="21"/>
        </w:rPr>
        <w:t>姓名：</w:t>
      </w:r>
      <w:r>
        <w:rPr>
          <w:rFonts w:hint="eastAsia"/>
          <w:kern w:val="0"/>
          <w:szCs w:val="21"/>
          <w:u w:val="single"/>
        </w:rPr>
        <w:t xml:space="preserve">             </w:t>
      </w:r>
      <w:r>
        <w:rPr>
          <w:rFonts w:hint="eastAsia"/>
          <w:kern w:val="0"/>
          <w:szCs w:val="21"/>
        </w:rPr>
        <w:t xml:space="preserve">                         姓名：</w:t>
      </w:r>
      <w:r>
        <w:rPr>
          <w:rFonts w:hint="eastAsia"/>
          <w:kern w:val="0"/>
          <w:szCs w:val="21"/>
          <w:u w:val="single"/>
        </w:rPr>
        <w:t xml:space="preserve">             </w:t>
      </w:r>
    </w:p>
    <w:p>
      <w:pPr>
        <w:widowControl/>
        <w:spacing w:line="360" w:lineRule="auto"/>
        <w:ind w:firstLine="420" w:firstLineChars="200"/>
        <w:jc w:val="left"/>
        <w:rPr>
          <w:kern w:val="0"/>
          <w:szCs w:val="21"/>
        </w:rPr>
      </w:pPr>
      <w:r>
        <w:rPr>
          <w:rFonts w:hint="eastAsia"/>
          <w:kern w:val="0"/>
          <w:szCs w:val="21"/>
        </w:rPr>
        <w:t>签字：</w:t>
      </w:r>
      <w:r>
        <w:rPr>
          <w:rFonts w:hint="eastAsia"/>
          <w:kern w:val="0"/>
          <w:szCs w:val="21"/>
          <w:u w:val="single"/>
        </w:rPr>
        <w:t xml:space="preserve">             </w:t>
      </w:r>
      <w:r>
        <w:rPr>
          <w:rFonts w:hint="eastAsia"/>
          <w:kern w:val="0"/>
          <w:szCs w:val="21"/>
        </w:rPr>
        <w:t xml:space="preserve">                         签字：</w:t>
      </w:r>
      <w:r>
        <w:rPr>
          <w:rFonts w:hint="eastAsia"/>
          <w:kern w:val="0"/>
          <w:szCs w:val="21"/>
          <w:u w:val="single"/>
        </w:rPr>
        <w:t xml:space="preserve">             </w:t>
      </w:r>
    </w:p>
    <w:p>
      <w:pPr>
        <w:widowControl/>
        <w:spacing w:line="360" w:lineRule="auto"/>
        <w:ind w:firstLine="420" w:firstLineChars="200"/>
        <w:jc w:val="left"/>
        <w:rPr>
          <w:kern w:val="0"/>
          <w:szCs w:val="21"/>
        </w:rPr>
      </w:pPr>
    </w:p>
    <w:p>
      <w:pPr>
        <w:widowControl/>
        <w:spacing w:line="360" w:lineRule="auto"/>
        <w:ind w:firstLine="420" w:firstLineChars="200"/>
        <w:jc w:val="left"/>
        <w:rPr>
          <w:kern w:val="0"/>
          <w:szCs w:val="21"/>
        </w:rPr>
      </w:pPr>
      <w:r>
        <w:rPr>
          <w:rFonts w:hint="eastAsia"/>
          <w:kern w:val="0"/>
          <w:szCs w:val="21"/>
        </w:rPr>
        <w:t>廉政监督联系人                              廉政监督联系人</w:t>
      </w:r>
    </w:p>
    <w:p>
      <w:pPr>
        <w:widowControl/>
        <w:spacing w:line="360" w:lineRule="auto"/>
        <w:ind w:firstLine="420" w:firstLineChars="200"/>
        <w:jc w:val="left"/>
        <w:rPr>
          <w:kern w:val="0"/>
          <w:szCs w:val="21"/>
        </w:rPr>
      </w:pPr>
      <w:r>
        <w:rPr>
          <w:rFonts w:hint="eastAsia"/>
          <w:kern w:val="0"/>
          <w:szCs w:val="21"/>
        </w:rPr>
        <w:t>姓名：</w:t>
      </w:r>
      <w:r>
        <w:rPr>
          <w:rFonts w:hint="eastAsia"/>
          <w:kern w:val="0"/>
          <w:szCs w:val="21"/>
          <w:u w:val="single"/>
        </w:rPr>
        <w:t xml:space="preserve">                       </w:t>
      </w:r>
      <w:r>
        <w:rPr>
          <w:rFonts w:hint="eastAsia"/>
          <w:kern w:val="0"/>
          <w:szCs w:val="21"/>
        </w:rPr>
        <w:t xml:space="preserve">               姓名：</w:t>
      </w:r>
      <w:r>
        <w:rPr>
          <w:rFonts w:hint="eastAsia"/>
          <w:kern w:val="0"/>
          <w:szCs w:val="21"/>
          <w:u w:val="single"/>
        </w:rPr>
        <w:t xml:space="preserve">                       </w:t>
      </w:r>
    </w:p>
    <w:p>
      <w:pPr>
        <w:widowControl/>
        <w:spacing w:line="360" w:lineRule="auto"/>
        <w:ind w:firstLine="420" w:firstLineChars="200"/>
        <w:jc w:val="left"/>
        <w:rPr>
          <w:kern w:val="0"/>
          <w:szCs w:val="21"/>
        </w:rPr>
      </w:pPr>
      <w:r>
        <w:rPr>
          <w:rFonts w:hint="eastAsia"/>
          <w:kern w:val="0"/>
          <w:szCs w:val="21"/>
        </w:rPr>
        <w:t>签字：</w:t>
      </w:r>
      <w:r>
        <w:rPr>
          <w:rFonts w:hint="eastAsia"/>
          <w:kern w:val="0"/>
          <w:szCs w:val="21"/>
          <w:u w:val="single"/>
        </w:rPr>
        <w:t xml:space="preserve">                       </w:t>
      </w:r>
      <w:r>
        <w:rPr>
          <w:rFonts w:hint="eastAsia"/>
          <w:kern w:val="0"/>
          <w:szCs w:val="21"/>
        </w:rPr>
        <w:t xml:space="preserve">               签字：</w:t>
      </w:r>
      <w:r>
        <w:rPr>
          <w:rFonts w:hint="eastAsia"/>
          <w:kern w:val="0"/>
          <w:szCs w:val="21"/>
          <w:u w:val="single"/>
        </w:rPr>
        <w:t xml:space="preserve">                       </w:t>
      </w:r>
    </w:p>
    <w:p>
      <w:pPr>
        <w:widowControl/>
        <w:spacing w:line="360" w:lineRule="auto"/>
        <w:ind w:firstLine="420" w:firstLineChars="200"/>
        <w:jc w:val="left"/>
        <w:rPr>
          <w:kern w:val="0"/>
          <w:szCs w:val="21"/>
        </w:rPr>
      </w:pPr>
      <w:r>
        <w:rPr>
          <w:rFonts w:hint="eastAsia"/>
          <w:kern w:val="0"/>
          <w:szCs w:val="21"/>
        </w:rPr>
        <w:t>电话：</w:t>
      </w:r>
      <w:r>
        <w:rPr>
          <w:rFonts w:hint="eastAsia"/>
          <w:kern w:val="0"/>
          <w:szCs w:val="21"/>
          <w:u w:val="single"/>
        </w:rPr>
        <w:t xml:space="preserve">                       </w:t>
      </w:r>
      <w:r>
        <w:rPr>
          <w:rFonts w:hint="eastAsia"/>
          <w:kern w:val="0"/>
          <w:szCs w:val="21"/>
        </w:rPr>
        <w:t xml:space="preserve">               电话：</w:t>
      </w:r>
      <w:r>
        <w:rPr>
          <w:rFonts w:hint="eastAsia"/>
          <w:kern w:val="0"/>
          <w:szCs w:val="21"/>
          <w:u w:val="single"/>
        </w:rPr>
        <w:t xml:space="preserve">                       </w:t>
      </w:r>
    </w:p>
    <w:p>
      <w:pPr>
        <w:widowControl/>
        <w:spacing w:line="360" w:lineRule="auto"/>
        <w:ind w:firstLine="420" w:firstLineChars="200"/>
        <w:jc w:val="left"/>
        <w:rPr>
          <w:kern w:val="0"/>
          <w:szCs w:val="21"/>
        </w:rPr>
      </w:pPr>
      <w:r>
        <w:rPr>
          <w:rFonts w:hint="eastAsia"/>
          <w:kern w:val="0"/>
          <w:szCs w:val="21"/>
        </w:rPr>
        <w:t>地址：</w:t>
      </w:r>
      <w:r>
        <w:rPr>
          <w:rFonts w:hint="eastAsia"/>
          <w:kern w:val="0"/>
          <w:szCs w:val="21"/>
          <w:u w:val="single"/>
        </w:rPr>
        <w:t xml:space="preserve">                       </w:t>
      </w:r>
      <w:r>
        <w:rPr>
          <w:rFonts w:hint="eastAsia"/>
          <w:kern w:val="0"/>
          <w:szCs w:val="21"/>
        </w:rPr>
        <w:t xml:space="preserve">               地址：</w:t>
      </w:r>
      <w:r>
        <w:rPr>
          <w:rFonts w:hint="eastAsia"/>
          <w:kern w:val="0"/>
          <w:szCs w:val="21"/>
          <w:u w:val="single"/>
        </w:rPr>
        <w:t xml:space="preserve">                       </w:t>
      </w:r>
    </w:p>
    <w:p>
      <w:pPr>
        <w:widowControl/>
        <w:spacing w:line="360" w:lineRule="auto"/>
        <w:ind w:firstLine="420" w:firstLineChars="200"/>
        <w:jc w:val="left"/>
        <w:rPr>
          <w:kern w:val="0"/>
          <w:szCs w:val="21"/>
        </w:rPr>
      </w:pPr>
      <w:r>
        <w:rPr>
          <w:rFonts w:hint="eastAsia"/>
          <w:kern w:val="0"/>
          <w:szCs w:val="21"/>
        </w:rPr>
        <w:t>日期：</w:t>
      </w:r>
      <w:r>
        <w:rPr>
          <w:rFonts w:hint="eastAsia"/>
          <w:kern w:val="0"/>
          <w:szCs w:val="21"/>
          <w:u w:val="single"/>
        </w:rPr>
        <w:t xml:space="preserve">                       </w:t>
      </w:r>
      <w:r>
        <w:rPr>
          <w:rFonts w:hint="eastAsia"/>
          <w:kern w:val="0"/>
          <w:szCs w:val="21"/>
        </w:rPr>
        <w:t xml:space="preserve">               日期：</w:t>
      </w:r>
      <w:r>
        <w:rPr>
          <w:rFonts w:hint="eastAsia"/>
          <w:kern w:val="0"/>
          <w:szCs w:val="21"/>
          <w:u w:val="single"/>
        </w:rPr>
        <w:t xml:space="preserve">                       </w:t>
      </w:r>
    </w:p>
    <w:p>
      <w:pPr>
        <w:spacing w:line="420" w:lineRule="exact"/>
        <w:rPr>
          <w:rFonts w:hint="eastAsia" w:eastAsia="楷体_GB2312"/>
          <w:color w:val="000000"/>
        </w:rPr>
      </w:pPr>
    </w:p>
    <w:p>
      <w:pPr>
        <w:spacing w:line="420" w:lineRule="exact"/>
        <w:rPr>
          <w:rFonts w:hint="eastAsia" w:eastAsia="楷体_GB2312"/>
          <w:color w:val="000000"/>
        </w:rPr>
        <w:sectPr>
          <w:footnotePr>
            <w:numFmt w:val="decimalEnclosedCircleChinese"/>
            <w:numRestart w:val="eachPage"/>
          </w:footnotePr>
          <w:pgSz w:w="11907" w:h="16840"/>
          <w:pgMar w:top="1474" w:right="1474" w:bottom="1474" w:left="1474" w:header="799" w:footer="907" w:gutter="0"/>
          <w:cols w:space="720" w:num="1"/>
          <w:docGrid w:linePitch="271" w:charSpace="0"/>
        </w:sectPr>
      </w:pPr>
    </w:p>
    <w:p>
      <w:pPr>
        <w:spacing w:line="360" w:lineRule="auto"/>
        <w:jc w:val="center"/>
        <w:rPr>
          <w:rFonts w:hint="eastAsia" w:ascii="宋体" w:hAnsi="宋体" w:cs="宋体"/>
          <w:b/>
          <w:bCs/>
          <w:color w:val="000000"/>
          <w:sz w:val="28"/>
          <w:szCs w:val="28"/>
        </w:rPr>
      </w:pPr>
      <w:r>
        <w:rPr>
          <w:rFonts w:hint="eastAsia" w:ascii="宋体" w:hAnsi="宋体" w:cs="宋体"/>
          <w:b/>
          <w:bCs/>
          <w:color w:val="000000"/>
          <w:sz w:val="28"/>
          <w:szCs w:val="28"/>
        </w:rPr>
        <w:t>第三节 合同附件格式</w:t>
      </w:r>
    </w:p>
    <w:p>
      <w:pPr>
        <w:spacing w:line="360" w:lineRule="auto"/>
        <w:rPr>
          <w:rFonts w:hint="eastAsia" w:ascii="宋体" w:hAnsi="宋体" w:cs="宋体"/>
          <w:b/>
          <w:bCs/>
          <w:color w:val="000000"/>
          <w:sz w:val="22"/>
          <w:szCs w:val="22"/>
        </w:rPr>
      </w:pPr>
      <w:r>
        <w:rPr>
          <w:rFonts w:hint="eastAsia" w:ascii="宋体" w:hAnsi="宋体" w:cs="宋体"/>
          <w:b/>
          <w:bCs/>
          <w:color w:val="000000"/>
          <w:sz w:val="22"/>
          <w:szCs w:val="22"/>
        </w:rPr>
        <w:t>附件一：合同协议书</w:t>
      </w:r>
    </w:p>
    <w:p>
      <w:pPr>
        <w:spacing w:line="360" w:lineRule="auto"/>
        <w:ind w:firstLine="442" w:firstLineChars="200"/>
        <w:jc w:val="center"/>
        <w:rPr>
          <w:rFonts w:hint="eastAsia" w:ascii="宋体" w:hAnsi="宋体" w:cs="宋体"/>
          <w:color w:val="000000"/>
          <w:sz w:val="22"/>
          <w:szCs w:val="22"/>
        </w:rPr>
      </w:pPr>
      <w:r>
        <w:rPr>
          <w:rFonts w:hint="eastAsia" w:ascii="宋体" w:hAnsi="宋体" w:cs="宋体"/>
          <w:b/>
          <w:bCs/>
          <w:color w:val="000000"/>
          <w:sz w:val="22"/>
          <w:szCs w:val="22"/>
        </w:rPr>
        <w:t>合同协议书</w:t>
      </w:r>
    </w:p>
    <w:p>
      <w:pPr>
        <w:spacing w:line="36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 xml:space="preserve">安徽省第二人民医院（买方名称，以下简称“买方”）为获得安徽省第二人民医院专科医疗及科教功能区建设项目楼层配电箱采购项目（招标项目名称）合同设备和相关服务，已接受 </w:t>
      </w:r>
      <w:r>
        <w:rPr>
          <w:rFonts w:hint="eastAsia" w:ascii="宋体" w:hAnsi="宋体" w:cs="宋体"/>
          <w:color w:val="000000"/>
          <w:sz w:val="22"/>
          <w:szCs w:val="22"/>
          <w:u w:val="single"/>
        </w:rPr>
        <w:t xml:space="preserve">      </w:t>
      </w:r>
      <w:r>
        <w:rPr>
          <w:rFonts w:hint="eastAsia" w:ascii="宋体" w:hAnsi="宋体" w:cs="宋体"/>
          <w:color w:val="000000"/>
          <w:sz w:val="22"/>
          <w:szCs w:val="22"/>
        </w:rPr>
        <w:t>（卖方名称，以下简称“卖方”）为提供上述合同设备和相关服务所作的投标，买方和卖方共同达成如下协议：</w:t>
      </w:r>
    </w:p>
    <w:p>
      <w:pPr>
        <w:spacing w:line="36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1.本协议书与下列文件一起构成合同文件：</w:t>
      </w:r>
    </w:p>
    <w:p>
      <w:pPr>
        <w:spacing w:line="36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（1）中标通知书；</w:t>
      </w:r>
    </w:p>
    <w:p>
      <w:pPr>
        <w:spacing w:line="36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（2）投标函；</w:t>
      </w:r>
    </w:p>
    <w:p>
      <w:pPr>
        <w:spacing w:line="36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（3）商务和技术偏差表；</w:t>
      </w:r>
    </w:p>
    <w:p>
      <w:pPr>
        <w:spacing w:line="36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（4）专用合同条款；</w:t>
      </w:r>
    </w:p>
    <w:p>
      <w:pPr>
        <w:spacing w:line="36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（5）通用合同条款；</w:t>
      </w:r>
    </w:p>
    <w:p>
      <w:pPr>
        <w:spacing w:line="36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（6）供货要求；</w:t>
      </w:r>
    </w:p>
    <w:p>
      <w:pPr>
        <w:spacing w:line="36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（7）分项报价表；</w:t>
      </w:r>
    </w:p>
    <w:p>
      <w:pPr>
        <w:spacing w:line="36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（8）中标设备技术性能指标的详细描述；</w:t>
      </w:r>
    </w:p>
    <w:p>
      <w:pPr>
        <w:spacing w:line="36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（9）相关服务计划；</w:t>
      </w:r>
    </w:p>
    <w:p>
      <w:pPr>
        <w:spacing w:line="36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（10）其他合同文件。</w:t>
      </w:r>
    </w:p>
    <w:p>
      <w:pPr>
        <w:spacing w:line="36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2.上述合同文件互相补充和解释。如果合同文件之间存在矛盾或不一致之处，以上述文件的排列顺序在先者为准。</w:t>
      </w:r>
    </w:p>
    <w:p>
      <w:pPr>
        <w:spacing w:line="36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3. 签约合同价：人民币（大写）</w:t>
      </w:r>
      <w:r>
        <w:rPr>
          <w:rFonts w:hint="eastAsia" w:ascii="宋体" w:hAnsi="宋体" w:cs="宋体"/>
          <w:color w:val="000000"/>
          <w:sz w:val="22"/>
          <w:szCs w:val="22"/>
          <w:u w:val="single"/>
        </w:rPr>
        <w:t xml:space="preserve">                </w:t>
      </w:r>
      <w:r>
        <w:rPr>
          <w:rFonts w:hint="eastAsia" w:ascii="宋体" w:hAnsi="宋体" w:cs="宋体"/>
          <w:color w:val="000000"/>
          <w:sz w:val="22"/>
          <w:szCs w:val="22"/>
        </w:rPr>
        <w:t>（¥ ）。其中：设备合同价：</w:t>
      </w:r>
      <w:r>
        <w:rPr>
          <w:rFonts w:hint="eastAsia" w:ascii="宋体" w:hAnsi="宋体" w:cs="宋体"/>
          <w:color w:val="000000"/>
          <w:sz w:val="22"/>
          <w:szCs w:val="22"/>
          <w:u w:val="single"/>
        </w:rPr>
        <w:t xml:space="preserve">     </w:t>
      </w:r>
      <w:r>
        <w:rPr>
          <w:rFonts w:hint="eastAsia" w:ascii="宋体" w:hAnsi="宋体" w:cs="宋体"/>
          <w:color w:val="000000"/>
          <w:sz w:val="22"/>
          <w:szCs w:val="22"/>
        </w:rPr>
        <w:t>人民币（大写）</w:t>
      </w:r>
      <w:r>
        <w:rPr>
          <w:rFonts w:hint="eastAsia" w:ascii="宋体" w:hAnsi="宋体" w:cs="宋体"/>
          <w:color w:val="000000"/>
          <w:sz w:val="22"/>
          <w:szCs w:val="22"/>
          <w:u w:val="single"/>
        </w:rPr>
        <w:t xml:space="preserve">    </w:t>
      </w:r>
      <w:r>
        <w:rPr>
          <w:rFonts w:hint="eastAsia" w:ascii="宋体" w:hAnsi="宋体" w:cs="宋体"/>
          <w:color w:val="000000"/>
          <w:sz w:val="22"/>
          <w:szCs w:val="22"/>
        </w:rPr>
        <w:t>（¥ ）；安装合同价：人民币（大写）</w:t>
      </w:r>
      <w:r>
        <w:rPr>
          <w:rFonts w:hint="eastAsia" w:ascii="宋体" w:hAnsi="宋体" w:cs="宋体"/>
          <w:color w:val="000000"/>
          <w:sz w:val="22"/>
          <w:szCs w:val="22"/>
          <w:u w:val="single"/>
        </w:rPr>
        <w:t xml:space="preserve">           </w:t>
      </w:r>
      <w:r>
        <w:rPr>
          <w:rFonts w:hint="eastAsia" w:ascii="宋体" w:hAnsi="宋体" w:cs="宋体"/>
          <w:color w:val="000000"/>
          <w:sz w:val="22"/>
          <w:szCs w:val="22"/>
        </w:rPr>
        <w:t xml:space="preserve"> （¥ ）。</w:t>
      </w:r>
    </w:p>
    <w:p>
      <w:pPr>
        <w:spacing w:line="36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4.卖方承诺保证完全按照合同约定提供合同设备和相关服务并修补缺陷。</w:t>
      </w:r>
    </w:p>
    <w:p>
      <w:pPr>
        <w:spacing w:line="36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5.买方承诺保证按照合同约定的条件、时间和方式向卖方支付合同价款。</w:t>
      </w:r>
    </w:p>
    <w:p>
      <w:pPr>
        <w:spacing w:line="36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6.本合同协议书一式</w:t>
      </w:r>
      <w:r>
        <w:rPr>
          <w:rFonts w:hint="eastAsia" w:ascii="宋体" w:hAnsi="宋体" w:cs="宋体"/>
          <w:color w:val="000000"/>
          <w:sz w:val="22"/>
          <w:szCs w:val="22"/>
          <w:u w:val="single"/>
        </w:rPr>
        <w:t xml:space="preserve">     </w:t>
      </w:r>
      <w:r>
        <w:rPr>
          <w:rFonts w:hint="eastAsia" w:ascii="宋体" w:hAnsi="宋体" w:cs="宋体"/>
          <w:color w:val="000000"/>
          <w:sz w:val="22"/>
          <w:szCs w:val="22"/>
        </w:rPr>
        <w:t xml:space="preserve"> 份，合同双方各执 </w:t>
      </w:r>
      <w:r>
        <w:rPr>
          <w:rFonts w:hint="eastAsia" w:ascii="宋体" w:hAnsi="宋体" w:cs="宋体"/>
          <w:color w:val="000000"/>
          <w:sz w:val="22"/>
          <w:szCs w:val="22"/>
          <w:u w:val="single"/>
        </w:rPr>
        <w:t xml:space="preserve">      </w:t>
      </w:r>
      <w:r>
        <w:rPr>
          <w:rFonts w:hint="eastAsia" w:ascii="宋体" w:hAnsi="宋体" w:cs="宋体"/>
          <w:color w:val="000000"/>
          <w:sz w:val="22"/>
          <w:szCs w:val="22"/>
        </w:rPr>
        <w:t>份。</w:t>
      </w:r>
    </w:p>
    <w:p>
      <w:pPr>
        <w:spacing w:line="36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7.合同未尽事宜，双方另行签订补充协议，补充协议是合同的组成部分。</w:t>
      </w:r>
    </w:p>
    <w:p>
      <w:pPr>
        <w:spacing w:line="360" w:lineRule="auto"/>
        <w:ind w:firstLine="440" w:firstLineChars="200"/>
        <w:jc w:val="right"/>
        <w:rPr>
          <w:rFonts w:hint="eastAsia" w:ascii="宋体" w:hAnsi="宋体" w:cs="宋体"/>
          <w:color w:val="000000"/>
          <w:sz w:val="22"/>
          <w:szCs w:val="22"/>
        </w:rPr>
      </w:pPr>
      <w:r>
        <w:rPr>
          <w:rFonts w:hint="eastAsia" w:ascii="宋体" w:hAnsi="宋体" w:cs="宋体"/>
          <w:color w:val="000000"/>
          <w:sz w:val="22"/>
          <w:szCs w:val="22"/>
        </w:rPr>
        <w:t>买方：</w:t>
      </w:r>
      <w:r>
        <w:rPr>
          <w:rFonts w:hint="eastAsia" w:ascii="宋体" w:hAnsi="宋体" w:cs="宋体"/>
          <w:color w:val="000000"/>
          <w:sz w:val="22"/>
          <w:szCs w:val="22"/>
          <w:u w:val="single"/>
        </w:rPr>
        <w:t xml:space="preserve">      </w:t>
      </w:r>
      <w:r>
        <w:rPr>
          <w:rFonts w:hint="eastAsia" w:ascii="宋体" w:hAnsi="宋体" w:cs="宋体"/>
          <w:color w:val="000000"/>
          <w:sz w:val="22"/>
          <w:szCs w:val="22"/>
        </w:rPr>
        <w:t xml:space="preserve"> （盖单位章）</w:t>
      </w:r>
    </w:p>
    <w:p>
      <w:pPr>
        <w:spacing w:line="360" w:lineRule="auto"/>
        <w:ind w:firstLine="440" w:firstLineChars="200"/>
        <w:jc w:val="right"/>
        <w:rPr>
          <w:rFonts w:hint="eastAsia" w:ascii="宋体" w:hAnsi="宋体" w:cs="宋体"/>
          <w:color w:val="000000"/>
          <w:sz w:val="22"/>
          <w:szCs w:val="22"/>
        </w:rPr>
      </w:pPr>
      <w:r>
        <w:rPr>
          <w:rFonts w:hint="eastAsia" w:ascii="宋体" w:hAnsi="宋体" w:cs="宋体"/>
          <w:color w:val="000000"/>
          <w:sz w:val="22"/>
          <w:szCs w:val="22"/>
        </w:rPr>
        <w:t xml:space="preserve">法定代表人（单位负责人）或其委托代理人： </w:t>
      </w:r>
      <w:r>
        <w:rPr>
          <w:rFonts w:hint="eastAsia" w:ascii="宋体" w:hAnsi="宋体" w:cs="宋体"/>
          <w:color w:val="000000"/>
          <w:sz w:val="22"/>
          <w:szCs w:val="22"/>
          <w:u w:val="single"/>
        </w:rPr>
        <w:t xml:space="preserve">      </w:t>
      </w:r>
      <w:r>
        <w:rPr>
          <w:rFonts w:hint="eastAsia" w:ascii="宋体" w:hAnsi="宋体" w:cs="宋体"/>
          <w:color w:val="000000"/>
          <w:sz w:val="22"/>
          <w:szCs w:val="22"/>
        </w:rPr>
        <w:t>（签字）</w:t>
      </w:r>
    </w:p>
    <w:p>
      <w:pPr>
        <w:spacing w:line="360" w:lineRule="auto"/>
        <w:ind w:firstLine="1100" w:firstLineChars="500"/>
        <w:jc w:val="right"/>
        <w:rPr>
          <w:rFonts w:hint="eastAsia" w:ascii="宋体" w:hAnsi="宋体" w:cs="宋体"/>
          <w:color w:val="000000"/>
          <w:sz w:val="22"/>
          <w:szCs w:val="22"/>
        </w:rPr>
      </w:pPr>
      <w:r>
        <w:rPr>
          <w:rFonts w:hint="eastAsia" w:ascii="宋体" w:hAnsi="宋体" w:cs="宋体"/>
          <w:color w:val="000000"/>
          <w:sz w:val="22"/>
          <w:szCs w:val="22"/>
        </w:rPr>
        <w:t>20</w:t>
      </w:r>
      <w:r>
        <w:rPr>
          <w:rFonts w:hint="eastAsia" w:ascii="宋体" w:hAnsi="宋体" w:cs="宋体"/>
          <w:color w:val="000000"/>
          <w:sz w:val="22"/>
          <w:szCs w:val="22"/>
          <w:u w:val="single"/>
        </w:rPr>
        <w:t xml:space="preserve">   </w:t>
      </w:r>
      <w:r>
        <w:rPr>
          <w:rFonts w:hint="eastAsia" w:ascii="宋体" w:hAnsi="宋体" w:cs="宋体"/>
          <w:color w:val="000000"/>
          <w:sz w:val="22"/>
          <w:szCs w:val="22"/>
        </w:rPr>
        <w:t xml:space="preserve">年 </w:t>
      </w:r>
      <w:r>
        <w:rPr>
          <w:rFonts w:hint="eastAsia" w:ascii="宋体" w:hAnsi="宋体" w:cs="宋体"/>
          <w:color w:val="000000"/>
          <w:sz w:val="22"/>
          <w:szCs w:val="22"/>
          <w:u w:val="single"/>
        </w:rPr>
        <w:t xml:space="preserve">    </w:t>
      </w:r>
      <w:r>
        <w:rPr>
          <w:rFonts w:hint="eastAsia" w:ascii="宋体" w:hAnsi="宋体" w:cs="宋体"/>
          <w:color w:val="000000"/>
          <w:sz w:val="22"/>
          <w:szCs w:val="22"/>
        </w:rPr>
        <w:t>月     日</w:t>
      </w:r>
    </w:p>
    <w:p>
      <w:pPr>
        <w:spacing w:line="360" w:lineRule="auto"/>
        <w:ind w:firstLine="440" w:firstLineChars="200"/>
        <w:jc w:val="right"/>
        <w:rPr>
          <w:rFonts w:hint="eastAsia" w:ascii="宋体" w:hAnsi="宋体" w:cs="宋体"/>
          <w:color w:val="000000"/>
          <w:sz w:val="22"/>
          <w:szCs w:val="22"/>
        </w:rPr>
      </w:pPr>
      <w:r>
        <w:rPr>
          <w:rFonts w:hint="eastAsia" w:ascii="宋体" w:hAnsi="宋体" w:cs="宋体"/>
          <w:color w:val="000000"/>
          <w:sz w:val="22"/>
          <w:szCs w:val="22"/>
        </w:rPr>
        <w:t xml:space="preserve">卖方： </w:t>
      </w:r>
      <w:r>
        <w:rPr>
          <w:rFonts w:hint="eastAsia" w:ascii="宋体" w:hAnsi="宋体" w:cs="宋体"/>
          <w:color w:val="000000"/>
          <w:sz w:val="22"/>
          <w:szCs w:val="22"/>
          <w:u w:val="single"/>
        </w:rPr>
        <w:t xml:space="preserve">     </w:t>
      </w:r>
      <w:r>
        <w:rPr>
          <w:rFonts w:hint="eastAsia" w:ascii="宋体" w:hAnsi="宋体" w:cs="宋体"/>
          <w:color w:val="000000"/>
          <w:sz w:val="22"/>
          <w:szCs w:val="22"/>
        </w:rPr>
        <w:t>（盖单位章）</w:t>
      </w:r>
    </w:p>
    <w:p>
      <w:pPr>
        <w:spacing w:line="360" w:lineRule="auto"/>
        <w:ind w:firstLine="440" w:firstLineChars="200"/>
        <w:jc w:val="right"/>
        <w:rPr>
          <w:rFonts w:hint="eastAsia" w:ascii="宋体" w:hAnsi="宋体" w:cs="宋体"/>
          <w:color w:val="000000"/>
          <w:sz w:val="22"/>
          <w:szCs w:val="22"/>
        </w:rPr>
      </w:pPr>
      <w:r>
        <w:rPr>
          <w:rFonts w:hint="eastAsia" w:ascii="宋体" w:hAnsi="宋体" w:cs="宋体"/>
          <w:color w:val="000000"/>
          <w:sz w:val="22"/>
          <w:szCs w:val="22"/>
        </w:rPr>
        <w:t xml:space="preserve">法定代表人（单位负责人）或其委托代理人： </w:t>
      </w:r>
      <w:r>
        <w:rPr>
          <w:rFonts w:hint="eastAsia" w:ascii="宋体" w:hAnsi="宋体" w:cs="宋体"/>
          <w:color w:val="000000"/>
          <w:sz w:val="22"/>
          <w:szCs w:val="22"/>
          <w:u w:val="single"/>
        </w:rPr>
        <w:t xml:space="preserve">      </w:t>
      </w:r>
      <w:r>
        <w:rPr>
          <w:rFonts w:hint="eastAsia" w:ascii="宋体" w:hAnsi="宋体" w:cs="宋体"/>
          <w:color w:val="000000"/>
          <w:sz w:val="22"/>
          <w:szCs w:val="22"/>
        </w:rPr>
        <w:t>（签字）</w:t>
      </w:r>
    </w:p>
    <w:p>
      <w:pPr>
        <w:spacing w:line="360" w:lineRule="auto"/>
        <w:ind w:firstLine="440" w:firstLineChars="200"/>
        <w:jc w:val="right"/>
        <w:rPr>
          <w:rFonts w:hint="eastAsia" w:ascii="宋体" w:hAnsi="宋体" w:cs="宋体"/>
          <w:color w:val="000000"/>
          <w:sz w:val="22"/>
          <w:szCs w:val="22"/>
        </w:rPr>
      </w:pPr>
      <w:r>
        <w:rPr>
          <w:rFonts w:hint="eastAsia" w:ascii="宋体" w:hAnsi="宋体" w:cs="宋体"/>
          <w:color w:val="000000"/>
          <w:sz w:val="22"/>
          <w:szCs w:val="22"/>
        </w:rPr>
        <w:t>20</w:t>
      </w:r>
      <w:r>
        <w:rPr>
          <w:rFonts w:hint="eastAsia" w:ascii="宋体" w:hAnsi="宋体" w:cs="宋体"/>
          <w:color w:val="000000"/>
          <w:sz w:val="22"/>
          <w:szCs w:val="22"/>
          <w:u w:val="single"/>
        </w:rPr>
        <w:t xml:space="preserve">   </w:t>
      </w:r>
      <w:r>
        <w:rPr>
          <w:rFonts w:hint="eastAsia" w:ascii="宋体" w:hAnsi="宋体" w:cs="宋体"/>
          <w:color w:val="000000"/>
          <w:sz w:val="22"/>
          <w:szCs w:val="22"/>
        </w:rPr>
        <w:t>年</w:t>
      </w:r>
      <w:r>
        <w:rPr>
          <w:rFonts w:hint="eastAsia" w:ascii="宋体" w:hAnsi="宋体" w:cs="宋体"/>
          <w:color w:val="000000"/>
          <w:sz w:val="22"/>
          <w:szCs w:val="22"/>
          <w:u w:val="single"/>
        </w:rPr>
        <w:t xml:space="preserve">  </w:t>
      </w:r>
      <w:r>
        <w:rPr>
          <w:rFonts w:hint="eastAsia" w:ascii="宋体" w:hAnsi="宋体" w:cs="宋体"/>
          <w:color w:val="000000"/>
          <w:sz w:val="22"/>
          <w:szCs w:val="22"/>
        </w:rPr>
        <w:t xml:space="preserve"> 月 </w:t>
      </w:r>
      <w:r>
        <w:rPr>
          <w:rFonts w:hint="eastAsia" w:ascii="宋体" w:hAnsi="宋体" w:cs="宋体"/>
          <w:color w:val="000000"/>
          <w:sz w:val="22"/>
          <w:szCs w:val="22"/>
          <w:u w:val="single"/>
        </w:rPr>
        <w:t xml:space="preserve">  </w:t>
      </w:r>
      <w:r>
        <w:rPr>
          <w:rFonts w:hint="eastAsia" w:ascii="宋体" w:hAnsi="宋体" w:cs="宋体"/>
          <w:color w:val="000000"/>
          <w:sz w:val="22"/>
          <w:szCs w:val="22"/>
        </w:rPr>
        <w:t>日</w:t>
      </w:r>
    </w:p>
    <w:p>
      <w:pPr>
        <w:spacing w:line="360" w:lineRule="auto"/>
        <w:ind w:firstLine="440" w:firstLineChars="200"/>
        <w:jc w:val="right"/>
        <w:rPr>
          <w:rFonts w:hint="eastAsia" w:ascii="宋体" w:hAnsi="宋体" w:cs="宋体"/>
          <w:color w:val="000000"/>
          <w:sz w:val="22"/>
          <w:szCs w:val="22"/>
        </w:rPr>
        <w:sectPr>
          <w:footnotePr>
            <w:numFmt w:val="decimalEnclosedCircleChinese"/>
            <w:numRestart w:val="eachPage"/>
          </w:footnotePr>
          <w:pgSz w:w="11907" w:h="16840"/>
          <w:pgMar w:top="1440" w:right="1080" w:bottom="1440" w:left="1080" w:header="799" w:footer="907" w:gutter="0"/>
          <w:cols w:space="720" w:num="1"/>
          <w:docGrid w:linePitch="271" w:charSpace="0"/>
        </w:sectPr>
      </w:pPr>
    </w:p>
    <w:p>
      <w:pPr>
        <w:keepNext/>
        <w:keepLines/>
        <w:spacing w:line="360" w:lineRule="auto"/>
        <w:jc w:val="center"/>
        <w:outlineLvl w:val="0"/>
        <w:rPr>
          <w:rFonts w:hint="eastAsia" w:eastAsia="黑体"/>
          <w:bCs/>
          <w:kern w:val="44"/>
          <w:sz w:val="32"/>
          <w:szCs w:val="44"/>
        </w:rPr>
      </w:pPr>
      <w:bookmarkStart w:id="422" w:name="_Toc26781111"/>
      <w:r>
        <w:rPr>
          <w:rFonts w:hint="eastAsia" w:eastAsia="黑体"/>
          <w:bCs/>
          <w:kern w:val="44"/>
          <w:sz w:val="32"/>
          <w:szCs w:val="44"/>
        </w:rPr>
        <w:t>第五章  供货要求</w:t>
      </w:r>
      <w:bookmarkEnd w:id="422"/>
    </w:p>
    <w:p>
      <w:pPr>
        <w:pStyle w:val="2"/>
        <w:spacing w:line="480" w:lineRule="exact"/>
        <w:rPr>
          <w:rFonts w:hint="eastAsia" w:ascii="宋体" w:hAnsi="宋体" w:cs="宋体"/>
          <w:bCs w:val="0"/>
          <w:sz w:val="22"/>
          <w:szCs w:val="22"/>
        </w:rPr>
      </w:pPr>
      <w:r>
        <w:rPr>
          <w:rFonts w:hint="eastAsia" w:ascii="宋体" w:hAnsi="宋体" w:cs="宋体"/>
          <w:bCs w:val="0"/>
          <w:sz w:val="22"/>
          <w:szCs w:val="22"/>
        </w:rPr>
        <w:t>一、安徽省第二人民医院简介</w:t>
      </w:r>
    </w:p>
    <w:p>
      <w:pPr>
        <w:pStyle w:val="2"/>
        <w:spacing w:line="480" w:lineRule="exact"/>
        <w:ind w:firstLine="440" w:firstLineChars="200"/>
        <w:jc w:val="center"/>
        <w:rPr>
          <w:rFonts w:hint="eastAsia" w:ascii="宋体" w:hAnsi="宋体" w:cs="宋体"/>
          <w:b w:val="0"/>
          <w:sz w:val="22"/>
          <w:szCs w:val="22"/>
        </w:rPr>
      </w:pPr>
      <w:r>
        <w:rPr>
          <w:rFonts w:hint="eastAsia" w:ascii="宋体" w:hAnsi="宋体" w:cs="宋体"/>
          <w:b w:val="0"/>
          <w:sz w:val="22"/>
          <w:szCs w:val="22"/>
        </w:rPr>
        <w:t>安徽省第二人民医院坐落于省会合肥市，是安徽省卫健委直属的三级甲等综合性医院。挂设安徽医学高等专科学校附属医院、安徽省职业病防治院、安徽省眼科医院（安徽中古友谊眼科医院）。占地面积206亩，开放床位2000余张，设有54个临床科室，27个医技科室。全</w:t>
      </w:r>
    </w:p>
    <w:p>
      <w:pPr>
        <w:pStyle w:val="2"/>
        <w:spacing w:line="480" w:lineRule="exact"/>
        <w:rPr>
          <w:rFonts w:hint="eastAsia" w:ascii="宋体" w:hAnsi="宋体" w:cs="宋体"/>
          <w:b w:val="0"/>
          <w:sz w:val="22"/>
          <w:szCs w:val="22"/>
        </w:rPr>
      </w:pPr>
      <w:r>
        <w:rPr>
          <w:rFonts w:hint="eastAsia" w:ascii="宋体" w:hAnsi="宋体" w:cs="宋体"/>
          <w:b w:val="0"/>
          <w:sz w:val="22"/>
          <w:szCs w:val="22"/>
        </w:rPr>
        <w:t>院在职员工2100余人，高中级职称800余人，博士、硕士学历600余人。</w:t>
      </w:r>
    </w:p>
    <w:p>
      <w:pPr>
        <w:pStyle w:val="2"/>
        <w:spacing w:line="480" w:lineRule="exact"/>
        <w:ind w:firstLine="440" w:firstLineChars="200"/>
        <w:jc w:val="center"/>
        <w:rPr>
          <w:rFonts w:hint="eastAsia" w:ascii="宋体" w:hAnsi="宋体" w:cs="宋体"/>
          <w:b w:val="0"/>
          <w:sz w:val="22"/>
          <w:szCs w:val="22"/>
        </w:rPr>
      </w:pPr>
      <w:r>
        <w:rPr>
          <w:rFonts w:hint="eastAsia" w:ascii="宋体" w:hAnsi="宋体" w:cs="宋体"/>
          <w:b w:val="0"/>
          <w:sz w:val="22"/>
          <w:szCs w:val="22"/>
        </w:rPr>
        <w:t>医院目前拥有10个省级医疗卫生重点专科，是安徽省危重孕产妇救治中心、安徽省危重新生儿救治中心、安徽省职业健康检查质量控制中心、安徽省核辐射紧急医学救援基地、安徽省全科医学师资培训基地、国家医师资格实践技能考试（公共卫生类）基地、国家级住院医师规范化培训基地。拥有高能直线加速器、3.0T核磁共振、双源256排螺旋CT、DSA、750全激光系统、飞秒激光、四维彩超等先进医疗设备。是全国“五一劳动奖状”获奖单位、全国</w:t>
      </w:r>
    </w:p>
    <w:p>
      <w:pPr>
        <w:pStyle w:val="2"/>
        <w:spacing w:line="480" w:lineRule="exact"/>
        <w:rPr>
          <w:rFonts w:hint="eastAsia" w:ascii="宋体" w:hAnsi="宋体" w:cs="宋体"/>
          <w:b w:val="0"/>
          <w:sz w:val="22"/>
          <w:szCs w:val="22"/>
        </w:rPr>
      </w:pPr>
      <w:r>
        <w:rPr>
          <w:rFonts w:hint="eastAsia" w:ascii="宋体" w:hAnsi="宋体" w:cs="宋体"/>
          <w:b w:val="0"/>
          <w:sz w:val="22"/>
          <w:szCs w:val="22"/>
        </w:rPr>
        <w:t>医药卫生系统先进集体、全国百姓放心示范医院、安徽省诚信医院。</w:t>
      </w:r>
    </w:p>
    <w:p>
      <w:pPr>
        <w:pStyle w:val="2"/>
        <w:spacing w:line="480" w:lineRule="exact"/>
        <w:ind w:firstLine="440" w:firstLineChars="200"/>
        <w:jc w:val="center"/>
        <w:rPr>
          <w:rFonts w:hint="eastAsia" w:ascii="宋体" w:hAnsi="宋体" w:cs="宋体"/>
          <w:b w:val="0"/>
          <w:sz w:val="22"/>
          <w:szCs w:val="22"/>
        </w:rPr>
      </w:pPr>
      <w:r>
        <w:rPr>
          <w:rFonts w:hint="eastAsia" w:ascii="宋体" w:hAnsi="宋体" w:cs="宋体"/>
          <w:b w:val="0"/>
          <w:sz w:val="22"/>
          <w:szCs w:val="22"/>
        </w:rPr>
        <w:t>安徽省职业病防治院主要承担职业病诊治、职业病监测、放射卫生监测、职业健康监护、突发事件卫生应急等职责。拥有超高效液相色谱-质谱联用仪、气相色谱-质谱联用仪、全自动玻片扫描仪、气相色谱仪、高效液相色谱仪、离子色谱仪、原子吸收仪、全自动固相萃取系统和全自动热脱</w:t>
      </w:r>
      <w:r>
        <w:rPr>
          <w:rFonts w:hint="eastAsia" w:ascii="宋体" w:hAnsi="宋体" w:cs="宋体"/>
          <w:b w:val="0"/>
          <w:sz w:val="22"/>
          <w:szCs w:val="22"/>
          <w:lang w:eastAsia="zh-CN"/>
        </w:rPr>
        <w:t>附近</w:t>
      </w:r>
      <w:r>
        <w:rPr>
          <w:rFonts w:hint="eastAsia" w:ascii="宋体" w:hAnsi="宋体" w:cs="宋体"/>
          <w:b w:val="0"/>
          <w:sz w:val="22"/>
          <w:szCs w:val="22"/>
        </w:rPr>
        <w:t>样系统等先进分析仪器设备。具备国家“检验检测机构资质认定证书”“计量认证证书”“放射卫生技术服务机构资质证书（甲级）”“职业卫生技术服务资质认定（乙级）”“职业病诊断资质（全因素）”“职业健康检查资质（全因素）”，可开展</w:t>
      </w:r>
      <w:r>
        <w:rPr>
          <w:rFonts w:hint="eastAsia" w:ascii="宋体" w:hAnsi="宋体" w:cs="宋体"/>
          <w:b w:val="0"/>
          <w:sz w:val="22"/>
          <w:szCs w:val="22"/>
          <w:lang w:eastAsia="zh-CN"/>
        </w:rPr>
        <w:t>职业卫生监测</w:t>
      </w:r>
      <w:r>
        <w:rPr>
          <w:rFonts w:hint="eastAsia" w:ascii="宋体" w:hAnsi="宋体" w:cs="宋体"/>
          <w:b w:val="0"/>
          <w:sz w:val="22"/>
          <w:szCs w:val="22"/>
        </w:rPr>
        <w:t>评价、放射卫生监测评价、放射卫生个人剂量监测、职业健康检查（全因素）、职业病诊断（全因素）等项目，是我省职业病防治专业机构和权威机构，现为安徽省核辐射紧急医学救援</w:t>
      </w:r>
    </w:p>
    <w:p>
      <w:pPr>
        <w:pStyle w:val="2"/>
        <w:spacing w:line="480" w:lineRule="exact"/>
        <w:rPr>
          <w:rFonts w:hint="eastAsia" w:ascii="宋体" w:hAnsi="宋体" w:cs="宋体"/>
          <w:b w:val="0"/>
          <w:sz w:val="22"/>
          <w:szCs w:val="22"/>
        </w:rPr>
      </w:pPr>
      <w:r>
        <w:rPr>
          <w:rFonts w:hint="eastAsia" w:ascii="宋体" w:hAnsi="宋体" w:cs="宋体"/>
          <w:b w:val="0"/>
          <w:sz w:val="22"/>
          <w:szCs w:val="22"/>
        </w:rPr>
        <w:t>基地。</w:t>
      </w:r>
    </w:p>
    <w:p>
      <w:pPr>
        <w:pStyle w:val="2"/>
        <w:spacing w:line="480" w:lineRule="exact"/>
        <w:ind w:firstLine="440" w:firstLineChars="200"/>
        <w:jc w:val="center"/>
        <w:rPr>
          <w:rFonts w:hint="eastAsia" w:ascii="宋体" w:hAnsi="宋体" w:cs="宋体"/>
          <w:b w:val="0"/>
          <w:sz w:val="22"/>
          <w:szCs w:val="22"/>
        </w:rPr>
      </w:pPr>
      <w:r>
        <w:rPr>
          <w:rFonts w:hint="eastAsia" w:ascii="宋体" w:hAnsi="宋体" w:cs="宋体"/>
          <w:b w:val="0"/>
          <w:sz w:val="22"/>
          <w:szCs w:val="22"/>
        </w:rPr>
        <w:t>  安徽省眼科医院（安徽中古友谊眼科医院）是中国与古巴政府眼科合作项目建设的省级专科医院，设置层流净化的准分子激光手术间、视网膜</w:t>
      </w:r>
      <w:r>
        <w:rPr>
          <w:rFonts w:hint="eastAsia" w:ascii="宋体" w:hAnsi="宋体" w:cs="宋体"/>
          <w:b w:val="0"/>
          <w:sz w:val="22"/>
          <w:szCs w:val="22"/>
          <w:lang w:eastAsia="zh-CN"/>
        </w:rPr>
        <w:t>环切手术</w:t>
      </w:r>
      <w:r>
        <w:rPr>
          <w:rFonts w:hint="eastAsia" w:ascii="宋体" w:hAnsi="宋体" w:cs="宋体"/>
          <w:b w:val="0"/>
          <w:sz w:val="22"/>
          <w:szCs w:val="22"/>
        </w:rPr>
        <w:t>间、白内障超声乳化手术间、感染手术间、综合手术间等专科手术室6间。拥有750全激光系统、飞秒激光、多光谱眼底摄像机、血流OCT、眼前节OCT等先进设备。常规开展白内障、角膜病、小儿斜弱视、视神经、</w:t>
      </w:r>
    </w:p>
    <w:p>
      <w:pPr>
        <w:pStyle w:val="2"/>
        <w:spacing w:line="480" w:lineRule="exact"/>
        <w:rPr>
          <w:rFonts w:hint="eastAsia" w:ascii="宋体" w:hAnsi="宋体" w:cs="宋体"/>
          <w:b w:val="0"/>
          <w:sz w:val="22"/>
          <w:szCs w:val="22"/>
        </w:rPr>
      </w:pPr>
      <w:r>
        <w:rPr>
          <w:rFonts w:hint="eastAsia" w:ascii="宋体" w:hAnsi="宋体" w:cs="宋体"/>
          <w:b w:val="0"/>
          <w:sz w:val="22"/>
          <w:szCs w:val="22"/>
        </w:rPr>
        <w:t>视网膜及眼底病治疗、眼眶整形、近视眼准分子激光手术，眼科专科优势明显。</w:t>
      </w:r>
    </w:p>
    <w:p>
      <w:pPr>
        <w:spacing w:line="480" w:lineRule="exact"/>
        <w:rPr>
          <w:rFonts w:hint="eastAsia" w:ascii="宋体" w:hAnsi="宋体" w:cs="宋体"/>
          <w:b/>
          <w:sz w:val="22"/>
          <w:szCs w:val="22"/>
        </w:rPr>
      </w:pPr>
      <w:r>
        <w:rPr>
          <w:rFonts w:hint="eastAsia" w:ascii="宋体" w:hAnsi="宋体" w:cs="宋体"/>
          <w:b/>
          <w:sz w:val="22"/>
          <w:szCs w:val="22"/>
        </w:rPr>
        <w:t>二、设备需求一览表</w:t>
      </w:r>
    </w:p>
    <w:p>
      <w:pPr>
        <w:spacing w:line="480" w:lineRule="exact"/>
        <w:ind w:firstLine="440" w:firstLineChars="200"/>
        <w:rPr>
          <w:rFonts w:hint="eastAsia" w:ascii="宋体" w:hAnsi="宋体" w:cs="宋体"/>
          <w:bCs/>
          <w:sz w:val="22"/>
          <w:szCs w:val="22"/>
        </w:rPr>
      </w:pPr>
      <w:r>
        <w:rPr>
          <w:rFonts w:hint="eastAsia" w:ascii="宋体" w:hAnsi="宋体" w:cs="宋体"/>
          <w:bCs/>
          <w:sz w:val="22"/>
          <w:szCs w:val="22"/>
        </w:rPr>
        <w:t>本项目设备数量以招标文件附件《工程量清单》中数量为准。如《工程量清单》中要求投标时提供证书、检测报告等证明材料，投标文件中均无需提供。但作为招标人验收的标准，所</w:t>
      </w:r>
      <w:r>
        <w:rPr>
          <w:rFonts w:hint="eastAsia" w:ascii="宋体" w:hAnsi="宋体" w:cs="宋体"/>
          <w:bCs/>
          <w:sz w:val="22"/>
          <w:szCs w:val="22"/>
          <w:lang w:eastAsia="zh-CN"/>
        </w:rPr>
        <w:t>提供</w:t>
      </w:r>
      <w:r>
        <w:rPr>
          <w:rFonts w:hint="eastAsia" w:ascii="宋体" w:hAnsi="宋体" w:cs="宋体"/>
          <w:bCs/>
          <w:sz w:val="22"/>
          <w:szCs w:val="22"/>
        </w:rPr>
        <w:t>的产品须满足此标准，并保证设备的兼容性，确保项目整体性能的实现。否则招标人有权拒绝签订合同，并上报公共资源交易监督管理部门按有关规定处理。</w:t>
      </w:r>
    </w:p>
    <w:p>
      <w:pPr>
        <w:spacing w:line="480" w:lineRule="exact"/>
        <w:rPr>
          <w:rFonts w:hint="eastAsia" w:ascii="宋体" w:hAnsi="宋体" w:cs="宋体"/>
          <w:b/>
          <w:sz w:val="22"/>
          <w:szCs w:val="22"/>
        </w:rPr>
      </w:pPr>
      <w:r>
        <w:rPr>
          <w:rFonts w:hint="eastAsia" w:ascii="宋体" w:hAnsi="宋体" w:cs="宋体"/>
          <w:b/>
          <w:sz w:val="22"/>
          <w:szCs w:val="22"/>
        </w:rPr>
        <w:t>三、技术性能指标</w:t>
      </w:r>
    </w:p>
    <w:p>
      <w:pPr>
        <w:spacing w:line="480" w:lineRule="exact"/>
        <w:ind w:firstLine="440" w:firstLineChars="200"/>
        <w:rPr>
          <w:rFonts w:hint="eastAsia" w:ascii="宋体" w:hAnsi="宋体" w:cs="宋体"/>
          <w:bCs/>
          <w:sz w:val="22"/>
          <w:szCs w:val="22"/>
        </w:rPr>
      </w:pPr>
      <w:r>
        <w:rPr>
          <w:rFonts w:hint="eastAsia" w:ascii="宋体" w:hAnsi="宋体" w:cs="宋体"/>
          <w:bCs/>
          <w:sz w:val="22"/>
          <w:szCs w:val="22"/>
        </w:rPr>
        <w:t>（一）说明</w:t>
      </w:r>
    </w:p>
    <w:p>
      <w:pPr>
        <w:spacing w:line="480" w:lineRule="exact"/>
        <w:ind w:firstLine="440" w:firstLineChars="200"/>
        <w:rPr>
          <w:rFonts w:hint="eastAsia" w:ascii="宋体" w:hAnsi="宋体" w:cs="宋体"/>
          <w:bCs/>
          <w:sz w:val="22"/>
          <w:szCs w:val="22"/>
        </w:rPr>
      </w:pPr>
      <w:r>
        <w:rPr>
          <w:rFonts w:hint="eastAsia" w:ascii="宋体" w:hAnsi="宋体" w:cs="宋体"/>
          <w:bCs/>
          <w:sz w:val="22"/>
          <w:szCs w:val="22"/>
        </w:rPr>
        <w:t>1. 本供货要求提出的技术参数及要求为最低限度的技术要求，并未对一切技术细节做出规定，也未充分引述有关标准和规范的条文，投标人应保证提供符合或优于本技术参数及要求和有关标准、规范的优质产品。</w:t>
      </w:r>
    </w:p>
    <w:p>
      <w:pPr>
        <w:spacing w:line="480" w:lineRule="exact"/>
        <w:ind w:firstLine="440" w:firstLineChars="200"/>
        <w:rPr>
          <w:rFonts w:hint="eastAsia" w:ascii="宋体" w:hAnsi="宋体" w:cs="宋体"/>
          <w:bCs/>
          <w:sz w:val="22"/>
          <w:szCs w:val="22"/>
        </w:rPr>
      </w:pPr>
      <w:r>
        <w:rPr>
          <w:rFonts w:hint="eastAsia" w:ascii="宋体" w:hAnsi="宋体" w:cs="宋体"/>
          <w:bCs/>
          <w:sz w:val="22"/>
          <w:szCs w:val="22"/>
        </w:rPr>
        <w:t>2. 为鼓励不同品牌的充分竞争，如某设备的某技术参数或要求属于个别品牌专有，则该技术参数及要求不具有限制性，投标人可对该参数或要求的响应情况进行说明，且该说明须经评标委员会审核认可。</w:t>
      </w:r>
    </w:p>
    <w:p>
      <w:pPr>
        <w:spacing w:line="480" w:lineRule="exact"/>
        <w:ind w:firstLine="440" w:firstLineChars="200"/>
        <w:rPr>
          <w:rFonts w:hint="eastAsia" w:ascii="宋体" w:hAnsi="宋体" w:cs="宋体"/>
          <w:bCs/>
          <w:sz w:val="22"/>
          <w:szCs w:val="22"/>
        </w:rPr>
      </w:pPr>
      <w:r>
        <w:rPr>
          <w:rFonts w:hint="eastAsia" w:ascii="宋体" w:hAnsi="宋体" w:cs="宋体"/>
          <w:bCs/>
          <w:sz w:val="22"/>
          <w:szCs w:val="22"/>
        </w:rPr>
        <w:t>3. 投标人应自行踏勘本项目实施现场，核对设备安装现场的土建尺寸等可能影响后期安装的全部因素，确保所投设备满足现场实际安装要求；仔细勘察</w:t>
      </w:r>
      <w:r>
        <w:rPr>
          <w:rFonts w:hint="eastAsia" w:ascii="宋体" w:hAnsi="宋体" w:cs="宋体"/>
          <w:bCs/>
          <w:sz w:val="22"/>
          <w:szCs w:val="22"/>
          <w:lang w:eastAsia="zh-CN"/>
        </w:rPr>
        <w:t>，</w:t>
      </w:r>
      <w:r>
        <w:rPr>
          <w:rFonts w:hint="eastAsia" w:ascii="宋体" w:hAnsi="宋体" w:cs="宋体"/>
          <w:bCs/>
          <w:sz w:val="22"/>
          <w:szCs w:val="22"/>
        </w:rPr>
        <w:t>踏勘现场及周边环境</w:t>
      </w:r>
      <w:r>
        <w:rPr>
          <w:rFonts w:hint="eastAsia" w:ascii="宋体" w:hAnsi="宋体" w:cs="宋体"/>
          <w:bCs/>
          <w:sz w:val="22"/>
          <w:szCs w:val="22"/>
          <w:lang w:eastAsia="zh-CN"/>
        </w:rPr>
        <w:t>，</w:t>
      </w:r>
      <w:r>
        <w:rPr>
          <w:rFonts w:hint="eastAsia" w:ascii="宋体" w:hAnsi="宋体" w:cs="宋体"/>
          <w:bCs/>
          <w:sz w:val="22"/>
          <w:szCs w:val="22"/>
        </w:rPr>
        <w:t>充分了解工程情况</w:t>
      </w:r>
      <w:r>
        <w:rPr>
          <w:rFonts w:hint="eastAsia" w:ascii="宋体" w:hAnsi="宋体" w:cs="宋体"/>
          <w:bCs/>
          <w:sz w:val="22"/>
          <w:szCs w:val="22"/>
          <w:lang w:eastAsia="zh-CN"/>
        </w:rPr>
        <w:t>，</w:t>
      </w:r>
      <w:r>
        <w:rPr>
          <w:rFonts w:hint="eastAsia" w:ascii="宋体" w:hAnsi="宋体" w:cs="宋体"/>
          <w:bCs/>
          <w:sz w:val="22"/>
          <w:szCs w:val="22"/>
        </w:rPr>
        <w:t>并对踏勘结果负责，日后不得以“踏勘失误”为借口等任何理由提出变更（中标后承担由此产生的有关风险）。</w:t>
      </w:r>
    </w:p>
    <w:p>
      <w:pPr>
        <w:spacing w:line="480" w:lineRule="exact"/>
        <w:ind w:firstLine="440" w:firstLineChars="200"/>
        <w:rPr>
          <w:rFonts w:hint="eastAsia" w:ascii="宋体" w:hAnsi="宋体" w:cs="宋体"/>
          <w:bCs/>
          <w:sz w:val="22"/>
          <w:szCs w:val="22"/>
        </w:rPr>
      </w:pPr>
      <w:r>
        <w:rPr>
          <w:rFonts w:hint="eastAsia" w:ascii="宋体" w:hAnsi="宋体" w:cs="宋体"/>
          <w:bCs/>
          <w:sz w:val="22"/>
          <w:szCs w:val="22"/>
        </w:rPr>
        <w:t>4. 招标人保留在签订合同之前对本技术规格及要求进行补充和修改的权利，中标人应予以配合。</w:t>
      </w:r>
    </w:p>
    <w:p>
      <w:pPr>
        <w:spacing w:line="480" w:lineRule="exact"/>
        <w:ind w:firstLine="440" w:firstLineChars="200"/>
        <w:rPr>
          <w:rFonts w:hint="eastAsia" w:ascii="宋体" w:hAnsi="宋体" w:cs="宋体"/>
          <w:bCs/>
          <w:sz w:val="22"/>
          <w:szCs w:val="22"/>
        </w:rPr>
      </w:pPr>
      <w:r>
        <w:rPr>
          <w:rFonts w:hint="eastAsia" w:ascii="宋体" w:hAnsi="宋体" w:cs="宋体"/>
          <w:bCs/>
          <w:sz w:val="22"/>
          <w:szCs w:val="22"/>
        </w:rPr>
        <w:t>（二）总体要求</w:t>
      </w:r>
    </w:p>
    <w:p>
      <w:pPr>
        <w:spacing w:line="480" w:lineRule="exact"/>
        <w:ind w:firstLine="440" w:firstLineChars="200"/>
        <w:rPr>
          <w:rFonts w:hint="eastAsia" w:ascii="宋体" w:hAnsi="宋体" w:cs="宋体"/>
          <w:bCs/>
          <w:sz w:val="22"/>
          <w:szCs w:val="22"/>
        </w:rPr>
      </w:pPr>
      <w:r>
        <w:rPr>
          <w:rFonts w:hint="eastAsia" w:ascii="宋体" w:hAnsi="宋体" w:cs="宋体"/>
          <w:bCs/>
          <w:sz w:val="22"/>
          <w:szCs w:val="22"/>
        </w:rPr>
        <w:t>1.配电箱（柜）中的所有电器元件、仪表、零配件必须是近 6 个月内出厂的、全新的、未使用过的合格产品。所有产品技术标准应符合行业及国家最新标准要求。</w:t>
      </w:r>
    </w:p>
    <w:p>
      <w:pPr>
        <w:spacing w:line="480" w:lineRule="exact"/>
        <w:ind w:firstLine="440" w:firstLineChars="200"/>
        <w:rPr>
          <w:rFonts w:hint="eastAsia" w:ascii="宋体" w:hAnsi="宋体" w:cs="宋体"/>
          <w:bCs/>
          <w:sz w:val="22"/>
          <w:szCs w:val="22"/>
        </w:rPr>
      </w:pPr>
      <w:r>
        <w:rPr>
          <w:rFonts w:hint="eastAsia" w:ascii="宋体" w:hAnsi="宋体" w:cs="宋体"/>
          <w:bCs/>
          <w:sz w:val="22"/>
          <w:szCs w:val="22"/>
        </w:rPr>
        <w:t>2.配电箱（柜）的出厂试验应按标准认真完成，对完成的试验项目应有完整的试验报告（供货提供）。</w:t>
      </w:r>
    </w:p>
    <w:p>
      <w:pPr>
        <w:spacing w:line="480" w:lineRule="exact"/>
        <w:ind w:firstLine="440" w:firstLineChars="200"/>
        <w:rPr>
          <w:rFonts w:hint="eastAsia" w:ascii="宋体" w:hAnsi="宋体" w:cs="宋体"/>
          <w:bCs/>
          <w:sz w:val="22"/>
          <w:szCs w:val="22"/>
        </w:rPr>
      </w:pPr>
      <w:r>
        <w:rPr>
          <w:rFonts w:hint="eastAsia" w:ascii="宋体" w:hAnsi="宋体" w:cs="宋体"/>
          <w:bCs/>
          <w:sz w:val="22"/>
          <w:szCs w:val="22"/>
        </w:rPr>
        <w:t>3.投标人在投标文件中应详细列出拟提供的附件及专用工具名称、型号规格、数量、制造厂及产地（如果有）。投标人在投标文件中应详细说明产品的主要技术性能指标，技术特点。</w:t>
      </w:r>
    </w:p>
    <w:p>
      <w:pPr>
        <w:spacing w:line="480" w:lineRule="exact"/>
        <w:ind w:firstLine="440" w:firstLineChars="200"/>
        <w:rPr>
          <w:rFonts w:hint="eastAsia" w:ascii="宋体" w:hAnsi="宋体" w:cs="宋体"/>
          <w:bCs/>
          <w:sz w:val="22"/>
          <w:szCs w:val="22"/>
        </w:rPr>
      </w:pPr>
      <w:r>
        <w:rPr>
          <w:rFonts w:hint="eastAsia" w:ascii="宋体" w:hAnsi="宋体" w:cs="宋体"/>
          <w:bCs/>
          <w:sz w:val="22"/>
          <w:szCs w:val="22"/>
        </w:rPr>
        <w:t>4.铭牌应符合国家有关规定。产品交付时中标单位应按国家有关规定及标准提供全套技术资料。产品的制造安装、检验和验收执行的标准按 GB7251、JB/T9661，并实施执行国家颁布产品质量法规定执行。</w:t>
      </w:r>
    </w:p>
    <w:p>
      <w:pPr>
        <w:spacing w:line="480" w:lineRule="exact"/>
        <w:ind w:firstLine="440" w:firstLineChars="200"/>
        <w:rPr>
          <w:rFonts w:hint="eastAsia" w:ascii="宋体" w:hAnsi="宋体" w:cs="宋体"/>
          <w:bCs/>
          <w:sz w:val="22"/>
          <w:szCs w:val="22"/>
        </w:rPr>
      </w:pPr>
      <w:r>
        <w:rPr>
          <w:rFonts w:hint="eastAsia" w:ascii="宋体" w:hAnsi="宋体" w:cs="宋体"/>
          <w:bCs/>
          <w:sz w:val="22"/>
          <w:szCs w:val="22"/>
        </w:rPr>
        <w:t>5.配电箱（柜）的内部配置详见各单体建筑的电气图纸。</w:t>
      </w:r>
    </w:p>
    <w:p>
      <w:pPr>
        <w:spacing w:line="480" w:lineRule="exact"/>
        <w:ind w:firstLine="440" w:firstLineChars="200"/>
        <w:rPr>
          <w:rFonts w:hint="eastAsia" w:ascii="宋体" w:hAnsi="宋体" w:cs="宋体"/>
          <w:bCs/>
          <w:sz w:val="22"/>
          <w:szCs w:val="22"/>
        </w:rPr>
      </w:pPr>
      <w:r>
        <w:rPr>
          <w:rFonts w:hint="eastAsia" w:ascii="宋体" w:hAnsi="宋体" w:cs="宋体"/>
          <w:bCs/>
          <w:sz w:val="22"/>
          <w:szCs w:val="22"/>
        </w:rPr>
        <w:t>6.涉及计量表计箱制作参见当地供电公司及国家和电力行业技术标准制造。</w:t>
      </w:r>
    </w:p>
    <w:p>
      <w:pPr>
        <w:spacing w:line="480" w:lineRule="exact"/>
        <w:ind w:firstLine="440" w:firstLineChars="200"/>
        <w:rPr>
          <w:rFonts w:hint="eastAsia" w:ascii="宋体" w:hAnsi="宋体" w:cs="宋体"/>
          <w:bCs/>
          <w:sz w:val="22"/>
          <w:szCs w:val="22"/>
        </w:rPr>
      </w:pPr>
      <w:r>
        <w:rPr>
          <w:rFonts w:hint="eastAsia" w:ascii="宋体" w:hAnsi="宋体" w:cs="宋体"/>
          <w:bCs/>
          <w:sz w:val="22"/>
          <w:szCs w:val="22"/>
        </w:rPr>
        <w:t>7.箱、柜内连接铜母线做镀锡处理，热缩绝缘套管保护。</w:t>
      </w:r>
    </w:p>
    <w:p>
      <w:pPr>
        <w:spacing w:line="480" w:lineRule="exact"/>
        <w:ind w:firstLine="440" w:firstLineChars="200"/>
        <w:rPr>
          <w:rFonts w:hint="eastAsia" w:ascii="宋体" w:hAnsi="宋体" w:cs="宋体"/>
          <w:bCs/>
          <w:sz w:val="22"/>
          <w:szCs w:val="22"/>
        </w:rPr>
      </w:pPr>
      <w:r>
        <w:rPr>
          <w:rFonts w:hint="eastAsia" w:ascii="宋体" w:hAnsi="宋体" w:cs="宋体"/>
          <w:bCs/>
          <w:sz w:val="22"/>
          <w:szCs w:val="22"/>
        </w:rPr>
        <w:t>8.箱、柜内</w:t>
      </w:r>
      <w:r>
        <w:rPr>
          <w:rFonts w:hint="eastAsia" w:ascii="宋体" w:hAnsi="宋体" w:cs="宋体"/>
          <w:bCs/>
          <w:sz w:val="22"/>
          <w:szCs w:val="22"/>
          <w:lang w:eastAsia="zh-CN"/>
        </w:rPr>
        <w:t>一二次</w:t>
      </w:r>
      <w:r>
        <w:rPr>
          <w:rFonts w:hint="eastAsia" w:ascii="宋体" w:hAnsi="宋体" w:cs="宋体"/>
          <w:bCs/>
          <w:sz w:val="22"/>
          <w:szCs w:val="22"/>
        </w:rPr>
        <w:t>元器件、断路器、保护装置、各断路器分断装置、空气断路器额定值、整定值及脱扣器附件等技术参数依据设计图纸电气图。</w:t>
      </w:r>
    </w:p>
    <w:p>
      <w:pPr>
        <w:spacing w:line="480" w:lineRule="exact"/>
        <w:ind w:firstLine="440" w:firstLineChars="200"/>
        <w:rPr>
          <w:rFonts w:hint="eastAsia" w:ascii="宋体" w:hAnsi="宋体" w:cs="宋体"/>
          <w:bCs/>
          <w:sz w:val="22"/>
          <w:szCs w:val="22"/>
        </w:rPr>
      </w:pPr>
      <w:r>
        <w:rPr>
          <w:rFonts w:hint="eastAsia" w:ascii="宋体" w:hAnsi="宋体" w:cs="宋体"/>
          <w:bCs/>
          <w:sz w:val="22"/>
          <w:szCs w:val="22"/>
        </w:rPr>
        <w:t>9.使用环境及相关技术要求</w:t>
      </w:r>
    </w:p>
    <w:p>
      <w:pPr>
        <w:spacing w:line="480" w:lineRule="exact"/>
        <w:ind w:firstLine="440" w:firstLineChars="200"/>
        <w:rPr>
          <w:rFonts w:hint="eastAsia" w:ascii="宋体" w:hAnsi="宋体" w:cs="宋体"/>
          <w:bCs/>
          <w:sz w:val="22"/>
          <w:szCs w:val="22"/>
          <w:highlight w:val="yellow"/>
        </w:rPr>
      </w:pPr>
      <w:r>
        <w:rPr>
          <w:rFonts w:hint="eastAsia" w:ascii="宋体" w:hAnsi="宋体" w:cs="宋体"/>
          <w:bCs/>
          <w:sz w:val="22"/>
          <w:szCs w:val="22"/>
          <w:highlight w:val="yellow"/>
        </w:rPr>
        <w:t>安装位置： 户内</w:t>
      </w:r>
    </w:p>
    <w:p>
      <w:pPr>
        <w:spacing w:line="480" w:lineRule="exact"/>
        <w:ind w:firstLine="440" w:firstLineChars="200"/>
        <w:rPr>
          <w:rFonts w:hint="eastAsia" w:ascii="宋体" w:hAnsi="宋体" w:cs="宋体"/>
          <w:bCs/>
          <w:sz w:val="22"/>
          <w:szCs w:val="22"/>
          <w:highlight w:val="yellow"/>
        </w:rPr>
      </w:pPr>
      <w:r>
        <w:rPr>
          <w:rFonts w:hint="eastAsia" w:ascii="宋体" w:hAnsi="宋体" w:cs="宋体"/>
          <w:bCs/>
          <w:sz w:val="22"/>
          <w:szCs w:val="22"/>
          <w:highlight w:val="yellow"/>
        </w:rPr>
        <w:t>环境温度： -5 ℃~+40℃</w:t>
      </w:r>
    </w:p>
    <w:p>
      <w:pPr>
        <w:spacing w:line="480" w:lineRule="exact"/>
        <w:ind w:firstLine="440" w:firstLineChars="200"/>
        <w:rPr>
          <w:rFonts w:hint="eastAsia" w:ascii="宋体" w:hAnsi="宋体" w:cs="宋体"/>
          <w:bCs/>
          <w:sz w:val="22"/>
          <w:szCs w:val="22"/>
          <w:highlight w:val="yellow"/>
        </w:rPr>
      </w:pPr>
      <w:r>
        <w:rPr>
          <w:rFonts w:hint="eastAsia" w:ascii="宋体" w:hAnsi="宋体" w:cs="宋体"/>
          <w:bCs/>
          <w:sz w:val="22"/>
          <w:szCs w:val="22"/>
          <w:highlight w:val="yellow"/>
        </w:rPr>
        <w:t>相对湿度： 日平均≤95%</w:t>
      </w:r>
    </w:p>
    <w:p>
      <w:pPr>
        <w:spacing w:line="480" w:lineRule="exact"/>
        <w:ind w:firstLine="440" w:firstLineChars="200"/>
        <w:rPr>
          <w:rFonts w:hint="eastAsia" w:ascii="宋体" w:hAnsi="宋体" w:cs="宋体"/>
          <w:bCs/>
          <w:sz w:val="22"/>
          <w:szCs w:val="22"/>
          <w:highlight w:val="yellow"/>
        </w:rPr>
      </w:pPr>
      <w:r>
        <w:rPr>
          <w:rFonts w:hint="eastAsia" w:ascii="宋体" w:hAnsi="宋体" w:cs="宋体"/>
          <w:bCs/>
          <w:sz w:val="22"/>
          <w:szCs w:val="22"/>
          <w:highlight w:val="yellow"/>
        </w:rPr>
        <w:t>月平均≤90%</w:t>
      </w:r>
    </w:p>
    <w:p>
      <w:pPr>
        <w:spacing w:line="480" w:lineRule="exact"/>
        <w:ind w:firstLine="440" w:firstLineChars="200"/>
        <w:rPr>
          <w:rFonts w:hint="eastAsia" w:ascii="宋体" w:hAnsi="宋体" w:cs="宋体"/>
          <w:bCs/>
          <w:sz w:val="22"/>
          <w:szCs w:val="22"/>
          <w:highlight w:val="yellow"/>
        </w:rPr>
      </w:pPr>
      <w:r>
        <w:rPr>
          <w:rFonts w:hint="eastAsia" w:ascii="宋体" w:hAnsi="宋体" w:cs="宋体"/>
          <w:bCs/>
          <w:sz w:val="22"/>
          <w:szCs w:val="22"/>
          <w:highlight w:val="yellow"/>
        </w:rPr>
        <w:t>最大日温差： 25℃</w:t>
      </w:r>
    </w:p>
    <w:p>
      <w:pPr>
        <w:spacing w:line="480" w:lineRule="exact"/>
        <w:ind w:firstLine="440" w:firstLineChars="200"/>
        <w:rPr>
          <w:rFonts w:hint="eastAsia" w:ascii="宋体" w:hAnsi="宋体" w:cs="宋体"/>
          <w:bCs/>
          <w:sz w:val="22"/>
          <w:szCs w:val="22"/>
          <w:highlight w:val="yellow"/>
        </w:rPr>
      </w:pPr>
      <w:r>
        <w:rPr>
          <w:rFonts w:hint="eastAsia" w:ascii="宋体" w:hAnsi="宋体" w:cs="宋体"/>
          <w:bCs/>
          <w:sz w:val="22"/>
          <w:szCs w:val="22"/>
          <w:highlight w:val="yellow"/>
        </w:rPr>
        <w:t>地震条件： 水平分量 0.3g</w:t>
      </w:r>
    </w:p>
    <w:p>
      <w:pPr>
        <w:spacing w:line="480" w:lineRule="exact"/>
        <w:ind w:firstLine="440" w:firstLineChars="200"/>
        <w:rPr>
          <w:rFonts w:hint="eastAsia" w:ascii="宋体" w:hAnsi="宋体" w:cs="宋体"/>
          <w:bCs/>
          <w:sz w:val="22"/>
          <w:szCs w:val="22"/>
          <w:highlight w:val="yellow"/>
        </w:rPr>
      </w:pPr>
      <w:r>
        <w:rPr>
          <w:rFonts w:hint="eastAsia" w:ascii="宋体" w:hAnsi="宋体" w:cs="宋体"/>
          <w:bCs/>
          <w:sz w:val="22"/>
          <w:szCs w:val="22"/>
          <w:highlight w:val="yellow"/>
        </w:rPr>
        <w:t>垂直分量 0.15g</w:t>
      </w:r>
    </w:p>
    <w:p>
      <w:pPr>
        <w:spacing w:line="480" w:lineRule="exact"/>
        <w:ind w:firstLine="440" w:firstLineChars="200"/>
        <w:rPr>
          <w:rFonts w:hint="eastAsia" w:ascii="宋体" w:hAnsi="宋体" w:cs="宋体"/>
          <w:bCs/>
          <w:sz w:val="22"/>
          <w:szCs w:val="22"/>
          <w:highlight w:val="yellow"/>
        </w:rPr>
      </w:pPr>
      <w:r>
        <w:rPr>
          <w:rFonts w:hint="eastAsia" w:ascii="宋体" w:hAnsi="宋体" w:cs="宋体"/>
          <w:bCs/>
          <w:sz w:val="22"/>
          <w:szCs w:val="22"/>
          <w:highlight w:val="yellow"/>
          <w:lang w:eastAsia="zh-CN"/>
        </w:rPr>
        <w:t>海拔</w:t>
      </w:r>
      <w:r>
        <w:rPr>
          <w:rFonts w:hint="eastAsia" w:ascii="宋体" w:hAnsi="宋体" w:cs="宋体"/>
          <w:bCs/>
          <w:sz w:val="22"/>
          <w:szCs w:val="22"/>
          <w:highlight w:val="yellow"/>
        </w:rPr>
        <w:t>： ≯1000m</w:t>
      </w:r>
    </w:p>
    <w:p>
      <w:pPr>
        <w:spacing w:line="480" w:lineRule="exact"/>
        <w:ind w:firstLine="440" w:firstLineChars="200"/>
        <w:rPr>
          <w:rFonts w:hint="eastAsia" w:ascii="宋体" w:hAnsi="宋体" w:cs="宋体"/>
          <w:bCs/>
          <w:sz w:val="22"/>
          <w:szCs w:val="22"/>
          <w:highlight w:val="yellow"/>
        </w:rPr>
      </w:pPr>
      <w:r>
        <w:rPr>
          <w:rFonts w:hint="eastAsia" w:ascii="宋体" w:hAnsi="宋体" w:cs="宋体"/>
          <w:bCs/>
          <w:sz w:val="22"/>
          <w:szCs w:val="22"/>
          <w:highlight w:val="yellow"/>
        </w:rPr>
        <w:t>无火灾、爆炸危险、严重污秽、化学腐蚀及剧烈</w:t>
      </w:r>
      <w:r>
        <w:rPr>
          <w:rFonts w:hint="eastAsia" w:ascii="宋体" w:hAnsi="宋体" w:cs="宋体"/>
          <w:bCs/>
          <w:sz w:val="22"/>
          <w:szCs w:val="22"/>
          <w:highlight w:val="yellow"/>
          <w:lang w:eastAsia="zh-CN"/>
        </w:rPr>
        <w:t>振动</w:t>
      </w:r>
      <w:r>
        <w:rPr>
          <w:rFonts w:hint="eastAsia" w:ascii="宋体" w:hAnsi="宋体" w:cs="宋体"/>
          <w:bCs/>
          <w:sz w:val="22"/>
          <w:szCs w:val="22"/>
          <w:highlight w:val="yellow"/>
        </w:rPr>
        <w:t>的场所。</w:t>
      </w:r>
    </w:p>
    <w:p>
      <w:pPr>
        <w:spacing w:line="480" w:lineRule="exact"/>
        <w:ind w:firstLine="440" w:firstLineChars="200"/>
        <w:rPr>
          <w:rFonts w:hint="eastAsia" w:ascii="宋体" w:hAnsi="宋体" w:cs="宋体"/>
          <w:bCs/>
          <w:sz w:val="22"/>
          <w:szCs w:val="22"/>
          <w:highlight w:val="yellow"/>
        </w:rPr>
      </w:pPr>
      <w:r>
        <w:rPr>
          <w:rFonts w:hint="eastAsia" w:ascii="宋体" w:hAnsi="宋体" w:cs="宋体"/>
          <w:bCs/>
          <w:sz w:val="22"/>
          <w:szCs w:val="22"/>
          <w:highlight w:val="yellow"/>
        </w:rPr>
        <w:t>外壳防护等级不低于 IP30。进出线方式：按图纸要求。</w:t>
      </w:r>
    </w:p>
    <w:p>
      <w:pPr>
        <w:spacing w:line="480" w:lineRule="exact"/>
        <w:ind w:firstLine="440" w:firstLineChars="200"/>
        <w:rPr>
          <w:rFonts w:hint="eastAsia" w:ascii="宋体" w:hAnsi="宋体" w:cs="宋体"/>
          <w:bCs/>
          <w:sz w:val="22"/>
          <w:szCs w:val="22"/>
          <w:highlight w:val="yellow"/>
        </w:rPr>
      </w:pPr>
      <w:r>
        <w:rPr>
          <w:rFonts w:hint="eastAsia" w:ascii="宋体" w:hAnsi="宋体" w:cs="宋体"/>
          <w:bCs/>
          <w:sz w:val="22"/>
          <w:szCs w:val="22"/>
          <w:highlight w:val="yellow"/>
        </w:rPr>
        <w:t>户内外照明配电箱、动力配电箱（柜）及内部：板材厚度：暗装≥1.5mm，明装、落地安装厚度≥2.0mm，整体喷塑，其余参考国标规范执行。</w:t>
      </w:r>
    </w:p>
    <w:p>
      <w:pPr>
        <w:spacing w:line="480" w:lineRule="exact"/>
        <w:ind w:firstLine="440" w:firstLineChars="200"/>
        <w:rPr>
          <w:rFonts w:hint="eastAsia" w:ascii="宋体" w:hAnsi="宋体" w:cs="宋体"/>
          <w:bCs/>
          <w:sz w:val="22"/>
          <w:szCs w:val="22"/>
        </w:rPr>
      </w:pPr>
      <w:r>
        <w:rPr>
          <w:rFonts w:hint="eastAsia" w:ascii="宋体" w:hAnsi="宋体" w:cs="宋体"/>
          <w:bCs/>
          <w:sz w:val="22"/>
          <w:szCs w:val="22"/>
        </w:rPr>
        <w:t>10.产品的出厂试验应按标准认真完成，对完成的试验项目应有完整的试验报告（供货时提供）。</w:t>
      </w:r>
    </w:p>
    <w:p>
      <w:pPr>
        <w:spacing w:line="480" w:lineRule="exact"/>
        <w:ind w:firstLine="440" w:firstLineChars="200"/>
        <w:rPr>
          <w:rFonts w:hint="eastAsia" w:ascii="宋体" w:hAnsi="宋体" w:cs="宋体"/>
          <w:bCs/>
          <w:sz w:val="22"/>
          <w:szCs w:val="22"/>
        </w:rPr>
      </w:pPr>
      <w:r>
        <w:rPr>
          <w:rFonts w:hint="eastAsia" w:ascii="宋体" w:hAnsi="宋体" w:cs="宋体"/>
          <w:bCs/>
          <w:sz w:val="22"/>
          <w:szCs w:val="22"/>
        </w:rPr>
        <w:t>11.以上规章、标准供参考，不论有无年代号，如有新的服务标准，中标人均须以最新有效版本为准。</w:t>
      </w:r>
    </w:p>
    <w:p>
      <w:pPr>
        <w:spacing w:line="480" w:lineRule="exact"/>
        <w:ind w:firstLine="440" w:firstLineChars="200"/>
        <w:rPr>
          <w:rFonts w:hint="eastAsia" w:ascii="宋体" w:hAnsi="宋体" w:cs="宋体"/>
          <w:bCs/>
          <w:sz w:val="22"/>
          <w:szCs w:val="22"/>
        </w:rPr>
      </w:pPr>
      <w:r>
        <w:rPr>
          <w:rFonts w:hint="eastAsia" w:ascii="宋体" w:hAnsi="宋体" w:cs="宋体"/>
          <w:bCs/>
          <w:sz w:val="22"/>
          <w:szCs w:val="22"/>
        </w:rPr>
        <w:t>注：上述技术参数要求不作为初步评审指标。但作为招标人验收的标准，所供的产品须满足此标准。否则招标人有权拒绝签订合同，并上报公共资源交易监督管理部门按有关规定处理。</w:t>
      </w:r>
    </w:p>
    <w:p>
      <w:pPr>
        <w:spacing w:line="480" w:lineRule="exact"/>
        <w:ind w:firstLine="442" w:firstLineChars="200"/>
        <w:rPr>
          <w:rFonts w:hint="eastAsia" w:ascii="宋体" w:hAnsi="宋体" w:cs="宋体"/>
          <w:b/>
          <w:color w:val="FF0000"/>
          <w:kern w:val="0"/>
          <w:sz w:val="22"/>
          <w:szCs w:val="22"/>
          <w:lang w:val="zh-CN"/>
        </w:rPr>
      </w:pPr>
      <w:r>
        <w:rPr>
          <w:rFonts w:hint="eastAsia" w:ascii="宋体" w:hAnsi="宋体" w:cs="宋体"/>
          <w:b/>
          <w:sz w:val="22"/>
          <w:szCs w:val="22"/>
        </w:rPr>
        <w:t>（三）推荐品牌</w:t>
      </w:r>
    </w:p>
    <w:tbl>
      <w:tblPr>
        <w:tblStyle w:val="5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2"/>
        <w:gridCol w:w="2529"/>
        <w:gridCol w:w="4325"/>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2" w:type="dxa"/>
            <w:vAlign w:val="center"/>
          </w:tcPr>
          <w:p>
            <w:pPr>
              <w:jc w:val="center"/>
              <w:rPr>
                <w:b/>
                <w:bCs/>
                <w:highlight w:val="yellow"/>
              </w:rPr>
            </w:pPr>
            <w:r>
              <w:rPr>
                <w:rFonts w:hint="eastAsia"/>
                <w:b/>
                <w:bCs/>
                <w:highlight w:val="yellow"/>
              </w:rPr>
              <w:t>序号</w:t>
            </w:r>
          </w:p>
        </w:tc>
        <w:tc>
          <w:tcPr>
            <w:tcW w:w="2529" w:type="dxa"/>
            <w:vAlign w:val="center"/>
          </w:tcPr>
          <w:p>
            <w:pPr>
              <w:jc w:val="center"/>
              <w:rPr>
                <w:b/>
                <w:bCs/>
                <w:highlight w:val="yellow"/>
              </w:rPr>
            </w:pPr>
            <w:r>
              <w:rPr>
                <w:rFonts w:hint="eastAsia"/>
                <w:b/>
                <w:bCs/>
                <w:highlight w:val="yellow"/>
              </w:rPr>
              <w:t>配电箱内元器件</w:t>
            </w:r>
          </w:p>
        </w:tc>
        <w:tc>
          <w:tcPr>
            <w:tcW w:w="4325" w:type="dxa"/>
            <w:vAlign w:val="center"/>
          </w:tcPr>
          <w:p>
            <w:pPr>
              <w:jc w:val="center"/>
              <w:rPr>
                <w:b/>
                <w:bCs/>
                <w:highlight w:val="yellow"/>
              </w:rPr>
            </w:pPr>
            <w:r>
              <w:rPr>
                <w:rFonts w:hint="eastAsia"/>
                <w:b/>
                <w:bCs/>
                <w:highlight w:val="yellow"/>
              </w:rPr>
              <w:t>品牌/系列</w:t>
            </w:r>
          </w:p>
        </w:tc>
        <w:tc>
          <w:tcPr>
            <w:tcW w:w="1504" w:type="dxa"/>
            <w:vAlign w:val="center"/>
          </w:tcPr>
          <w:p>
            <w:pPr>
              <w:jc w:val="center"/>
              <w:rPr>
                <w:b/>
                <w:bCs/>
                <w:highlight w:val="yellow"/>
              </w:rPr>
            </w:pPr>
            <w:r>
              <w:rPr>
                <w:rFonts w:hint="eastAsia"/>
                <w:b/>
                <w:bCs/>
                <w:highlight w:val="yellow"/>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2" w:type="dxa"/>
            <w:vAlign w:val="center"/>
          </w:tcPr>
          <w:p>
            <w:pPr>
              <w:widowControl/>
              <w:jc w:val="center"/>
              <w:textAlignment w:val="center"/>
              <w:rPr>
                <w:rFonts w:ascii="宋体" w:hAnsi="宋体" w:cs="宋体"/>
                <w:color w:val="000000"/>
                <w:sz w:val="24"/>
                <w:highlight w:val="yellow"/>
              </w:rPr>
            </w:pPr>
            <w:r>
              <w:rPr>
                <w:rFonts w:hint="eastAsia" w:ascii="宋体" w:hAnsi="宋体" w:cs="宋体"/>
                <w:color w:val="000000"/>
                <w:sz w:val="24"/>
                <w:highlight w:val="yellow"/>
              </w:rPr>
              <w:t>1</w:t>
            </w:r>
          </w:p>
        </w:tc>
        <w:tc>
          <w:tcPr>
            <w:tcW w:w="2529" w:type="dxa"/>
            <w:vAlign w:val="center"/>
          </w:tcPr>
          <w:p>
            <w:pPr>
              <w:widowControl/>
              <w:jc w:val="center"/>
              <w:textAlignment w:val="center"/>
              <w:rPr>
                <w:rFonts w:ascii="宋体" w:hAnsi="宋体"/>
                <w:szCs w:val="21"/>
                <w:highlight w:val="yellow"/>
              </w:rPr>
            </w:pPr>
            <w:r>
              <w:rPr>
                <w:rFonts w:hint="eastAsia" w:ascii="宋体" w:hAnsi="宋体"/>
                <w:szCs w:val="21"/>
                <w:highlight w:val="yellow"/>
              </w:rPr>
              <w:t>低压塑壳断路器</w:t>
            </w:r>
          </w:p>
        </w:tc>
        <w:tc>
          <w:tcPr>
            <w:tcW w:w="4325" w:type="dxa"/>
            <w:vAlign w:val="center"/>
          </w:tcPr>
          <w:p>
            <w:pPr>
              <w:widowControl/>
              <w:jc w:val="left"/>
              <w:textAlignment w:val="center"/>
              <w:rPr>
                <w:rFonts w:ascii="宋体" w:hAnsi="宋体"/>
                <w:szCs w:val="21"/>
                <w:highlight w:val="yellow"/>
              </w:rPr>
            </w:pPr>
            <w:r>
              <w:rPr>
                <w:rFonts w:hint="eastAsia" w:ascii="宋体" w:hAnsi="宋体"/>
                <w:szCs w:val="21"/>
                <w:highlight w:val="yellow"/>
              </w:rPr>
              <w:t>ABB Tmax 系列、伊顿PDC系列、施耐德NSX系列、西门子3VA系列</w:t>
            </w:r>
          </w:p>
        </w:tc>
        <w:tc>
          <w:tcPr>
            <w:tcW w:w="1504" w:type="dxa"/>
            <w:vAlign w:val="center"/>
          </w:tcPr>
          <w:p>
            <w:pPr>
              <w:jc w:val="cente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2" w:type="dxa"/>
            <w:vAlign w:val="center"/>
          </w:tcPr>
          <w:p>
            <w:pPr>
              <w:widowControl/>
              <w:jc w:val="center"/>
              <w:textAlignment w:val="center"/>
              <w:rPr>
                <w:rFonts w:ascii="宋体" w:hAnsi="宋体" w:cs="宋体"/>
                <w:color w:val="000000"/>
                <w:sz w:val="24"/>
                <w:highlight w:val="yellow"/>
              </w:rPr>
            </w:pPr>
            <w:r>
              <w:rPr>
                <w:rFonts w:hint="eastAsia" w:ascii="宋体" w:hAnsi="宋体" w:cs="宋体"/>
                <w:color w:val="000000"/>
                <w:sz w:val="24"/>
                <w:highlight w:val="yellow"/>
              </w:rPr>
              <w:t>2</w:t>
            </w:r>
          </w:p>
        </w:tc>
        <w:tc>
          <w:tcPr>
            <w:tcW w:w="2529" w:type="dxa"/>
            <w:vAlign w:val="center"/>
          </w:tcPr>
          <w:p>
            <w:pPr>
              <w:widowControl/>
              <w:jc w:val="center"/>
              <w:textAlignment w:val="center"/>
              <w:rPr>
                <w:rFonts w:ascii="宋体" w:hAnsi="宋体"/>
                <w:szCs w:val="21"/>
                <w:highlight w:val="yellow"/>
              </w:rPr>
            </w:pPr>
            <w:r>
              <w:rPr>
                <w:rFonts w:hint="eastAsia" w:ascii="宋体" w:hAnsi="宋体"/>
                <w:szCs w:val="21"/>
                <w:highlight w:val="yellow"/>
              </w:rPr>
              <w:t>低压微型断路器</w:t>
            </w:r>
          </w:p>
        </w:tc>
        <w:tc>
          <w:tcPr>
            <w:tcW w:w="4325" w:type="dxa"/>
            <w:vAlign w:val="center"/>
          </w:tcPr>
          <w:p>
            <w:pPr>
              <w:widowControl/>
              <w:jc w:val="left"/>
              <w:textAlignment w:val="center"/>
              <w:rPr>
                <w:rFonts w:ascii="宋体" w:hAnsi="宋体"/>
                <w:szCs w:val="21"/>
                <w:highlight w:val="yellow"/>
              </w:rPr>
            </w:pPr>
            <w:r>
              <w:rPr>
                <w:rFonts w:hint="eastAsia" w:ascii="宋体" w:hAnsi="宋体"/>
                <w:szCs w:val="21"/>
                <w:highlight w:val="yellow"/>
              </w:rPr>
              <w:t>ABB S200系列、伊顿PL系列、施耐德ic65系列、西门子5SY6系列</w:t>
            </w:r>
          </w:p>
        </w:tc>
        <w:tc>
          <w:tcPr>
            <w:tcW w:w="1504" w:type="dxa"/>
            <w:vAlign w:val="center"/>
          </w:tcPr>
          <w:p>
            <w:pPr>
              <w:jc w:val="cente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2" w:type="dxa"/>
            <w:vAlign w:val="center"/>
          </w:tcPr>
          <w:p>
            <w:pPr>
              <w:widowControl/>
              <w:jc w:val="center"/>
              <w:textAlignment w:val="center"/>
              <w:rPr>
                <w:rFonts w:ascii="宋体" w:hAnsi="宋体" w:cs="宋体"/>
                <w:color w:val="000000"/>
                <w:sz w:val="24"/>
                <w:highlight w:val="yellow"/>
              </w:rPr>
            </w:pPr>
            <w:r>
              <w:rPr>
                <w:rFonts w:hint="eastAsia" w:ascii="宋体" w:hAnsi="宋体" w:cs="宋体"/>
                <w:color w:val="000000"/>
                <w:sz w:val="24"/>
                <w:highlight w:val="yellow"/>
              </w:rPr>
              <w:t>3</w:t>
            </w:r>
          </w:p>
        </w:tc>
        <w:tc>
          <w:tcPr>
            <w:tcW w:w="2529" w:type="dxa"/>
            <w:vAlign w:val="center"/>
          </w:tcPr>
          <w:p>
            <w:pPr>
              <w:widowControl/>
              <w:jc w:val="center"/>
              <w:textAlignment w:val="center"/>
              <w:rPr>
                <w:rFonts w:ascii="宋体" w:hAnsi="宋体"/>
                <w:szCs w:val="21"/>
                <w:highlight w:val="yellow"/>
              </w:rPr>
            </w:pPr>
            <w:r>
              <w:rPr>
                <w:rFonts w:hint="eastAsia" w:ascii="宋体" w:hAnsi="宋体"/>
                <w:szCs w:val="21"/>
                <w:highlight w:val="yellow"/>
              </w:rPr>
              <w:t>ATS双电源切换</w:t>
            </w:r>
          </w:p>
        </w:tc>
        <w:tc>
          <w:tcPr>
            <w:tcW w:w="4325" w:type="dxa"/>
            <w:vAlign w:val="center"/>
          </w:tcPr>
          <w:p>
            <w:pPr>
              <w:widowControl/>
              <w:jc w:val="left"/>
              <w:textAlignment w:val="center"/>
              <w:rPr>
                <w:highlight w:val="yellow"/>
              </w:rPr>
            </w:pPr>
            <w:r>
              <w:rPr>
                <w:rFonts w:hint="eastAsia" w:ascii="宋体" w:hAnsi="宋体"/>
                <w:szCs w:val="21"/>
                <w:highlight w:val="yellow"/>
              </w:rPr>
              <w:t>施耐德W</w:t>
            </w:r>
            <w:r>
              <w:rPr>
                <w:rFonts w:ascii="宋体" w:hAnsi="宋体"/>
                <w:szCs w:val="21"/>
                <w:highlight w:val="yellow"/>
              </w:rPr>
              <w:t>N</w:t>
            </w:r>
            <w:r>
              <w:rPr>
                <w:rFonts w:hint="eastAsia" w:ascii="宋体" w:hAnsi="宋体"/>
                <w:szCs w:val="21"/>
                <w:highlight w:val="yellow"/>
              </w:rPr>
              <w:t>TS系列、溯高美ATYS系列、ABB公司OTM_8D系列、西门子3KC系列</w:t>
            </w:r>
          </w:p>
        </w:tc>
        <w:tc>
          <w:tcPr>
            <w:tcW w:w="1504" w:type="dxa"/>
            <w:vAlign w:val="center"/>
          </w:tcPr>
          <w:p>
            <w:pPr>
              <w:jc w:val="cente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2" w:type="dxa"/>
            <w:vAlign w:val="center"/>
          </w:tcPr>
          <w:p>
            <w:pPr>
              <w:widowControl/>
              <w:jc w:val="center"/>
              <w:textAlignment w:val="center"/>
              <w:rPr>
                <w:rFonts w:ascii="宋体" w:hAnsi="宋体" w:cs="宋体"/>
                <w:color w:val="000000"/>
                <w:sz w:val="24"/>
                <w:highlight w:val="yellow"/>
              </w:rPr>
            </w:pPr>
            <w:r>
              <w:rPr>
                <w:rFonts w:hint="eastAsia" w:ascii="宋体" w:hAnsi="宋体" w:cs="宋体"/>
                <w:color w:val="000000"/>
                <w:sz w:val="24"/>
                <w:highlight w:val="yellow"/>
              </w:rPr>
              <w:t>4</w:t>
            </w:r>
          </w:p>
        </w:tc>
        <w:tc>
          <w:tcPr>
            <w:tcW w:w="2529" w:type="dxa"/>
            <w:vAlign w:val="center"/>
          </w:tcPr>
          <w:p>
            <w:pPr>
              <w:widowControl/>
              <w:jc w:val="center"/>
              <w:textAlignment w:val="center"/>
              <w:rPr>
                <w:rFonts w:ascii="宋体" w:hAnsi="宋体"/>
                <w:szCs w:val="21"/>
                <w:highlight w:val="yellow"/>
              </w:rPr>
            </w:pPr>
            <w:r>
              <w:rPr>
                <w:rFonts w:hint="eastAsia" w:ascii="宋体" w:hAnsi="宋体"/>
                <w:szCs w:val="21"/>
                <w:highlight w:val="yellow"/>
              </w:rPr>
              <w:t>电流互感器</w:t>
            </w:r>
          </w:p>
        </w:tc>
        <w:tc>
          <w:tcPr>
            <w:tcW w:w="4325" w:type="dxa"/>
            <w:vAlign w:val="center"/>
          </w:tcPr>
          <w:p>
            <w:pPr>
              <w:widowControl/>
              <w:jc w:val="left"/>
              <w:textAlignment w:val="center"/>
              <w:rPr>
                <w:rFonts w:ascii="宋体" w:hAnsi="宋体"/>
                <w:szCs w:val="21"/>
                <w:highlight w:val="yellow"/>
              </w:rPr>
            </w:pPr>
            <w:r>
              <w:rPr>
                <w:rFonts w:hint="eastAsia" w:ascii="宋体" w:hAnsi="宋体"/>
                <w:szCs w:val="21"/>
                <w:highlight w:val="yellow"/>
              </w:rPr>
              <w:t>大连一互、大连北方、上海雷兹、大连二互</w:t>
            </w:r>
          </w:p>
        </w:tc>
        <w:tc>
          <w:tcPr>
            <w:tcW w:w="1504" w:type="dxa"/>
            <w:vAlign w:val="center"/>
          </w:tcPr>
          <w:p>
            <w:pPr>
              <w:jc w:val="cente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2" w:type="dxa"/>
            <w:vAlign w:val="center"/>
          </w:tcPr>
          <w:p>
            <w:pPr>
              <w:widowControl/>
              <w:jc w:val="center"/>
              <w:textAlignment w:val="center"/>
              <w:rPr>
                <w:rFonts w:ascii="宋体" w:hAnsi="宋体" w:cs="宋体"/>
                <w:color w:val="000000"/>
                <w:sz w:val="24"/>
                <w:highlight w:val="yellow"/>
              </w:rPr>
            </w:pPr>
            <w:r>
              <w:rPr>
                <w:rFonts w:hint="eastAsia" w:ascii="宋体" w:hAnsi="宋体" w:cs="宋体"/>
                <w:color w:val="000000"/>
                <w:sz w:val="24"/>
                <w:highlight w:val="yellow"/>
              </w:rPr>
              <w:t>5</w:t>
            </w:r>
          </w:p>
        </w:tc>
        <w:tc>
          <w:tcPr>
            <w:tcW w:w="2529" w:type="dxa"/>
            <w:vAlign w:val="center"/>
          </w:tcPr>
          <w:p>
            <w:pPr>
              <w:widowControl/>
              <w:jc w:val="center"/>
              <w:textAlignment w:val="center"/>
              <w:rPr>
                <w:rFonts w:ascii="宋体" w:hAnsi="宋体"/>
                <w:szCs w:val="21"/>
                <w:highlight w:val="yellow"/>
              </w:rPr>
            </w:pPr>
            <w:r>
              <w:rPr>
                <w:rFonts w:hint="eastAsia" w:ascii="宋体" w:hAnsi="宋体"/>
                <w:szCs w:val="21"/>
                <w:highlight w:val="yellow"/>
              </w:rPr>
              <w:t>浪涌保护器（智能型）</w:t>
            </w:r>
          </w:p>
        </w:tc>
        <w:tc>
          <w:tcPr>
            <w:tcW w:w="4325" w:type="dxa"/>
            <w:vAlign w:val="center"/>
          </w:tcPr>
          <w:p>
            <w:pPr>
              <w:widowControl/>
              <w:jc w:val="center"/>
              <w:textAlignment w:val="center"/>
              <w:rPr>
                <w:rFonts w:ascii="宋体" w:hAnsi="宋体"/>
                <w:szCs w:val="21"/>
                <w:highlight w:val="yellow"/>
              </w:rPr>
            </w:pPr>
            <w:r>
              <w:rPr>
                <w:rFonts w:hint="eastAsia" w:ascii="宋体" w:hAnsi="宋体"/>
                <w:szCs w:val="21"/>
                <w:highlight w:val="yellow"/>
              </w:rPr>
              <w:t>施耐德、西门子、伊顿、ABB</w:t>
            </w:r>
          </w:p>
        </w:tc>
        <w:tc>
          <w:tcPr>
            <w:tcW w:w="1504" w:type="dxa"/>
            <w:vAlign w:val="center"/>
          </w:tcPr>
          <w:p>
            <w:pPr>
              <w:jc w:val="cente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2" w:type="dxa"/>
            <w:vAlign w:val="center"/>
          </w:tcPr>
          <w:p>
            <w:pPr>
              <w:widowControl/>
              <w:jc w:val="center"/>
              <w:textAlignment w:val="center"/>
              <w:rPr>
                <w:rFonts w:ascii="宋体" w:hAnsi="宋体" w:cs="宋体"/>
                <w:color w:val="000000"/>
                <w:sz w:val="24"/>
                <w:highlight w:val="yellow"/>
              </w:rPr>
            </w:pPr>
            <w:r>
              <w:rPr>
                <w:rFonts w:hint="eastAsia" w:ascii="宋体" w:hAnsi="宋体" w:cs="宋体"/>
                <w:color w:val="000000"/>
                <w:sz w:val="24"/>
                <w:highlight w:val="yellow"/>
              </w:rPr>
              <w:t>6</w:t>
            </w:r>
          </w:p>
        </w:tc>
        <w:tc>
          <w:tcPr>
            <w:tcW w:w="2529" w:type="dxa"/>
            <w:vAlign w:val="center"/>
          </w:tcPr>
          <w:p>
            <w:pPr>
              <w:widowControl/>
              <w:jc w:val="center"/>
              <w:textAlignment w:val="center"/>
              <w:rPr>
                <w:rFonts w:ascii="宋体" w:hAnsi="宋体"/>
                <w:szCs w:val="21"/>
                <w:highlight w:val="yellow"/>
              </w:rPr>
            </w:pPr>
            <w:r>
              <w:rPr>
                <w:rFonts w:hint="eastAsia" w:ascii="宋体" w:hAnsi="宋体"/>
                <w:szCs w:val="21"/>
                <w:highlight w:val="yellow"/>
              </w:rPr>
              <w:t>多功能电表</w:t>
            </w:r>
          </w:p>
        </w:tc>
        <w:tc>
          <w:tcPr>
            <w:tcW w:w="4325" w:type="dxa"/>
            <w:vAlign w:val="center"/>
          </w:tcPr>
          <w:p>
            <w:pPr>
              <w:widowControl/>
              <w:jc w:val="center"/>
              <w:textAlignment w:val="center"/>
              <w:rPr>
                <w:rFonts w:ascii="宋体" w:hAnsi="宋体"/>
                <w:szCs w:val="21"/>
                <w:highlight w:val="yellow"/>
              </w:rPr>
            </w:pPr>
            <w:r>
              <w:rPr>
                <w:rFonts w:hint="eastAsia" w:ascii="宋体" w:hAnsi="宋体"/>
                <w:szCs w:val="21"/>
                <w:highlight w:val="yellow"/>
              </w:rPr>
              <w:t>TK系列（安徽托卡）、HK系列（西安海克）、DM系列（合肥上元）</w:t>
            </w:r>
          </w:p>
        </w:tc>
        <w:tc>
          <w:tcPr>
            <w:tcW w:w="1504" w:type="dxa"/>
            <w:vAlign w:val="center"/>
          </w:tcPr>
          <w:p>
            <w:pPr>
              <w:jc w:val="cente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2" w:type="dxa"/>
            <w:vAlign w:val="center"/>
          </w:tcPr>
          <w:p>
            <w:pPr>
              <w:widowControl/>
              <w:jc w:val="center"/>
              <w:textAlignment w:val="center"/>
              <w:rPr>
                <w:rFonts w:ascii="宋体" w:hAnsi="宋体" w:cs="宋体"/>
                <w:color w:val="000000"/>
                <w:sz w:val="24"/>
                <w:highlight w:val="yellow"/>
              </w:rPr>
            </w:pPr>
            <w:r>
              <w:rPr>
                <w:rFonts w:hint="eastAsia" w:ascii="宋体" w:hAnsi="宋体" w:cs="宋体"/>
                <w:color w:val="000000"/>
                <w:sz w:val="24"/>
                <w:highlight w:val="yellow"/>
              </w:rPr>
              <w:t>7</w:t>
            </w:r>
          </w:p>
        </w:tc>
        <w:tc>
          <w:tcPr>
            <w:tcW w:w="2529" w:type="dxa"/>
            <w:vAlign w:val="center"/>
          </w:tcPr>
          <w:p>
            <w:pPr>
              <w:widowControl/>
              <w:jc w:val="center"/>
              <w:textAlignment w:val="center"/>
              <w:rPr>
                <w:rFonts w:ascii="宋体" w:hAnsi="宋体"/>
                <w:szCs w:val="21"/>
                <w:highlight w:val="yellow"/>
              </w:rPr>
            </w:pPr>
            <w:r>
              <w:rPr>
                <w:rFonts w:hint="eastAsia" w:ascii="宋体" w:hAnsi="宋体"/>
                <w:szCs w:val="21"/>
                <w:highlight w:val="yellow"/>
              </w:rPr>
              <w:t>隔离开关</w:t>
            </w:r>
          </w:p>
        </w:tc>
        <w:tc>
          <w:tcPr>
            <w:tcW w:w="4325" w:type="dxa"/>
            <w:vAlign w:val="center"/>
          </w:tcPr>
          <w:p>
            <w:pPr>
              <w:widowControl/>
              <w:jc w:val="center"/>
              <w:textAlignment w:val="center"/>
              <w:rPr>
                <w:rFonts w:ascii="宋体" w:hAnsi="宋体"/>
                <w:szCs w:val="21"/>
                <w:highlight w:val="yellow"/>
              </w:rPr>
            </w:pPr>
            <w:r>
              <w:rPr>
                <w:rFonts w:hint="eastAsia" w:ascii="宋体" w:hAnsi="宋体"/>
                <w:szCs w:val="21"/>
                <w:highlight w:val="yellow"/>
              </w:rPr>
              <w:t>施耐德、西门子、伊顿、ABB</w:t>
            </w:r>
          </w:p>
        </w:tc>
        <w:tc>
          <w:tcPr>
            <w:tcW w:w="1504" w:type="dxa"/>
            <w:vAlign w:val="center"/>
          </w:tcPr>
          <w:p>
            <w:pPr>
              <w:jc w:val="center"/>
              <w:rPr>
                <w:highlight w:val="yellow"/>
              </w:rPr>
            </w:pPr>
          </w:p>
        </w:tc>
      </w:tr>
    </w:tbl>
    <w:p>
      <w:pPr>
        <w:pStyle w:val="54"/>
        <w:spacing w:line="480" w:lineRule="exact"/>
        <w:ind w:firstLine="0" w:firstLineChars="0"/>
        <w:jc w:val="left"/>
        <w:rPr>
          <w:rFonts w:hint="eastAsia" w:cs="宋体"/>
          <w:b/>
          <w:sz w:val="22"/>
          <w:szCs w:val="22"/>
        </w:rPr>
      </w:pPr>
      <w:r>
        <w:rPr>
          <w:rFonts w:hint="eastAsia" w:cs="宋体"/>
          <w:b/>
          <w:sz w:val="22"/>
          <w:szCs w:val="22"/>
        </w:rPr>
        <w:t>四、其他相关要求</w:t>
      </w:r>
    </w:p>
    <w:p>
      <w:pPr>
        <w:widowControl/>
        <w:spacing w:line="480" w:lineRule="exact"/>
        <w:ind w:firstLine="440" w:firstLineChars="200"/>
        <w:jc w:val="left"/>
        <w:rPr>
          <w:rFonts w:hint="eastAsia" w:ascii="宋体" w:hAnsi="宋体" w:cs="宋体"/>
          <w:sz w:val="22"/>
          <w:szCs w:val="22"/>
        </w:rPr>
      </w:pPr>
      <w:r>
        <w:rPr>
          <w:rFonts w:hint="eastAsia" w:ascii="宋体" w:hAnsi="宋体" w:cs="宋体"/>
          <w:sz w:val="22"/>
          <w:szCs w:val="22"/>
        </w:rPr>
        <w:t>1、设备及材料质量：合格</w:t>
      </w:r>
    </w:p>
    <w:p>
      <w:pPr>
        <w:widowControl/>
        <w:spacing w:line="480" w:lineRule="exact"/>
        <w:ind w:firstLine="440" w:firstLineChars="200"/>
        <w:jc w:val="left"/>
        <w:rPr>
          <w:rFonts w:hint="eastAsia" w:ascii="宋体" w:hAnsi="宋体" w:cs="宋体"/>
          <w:sz w:val="22"/>
          <w:szCs w:val="22"/>
        </w:rPr>
      </w:pPr>
      <w:r>
        <w:rPr>
          <w:rFonts w:hint="eastAsia" w:ascii="宋体" w:hAnsi="宋体" w:cs="宋体"/>
          <w:sz w:val="22"/>
          <w:szCs w:val="22"/>
        </w:rPr>
        <w:t>2、交货期：收到甲方批次货物需求通知后的30天内，将该批次货物送到甲方指定地点。</w:t>
      </w:r>
    </w:p>
    <w:p>
      <w:pPr>
        <w:widowControl/>
        <w:spacing w:line="480" w:lineRule="exact"/>
        <w:ind w:firstLine="440" w:firstLineChars="200"/>
        <w:jc w:val="left"/>
        <w:rPr>
          <w:rFonts w:hint="eastAsia" w:ascii="宋体" w:hAnsi="宋体" w:cs="宋体"/>
          <w:sz w:val="22"/>
          <w:szCs w:val="22"/>
        </w:rPr>
      </w:pPr>
      <w:r>
        <w:rPr>
          <w:rFonts w:hint="eastAsia" w:ascii="宋体" w:hAnsi="宋体" w:cs="宋体"/>
          <w:sz w:val="22"/>
          <w:szCs w:val="22"/>
        </w:rPr>
        <w:t>3、保修要求</w:t>
      </w:r>
    </w:p>
    <w:p>
      <w:pPr>
        <w:widowControl/>
        <w:spacing w:line="480" w:lineRule="exact"/>
        <w:ind w:firstLine="440" w:firstLineChars="200"/>
        <w:jc w:val="left"/>
        <w:rPr>
          <w:rFonts w:hint="eastAsia" w:ascii="宋体" w:hAnsi="宋体" w:cs="宋体"/>
          <w:sz w:val="22"/>
          <w:szCs w:val="22"/>
        </w:rPr>
      </w:pPr>
      <w:r>
        <w:rPr>
          <w:rFonts w:hint="eastAsia" w:ascii="宋体" w:hAnsi="宋体" w:cs="宋体"/>
          <w:sz w:val="22"/>
          <w:szCs w:val="22"/>
        </w:rPr>
        <w:t>1）质保期：自验收合格之日起不少于三年。中标人承诺延长免费质保期时间的，免费质保期以承诺为准。保期自招标人采购的货物验收合格并交付使用之日起计算。货物在质保期内因产品质量而导致的缺陷必须免费提供包修、包换、包退服务，提供终身维修承诺。</w:t>
      </w:r>
    </w:p>
    <w:p>
      <w:pPr>
        <w:widowControl/>
        <w:spacing w:line="480" w:lineRule="exact"/>
        <w:ind w:firstLine="440" w:firstLineChars="200"/>
        <w:jc w:val="left"/>
        <w:rPr>
          <w:rFonts w:hint="eastAsia" w:ascii="宋体" w:hAnsi="宋体" w:cs="宋体"/>
          <w:sz w:val="22"/>
          <w:szCs w:val="22"/>
        </w:rPr>
      </w:pPr>
      <w:r>
        <w:rPr>
          <w:rFonts w:hint="eastAsia" w:ascii="宋体" w:hAnsi="宋体" w:cs="宋体"/>
          <w:sz w:val="22"/>
          <w:szCs w:val="22"/>
        </w:rPr>
        <w:t>2）出现故障必须在接报后1小时响应，4小时内到达现场，12小时内予以解决，保证正常使用。如果是设备故障，必须提供相同档次的设备给用户使用，直至设备故障修复为止。</w:t>
      </w:r>
    </w:p>
    <w:p>
      <w:pPr>
        <w:widowControl/>
        <w:spacing w:line="480" w:lineRule="exact"/>
        <w:ind w:firstLine="440" w:firstLineChars="200"/>
        <w:jc w:val="left"/>
        <w:rPr>
          <w:rFonts w:hint="eastAsia" w:ascii="宋体" w:hAnsi="宋体" w:cs="宋体"/>
          <w:sz w:val="22"/>
          <w:szCs w:val="22"/>
        </w:rPr>
      </w:pPr>
      <w:r>
        <w:rPr>
          <w:rFonts w:hint="eastAsia" w:ascii="宋体" w:hAnsi="宋体" w:cs="宋体"/>
          <w:sz w:val="22"/>
          <w:szCs w:val="22"/>
        </w:rPr>
        <w:t>3）质保期满后乙方继续提供终身免费巡查和保养服务（免人工费）并提供优惠的维修服务与免费的技术指导。</w:t>
      </w:r>
    </w:p>
    <w:p>
      <w:pPr>
        <w:widowControl/>
        <w:spacing w:line="480" w:lineRule="exact"/>
        <w:ind w:firstLine="440" w:firstLineChars="200"/>
        <w:jc w:val="left"/>
        <w:rPr>
          <w:rFonts w:hint="eastAsia" w:ascii="宋体" w:hAnsi="宋体" w:cs="宋体"/>
          <w:sz w:val="22"/>
          <w:szCs w:val="22"/>
        </w:rPr>
      </w:pPr>
      <w:r>
        <w:rPr>
          <w:rFonts w:hint="eastAsia" w:ascii="宋体" w:hAnsi="宋体" w:cs="宋体"/>
          <w:sz w:val="22"/>
          <w:szCs w:val="22"/>
        </w:rPr>
        <w:t>4、设备及材料交货要求</w:t>
      </w:r>
    </w:p>
    <w:p>
      <w:pPr>
        <w:widowControl/>
        <w:spacing w:line="480" w:lineRule="exact"/>
        <w:ind w:firstLine="440" w:firstLineChars="200"/>
        <w:jc w:val="left"/>
        <w:rPr>
          <w:rFonts w:hint="eastAsia" w:ascii="宋体" w:hAnsi="宋体" w:cs="宋体"/>
          <w:sz w:val="22"/>
          <w:szCs w:val="22"/>
        </w:rPr>
      </w:pPr>
      <w:r>
        <w:rPr>
          <w:rFonts w:hint="eastAsia" w:ascii="宋体" w:hAnsi="宋体" w:cs="宋体"/>
          <w:sz w:val="22"/>
          <w:szCs w:val="22"/>
        </w:rPr>
        <w:t xml:space="preserve">1）设备进场验收时必须提供有关安装、质量证明材料（包括产品检测报告、出厂合格证）、使用说明资料等，并派专业技术人员到场安装。 </w:t>
      </w:r>
    </w:p>
    <w:p>
      <w:pPr>
        <w:widowControl/>
        <w:spacing w:line="480" w:lineRule="exact"/>
        <w:ind w:firstLine="440" w:firstLineChars="200"/>
        <w:jc w:val="left"/>
        <w:rPr>
          <w:rFonts w:hint="eastAsia" w:ascii="宋体" w:hAnsi="宋体" w:cs="宋体"/>
          <w:sz w:val="22"/>
          <w:szCs w:val="22"/>
        </w:rPr>
      </w:pPr>
      <w:r>
        <w:rPr>
          <w:rFonts w:hint="eastAsia" w:ascii="宋体" w:hAnsi="宋体" w:cs="宋体"/>
          <w:sz w:val="22"/>
          <w:szCs w:val="22"/>
        </w:rPr>
        <w:t>2）验收按国家颁布的相关标准、规格和设计图纸以及产品描述等的要求执行，招标人将会同监督部门对投标人提供的设备及零配件进行抽查检验。</w:t>
      </w:r>
    </w:p>
    <w:p>
      <w:pPr>
        <w:widowControl/>
        <w:spacing w:line="480" w:lineRule="exact"/>
        <w:ind w:firstLine="440" w:firstLineChars="200"/>
        <w:jc w:val="left"/>
        <w:rPr>
          <w:rStyle w:val="252"/>
          <w:rFonts w:hint="eastAsia" w:ascii="宋体" w:hAnsi="宋体" w:cs="宋体"/>
          <w:color w:val="000000"/>
          <w:sz w:val="22"/>
          <w:szCs w:val="22"/>
        </w:rPr>
      </w:pPr>
      <w:r>
        <w:rPr>
          <w:rFonts w:hint="eastAsia" w:ascii="宋体" w:hAnsi="宋体" w:cs="宋体"/>
          <w:sz w:val="22"/>
          <w:szCs w:val="22"/>
        </w:rPr>
        <w:t>5、本项目投标报价采用总价报价，</w:t>
      </w:r>
      <w:r>
        <w:rPr>
          <w:rFonts w:hint="eastAsia" w:ascii="宋体" w:hAnsi="宋体" w:cs="宋体"/>
          <w:kern w:val="0"/>
          <w:sz w:val="22"/>
          <w:szCs w:val="22"/>
        </w:rPr>
        <w:t>投标报价应包含包括材料（主要及辅助材料）及设备的生产（购买）、包装、运输、装卸、加工（含加工过程中的主要及辅助材料损耗）、施工（含施工过程中的主要及辅助材料损耗）、检测、验收、维保、培训、利润、税金、安全经费、文明施工费、临时设施费、环保费及其他相关施工措施费用和技术措施费用、规费等全部费用。</w:t>
      </w:r>
    </w:p>
    <w:p>
      <w:pPr>
        <w:pStyle w:val="53"/>
        <w:spacing w:after="0" w:line="480" w:lineRule="exact"/>
        <w:ind w:firstLine="220" w:firstLineChars="100"/>
        <w:rPr>
          <w:rStyle w:val="252"/>
          <w:rFonts w:hint="eastAsia" w:ascii="宋体" w:hAnsi="宋体" w:eastAsia="宋体" w:cs="宋体"/>
          <w:color w:val="000000"/>
          <w:sz w:val="22"/>
          <w:szCs w:val="22"/>
        </w:rPr>
      </w:pPr>
      <w:r>
        <w:rPr>
          <w:rStyle w:val="252"/>
          <w:rFonts w:hint="eastAsia" w:ascii="宋体" w:hAnsi="宋体" w:eastAsia="宋体" w:cs="宋体"/>
          <w:color w:val="000000"/>
          <w:sz w:val="22"/>
          <w:szCs w:val="22"/>
        </w:rPr>
        <w:t>6、付款方式：</w:t>
      </w:r>
    </w:p>
    <w:p>
      <w:pPr>
        <w:pStyle w:val="53"/>
        <w:spacing w:after="0" w:line="480" w:lineRule="exact"/>
        <w:ind w:firstLine="440"/>
        <w:rPr>
          <w:rStyle w:val="252"/>
          <w:rFonts w:hint="eastAsia" w:ascii="宋体" w:hAnsi="宋体" w:eastAsia="宋体" w:cs="宋体"/>
          <w:color w:val="0D12E9"/>
          <w:sz w:val="22"/>
          <w:szCs w:val="22"/>
        </w:rPr>
      </w:pPr>
      <w:r>
        <w:rPr>
          <w:rStyle w:val="252"/>
          <w:rFonts w:hint="eastAsia" w:ascii="宋体" w:hAnsi="宋体" w:eastAsia="宋体" w:cs="宋体"/>
          <w:color w:val="0D12E9"/>
          <w:sz w:val="22"/>
          <w:szCs w:val="22"/>
        </w:rPr>
        <w:t>1）货按批次到工地全部安装完毕，经建设单位、总包单位、监理单位验收合格后付至该批次货款的60%；</w:t>
      </w:r>
    </w:p>
    <w:p>
      <w:pPr>
        <w:pStyle w:val="53"/>
        <w:spacing w:after="0" w:line="480" w:lineRule="exact"/>
        <w:ind w:firstLine="440"/>
        <w:rPr>
          <w:rStyle w:val="252"/>
          <w:rFonts w:hint="eastAsia" w:ascii="宋体" w:hAnsi="宋体" w:eastAsia="宋体" w:cs="宋体"/>
          <w:color w:val="0D12E9"/>
          <w:sz w:val="22"/>
          <w:szCs w:val="22"/>
        </w:rPr>
      </w:pPr>
      <w:r>
        <w:rPr>
          <w:rStyle w:val="252"/>
          <w:rFonts w:hint="eastAsia" w:ascii="宋体" w:hAnsi="宋体" w:eastAsia="宋体" w:cs="宋体"/>
          <w:color w:val="0D12E9"/>
          <w:sz w:val="22"/>
          <w:szCs w:val="22"/>
        </w:rPr>
        <w:t>2）总承包工程竣工验收合格、移交后付至总货款的85%；</w:t>
      </w:r>
    </w:p>
    <w:p>
      <w:pPr>
        <w:pStyle w:val="53"/>
        <w:spacing w:after="0" w:line="480" w:lineRule="exact"/>
        <w:ind w:firstLine="440"/>
        <w:rPr>
          <w:rStyle w:val="252"/>
          <w:rFonts w:hint="eastAsia" w:ascii="宋体" w:hAnsi="宋体" w:eastAsia="宋体" w:cs="宋体"/>
          <w:color w:val="0D12E9"/>
          <w:sz w:val="22"/>
          <w:szCs w:val="22"/>
        </w:rPr>
      </w:pPr>
      <w:r>
        <w:rPr>
          <w:rStyle w:val="252"/>
          <w:rFonts w:hint="eastAsia" w:ascii="宋体" w:hAnsi="宋体" w:eastAsia="宋体" w:cs="宋体"/>
          <w:color w:val="0D12E9"/>
          <w:sz w:val="22"/>
          <w:szCs w:val="22"/>
        </w:rPr>
        <w:t>30总承包工程结算审计且总承包工程备案完成，供货人根据结算金额开具100%全额发票后付至结算价的 97%，余款 3%作为质保金待质保期满后一次性付清（无息）。</w:t>
      </w:r>
    </w:p>
    <w:p>
      <w:pPr>
        <w:pStyle w:val="53"/>
        <w:spacing w:after="0" w:line="480" w:lineRule="exact"/>
        <w:ind w:firstLine="440"/>
        <w:rPr>
          <w:rStyle w:val="252"/>
          <w:rFonts w:hint="eastAsia" w:ascii="宋体" w:hAnsi="宋体" w:eastAsia="宋体" w:cs="宋体"/>
          <w:color w:val="0D12E9"/>
          <w:sz w:val="22"/>
          <w:szCs w:val="22"/>
        </w:rPr>
      </w:pPr>
      <w:r>
        <w:rPr>
          <w:rStyle w:val="252"/>
          <w:rFonts w:hint="eastAsia" w:ascii="宋体" w:hAnsi="宋体" w:eastAsia="宋体" w:cs="宋体"/>
          <w:color w:val="0D12E9"/>
          <w:sz w:val="22"/>
          <w:szCs w:val="22"/>
        </w:rPr>
        <w:t>备注：</w:t>
      </w:r>
    </w:p>
    <w:p>
      <w:pPr>
        <w:pStyle w:val="53"/>
        <w:spacing w:after="0" w:line="480" w:lineRule="exact"/>
        <w:ind w:firstLine="440"/>
        <w:rPr>
          <w:rStyle w:val="252"/>
          <w:rFonts w:hint="eastAsia" w:ascii="宋体" w:hAnsi="宋体" w:eastAsia="宋体" w:cs="宋体"/>
          <w:color w:val="0D12E9"/>
          <w:sz w:val="22"/>
          <w:szCs w:val="22"/>
        </w:rPr>
      </w:pPr>
      <w:r>
        <w:rPr>
          <w:rStyle w:val="252"/>
          <w:rFonts w:hint="eastAsia" w:ascii="宋体" w:hAnsi="宋体" w:eastAsia="宋体" w:cs="宋体"/>
          <w:color w:val="0D12E9"/>
          <w:sz w:val="22"/>
          <w:szCs w:val="22"/>
        </w:rPr>
        <w:t>（1）中标人应按招标人要求出具符合国家税务规定的合法有效的增值税专用发票，并确保开具发票的真实性、合法性、有效性（发票，必须保持票面干净、整洁、无折痕，发票的正反两面均不能留下任何脏、乱及签字的痕迹）；如税率发生变化，结算以中标不含税价款为依据，按国家税收政策计算以及相应造价管理部门的造价管理办法进行结算。</w:t>
      </w:r>
    </w:p>
    <w:p>
      <w:pPr>
        <w:pStyle w:val="53"/>
        <w:spacing w:after="0" w:line="480" w:lineRule="exact"/>
        <w:ind w:firstLine="440"/>
        <w:rPr>
          <w:rStyle w:val="252"/>
          <w:rFonts w:hint="eastAsia" w:ascii="宋体" w:hAnsi="宋体" w:eastAsia="宋体" w:cs="宋体"/>
          <w:color w:val="0D12E9"/>
          <w:sz w:val="22"/>
          <w:szCs w:val="22"/>
        </w:rPr>
      </w:pPr>
      <w:r>
        <w:rPr>
          <w:rStyle w:val="252"/>
          <w:rFonts w:hint="eastAsia" w:ascii="宋体" w:hAnsi="宋体" w:eastAsia="宋体" w:cs="宋体"/>
          <w:color w:val="0D12E9"/>
          <w:sz w:val="22"/>
          <w:szCs w:val="22"/>
        </w:rPr>
        <w:t>（2）投标人承诺延长免费质保期时间的，免费质保期以承诺为准。</w:t>
      </w:r>
    </w:p>
    <w:p>
      <w:pPr>
        <w:spacing w:line="480" w:lineRule="exact"/>
        <w:ind w:firstLine="220" w:firstLineChars="100"/>
        <w:jc w:val="left"/>
        <w:textAlignment w:val="baseline"/>
        <w:rPr>
          <w:rStyle w:val="252"/>
          <w:rFonts w:hint="eastAsia" w:ascii="宋体" w:hAnsi="宋体" w:cs="宋体"/>
          <w:color w:val="000000"/>
          <w:sz w:val="22"/>
          <w:szCs w:val="22"/>
        </w:rPr>
      </w:pPr>
      <w:r>
        <w:rPr>
          <w:rStyle w:val="252"/>
          <w:rFonts w:hint="eastAsia" w:ascii="宋体" w:hAnsi="宋体" w:cs="宋体"/>
          <w:color w:val="000000"/>
          <w:sz w:val="22"/>
          <w:szCs w:val="22"/>
        </w:rPr>
        <w:t xml:space="preserve">7、履行协议期间，如果发现中标人提供了虚假信息，甲方还将追究中标人的法律责任，中标人须赔偿甲方直接和间接的所有损失。 </w:t>
      </w:r>
    </w:p>
    <w:p>
      <w:pPr>
        <w:spacing w:line="480" w:lineRule="exact"/>
        <w:ind w:firstLine="220" w:firstLineChars="100"/>
        <w:rPr>
          <w:rFonts w:hint="eastAsia" w:ascii="宋体" w:hAnsi="宋体" w:cs="宋体"/>
          <w:b/>
          <w:sz w:val="22"/>
          <w:szCs w:val="22"/>
        </w:rPr>
      </w:pPr>
      <w:r>
        <w:rPr>
          <w:rStyle w:val="252"/>
          <w:rFonts w:hint="eastAsia" w:ascii="宋体" w:hAnsi="宋体" w:cs="宋体"/>
          <w:color w:val="000000"/>
          <w:sz w:val="22"/>
          <w:szCs w:val="22"/>
        </w:rPr>
        <w:t>8、无论在任何情况下，如果本项目的要求和实施内容与国家法律法规、政策或甲方上级部门文件等不一致，双方按照国家法律法规、政策或甲方上级部门文件等执行，甲方不承担相应的责任。</w:t>
      </w:r>
    </w:p>
    <w:p>
      <w:pPr>
        <w:rPr>
          <w:rFonts w:eastAsia="黑体"/>
          <w:b/>
        </w:rPr>
      </w:pPr>
    </w:p>
    <w:p>
      <w:pPr>
        <w:rPr>
          <w:rFonts w:eastAsia="黑体"/>
          <w:b/>
        </w:rPr>
      </w:pPr>
    </w:p>
    <w:p>
      <w:pPr>
        <w:rPr>
          <w:rFonts w:eastAsia="黑体"/>
          <w:b/>
        </w:rPr>
      </w:pPr>
    </w:p>
    <w:p>
      <w:pPr>
        <w:rPr>
          <w:rFonts w:eastAsia="黑体"/>
          <w:b/>
        </w:rPr>
      </w:pPr>
    </w:p>
    <w:p>
      <w:pPr>
        <w:rPr>
          <w:rFonts w:eastAsia="黑体"/>
          <w:b/>
        </w:rPr>
      </w:pPr>
    </w:p>
    <w:p>
      <w:pPr>
        <w:rPr>
          <w:rFonts w:eastAsia="黑体"/>
          <w:b/>
        </w:rPr>
      </w:pPr>
    </w:p>
    <w:p>
      <w:pPr>
        <w:rPr>
          <w:rFonts w:eastAsia="黑体"/>
          <w:b/>
        </w:rPr>
      </w:pPr>
    </w:p>
    <w:p>
      <w:pPr>
        <w:rPr>
          <w:rFonts w:eastAsia="黑体"/>
          <w:b/>
        </w:rPr>
      </w:pPr>
    </w:p>
    <w:p>
      <w:pPr>
        <w:rPr>
          <w:rFonts w:eastAsia="黑体"/>
          <w:b/>
        </w:rPr>
      </w:pPr>
    </w:p>
    <w:p>
      <w:pPr>
        <w:rPr>
          <w:rFonts w:eastAsia="黑体"/>
          <w:b/>
        </w:rPr>
      </w:pPr>
    </w:p>
    <w:p>
      <w:pPr>
        <w:rPr>
          <w:rFonts w:eastAsia="黑体"/>
          <w:b/>
        </w:rPr>
      </w:pPr>
    </w:p>
    <w:p>
      <w:pPr>
        <w:rPr>
          <w:rFonts w:eastAsia="黑体"/>
          <w:b/>
        </w:rPr>
      </w:pPr>
    </w:p>
    <w:p>
      <w:pPr>
        <w:rPr>
          <w:rFonts w:eastAsia="黑体"/>
          <w:b/>
        </w:rPr>
      </w:pPr>
    </w:p>
    <w:p>
      <w:pPr>
        <w:rPr>
          <w:rFonts w:eastAsia="黑体"/>
          <w:b/>
        </w:rPr>
      </w:pPr>
    </w:p>
    <w:p>
      <w:pPr>
        <w:rPr>
          <w:rFonts w:eastAsia="黑体"/>
          <w:b/>
        </w:rPr>
      </w:pPr>
    </w:p>
    <w:p>
      <w:pPr>
        <w:rPr>
          <w:rFonts w:eastAsia="黑体"/>
          <w:b/>
        </w:rPr>
      </w:pPr>
    </w:p>
    <w:p>
      <w:pPr>
        <w:rPr>
          <w:rFonts w:eastAsia="黑体"/>
          <w:b/>
        </w:rPr>
      </w:pPr>
    </w:p>
    <w:p>
      <w:pPr>
        <w:rPr>
          <w:rFonts w:eastAsia="黑体"/>
          <w:b/>
        </w:rPr>
      </w:pPr>
    </w:p>
    <w:p>
      <w:pPr>
        <w:rPr>
          <w:rFonts w:eastAsia="黑体"/>
          <w:b/>
        </w:rPr>
      </w:pPr>
    </w:p>
    <w:p>
      <w:pPr>
        <w:rPr>
          <w:rFonts w:eastAsia="黑体"/>
          <w:b/>
        </w:rPr>
      </w:pPr>
    </w:p>
    <w:p>
      <w:pPr>
        <w:rPr>
          <w:rFonts w:eastAsia="黑体"/>
          <w:b/>
        </w:rPr>
      </w:pPr>
    </w:p>
    <w:p>
      <w:pPr>
        <w:rPr>
          <w:rFonts w:eastAsia="黑体"/>
          <w:b/>
        </w:rPr>
      </w:pPr>
    </w:p>
    <w:p>
      <w:pPr>
        <w:rPr>
          <w:rFonts w:eastAsia="黑体"/>
          <w:b/>
        </w:rPr>
      </w:pPr>
    </w:p>
    <w:p>
      <w:pPr>
        <w:keepNext/>
        <w:keepLines/>
        <w:spacing w:line="360" w:lineRule="auto"/>
        <w:ind w:firstLine="420"/>
        <w:jc w:val="center"/>
        <w:outlineLvl w:val="0"/>
        <w:rPr>
          <w:rFonts w:hint="eastAsia" w:eastAsia="黑体"/>
          <w:bCs/>
          <w:kern w:val="44"/>
          <w:sz w:val="32"/>
          <w:szCs w:val="44"/>
        </w:rPr>
        <w:sectPr>
          <w:footerReference r:id="rId11" w:type="default"/>
          <w:headerReference r:id="rId10" w:type="even"/>
          <w:footerReference r:id="rId12" w:type="even"/>
          <w:footnotePr>
            <w:numFmt w:val="decimalEnclosedCircleChinese"/>
            <w:numRestart w:val="eachPage"/>
          </w:footnotePr>
          <w:pgSz w:w="11907" w:h="16840"/>
          <w:pgMar w:top="1474" w:right="1474" w:bottom="1474" w:left="1474" w:header="799" w:footer="907" w:gutter="0"/>
          <w:cols w:space="720" w:num="1"/>
          <w:docGrid w:linePitch="271" w:charSpace="0"/>
        </w:sectPr>
      </w:pPr>
      <w:bookmarkStart w:id="423" w:name="_Toc26781118"/>
    </w:p>
    <w:p>
      <w:pPr>
        <w:keepNext/>
        <w:keepLines/>
        <w:spacing w:line="360" w:lineRule="auto"/>
        <w:ind w:firstLine="420"/>
        <w:jc w:val="center"/>
        <w:outlineLvl w:val="0"/>
        <w:rPr>
          <w:rFonts w:hint="eastAsia" w:eastAsia="黑体"/>
          <w:bCs/>
          <w:kern w:val="44"/>
          <w:sz w:val="32"/>
          <w:szCs w:val="44"/>
        </w:rPr>
      </w:pPr>
      <w:r>
        <w:rPr>
          <w:rFonts w:hint="eastAsia" w:eastAsia="黑体"/>
          <w:bCs/>
          <w:kern w:val="44"/>
          <w:sz w:val="32"/>
          <w:szCs w:val="44"/>
        </w:rPr>
        <w:t>第六章  投标文件格式</w:t>
      </w:r>
      <w:bookmarkEnd w:id="423"/>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28"/>
          <w:szCs w:val="28"/>
        </w:rPr>
      </w:pPr>
      <w:r>
        <w:rPr>
          <w:rFonts w:hint="eastAsia"/>
          <w:sz w:val="28"/>
          <w:szCs w:val="28"/>
          <w:u w:val="single"/>
        </w:rPr>
        <w:t xml:space="preserve">                       </w:t>
      </w:r>
      <w:r>
        <w:rPr>
          <w:rFonts w:hint="eastAsia"/>
          <w:sz w:val="28"/>
          <w:szCs w:val="28"/>
        </w:rPr>
        <w:t>（项目名称）</w:t>
      </w:r>
    </w:p>
    <w:p>
      <w:pPr>
        <w:jc w:val="center"/>
        <w:rPr>
          <w:rFonts w:hint="eastAsia" w:eastAsia="黑体"/>
          <w:sz w:val="28"/>
          <w:szCs w:val="28"/>
        </w:rPr>
      </w:pPr>
    </w:p>
    <w:p>
      <w:pPr>
        <w:pStyle w:val="3"/>
        <w:jc w:val="center"/>
        <w:rPr>
          <w:rFonts w:hint="eastAsia" w:ascii="Times New Roman" w:hAnsi="Times New Roman" w:eastAsia="黑体"/>
          <w:b w:val="0"/>
          <w:sz w:val="44"/>
          <w:szCs w:val="44"/>
        </w:rPr>
      </w:pPr>
      <w:bookmarkStart w:id="424" w:name="_Toc26781119"/>
      <w:r>
        <w:rPr>
          <w:rFonts w:hint="eastAsia" w:ascii="Times New Roman" w:hAnsi="Times New Roman" w:eastAsia="黑体"/>
          <w:b w:val="0"/>
          <w:sz w:val="44"/>
          <w:szCs w:val="44"/>
        </w:rPr>
        <w:t>投标文件</w:t>
      </w:r>
    </w:p>
    <w:p>
      <w:pPr>
        <w:pStyle w:val="3"/>
        <w:jc w:val="center"/>
        <w:rPr>
          <w:rFonts w:hint="eastAsia" w:ascii="Times New Roman" w:hAnsi="Times New Roman" w:eastAsia="黑体"/>
          <w:b w:val="0"/>
        </w:rPr>
      </w:pPr>
      <w:r>
        <w:rPr>
          <w:rFonts w:hint="eastAsia" w:ascii="Times New Roman" w:hAnsi="Times New Roman" w:eastAsia="黑体"/>
          <w:b w:val="0"/>
        </w:rPr>
        <w:t>（商务及技术文件）</w:t>
      </w:r>
      <w:bookmarkEnd w:id="424"/>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spacing w:line="360" w:lineRule="auto"/>
        <w:jc w:val="center"/>
        <w:rPr>
          <w:rFonts w:hint="eastAsia" w:eastAsia="黑体"/>
          <w:sz w:val="28"/>
          <w:szCs w:val="28"/>
        </w:rPr>
      </w:pPr>
      <w:r>
        <w:rPr>
          <w:rFonts w:hint="eastAsia" w:eastAsia="黑体"/>
          <w:sz w:val="28"/>
          <w:szCs w:val="28"/>
        </w:rPr>
        <w:t>投标人：</w:t>
      </w:r>
      <w:r>
        <w:rPr>
          <w:rFonts w:hint="eastAsia" w:eastAsia="黑体"/>
          <w:sz w:val="28"/>
          <w:szCs w:val="28"/>
          <w:u w:val="single"/>
        </w:rPr>
        <w:t xml:space="preserve">                               </w:t>
      </w:r>
      <w:r>
        <w:rPr>
          <w:rFonts w:hint="eastAsia" w:eastAsia="黑体"/>
          <w:sz w:val="28"/>
          <w:szCs w:val="28"/>
        </w:rPr>
        <w:t>（盖单位章）</w:t>
      </w:r>
    </w:p>
    <w:p>
      <w:pPr>
        <w:spacing w:line="360" w:lineRule="auto"/>
        <w:jc w:val="center"/>
        <w:rPr>
          <w:rFonts w:hint="eastAsia" w:eastAsia="黑体"/>
          <w:sz w:val="28"/>
          <w:szCs w:val="28"/>
        </w:rPr>
      </w:pPr>
    </w:p>
    <w:p>
      <w:pPr>
        <w:jc w:val="center"/>
        <w:rPr>
          <w:rFonts w:hint="eastAsia" w:eastAsia="黑体"/>
          <w:sz w:val="28"/>
          <w:szCs w:val="28"/>
        </w:rPr>
      </w:pPr>
      <w:r>
        <w:rPr>
          <w:rFonts w:hint="eastAsia" w:eastAsia="黑体"/>
          <w:sz w:val="28"/>
          <w:szCs w:val="28"/>
          <w:u w:val="single"/>
        </w:rPr>
        <w:t xml:space="preserve">         </w:t>
      </w:r>
      <w:r>
        <w:rPr>
          <w:rFonts w:hint="eastAsia" w:eastAsia="黑体"/>
          <w:sz w:val="28"/>
          <w:szCs w:val="28"/>
        </w:rPr>
        <w:t>年</w:t>
      </w:r>
      <w:r>
        <w:rPr>
          <w:rFonts w:hint="eastAsia" w:eastAsia="黑体"/>
          <w:sz w:val="28"/>
          <w:szCs w:val="28"/>
          <w:u w:val="single"/>
        </w:rPr>
        <w:t xml:space="preserve">         </w:t>
      </w:r>
      <w:r>
        <w:rPr>
          <w:rFonts w:hint="eastAsia" w:eastAsia="黑体"/>
          <w:sz w:val="28"/>
          <w:szCs w:val="28"/>
        </w:rPr>
        <w:t>月</w:t>
      </w:r>
      <w:r>
        <w:rPr>
          <w:rFonts w:hint="eastAsia" w:eastAsia="黑体"/>
          <w:sz w:val="28"/>
          <w:szCs w:val="28"/>
          <w:u w:val="single"/>
        </w:rPr>
        <w:t xml:space="preserve">         </w:t>
      </w:r>
      <w:r>
        <w:rPr>
          <w:rFonts w:hint="eastAsia" w:eastAsia="黑体"/>
          <w:sz w:val="28"/>
          <w:szCs w:val="28"/>
        </w:rPr>
        <w:t>日</w:t>
      </w:r>
    </w:p>
    <w:p>
      <w:pPr>
        <w:jc w:val="center"/>
        <w:rPr>
          <w:b/>
          <w:sz w:val="32"/>
          <w:szCs w:val="32"/>
        </w:rPr>
      </w:pPr>
      <w:r>
        <w:rPr>
          <w:rFonts w:eastAsia="黑体"/>
          <w:sz w:val="28"/>
          <w:szCs w:val="28"/>
        </w:rPr>
        <w:br w:type="page"/>
      </w:r>
      <w:bookmarkStart w:id="425" w:name="_Toc530142180"/>
      <w:bookmarkStart w:id="426" w:name="_Toc524462521"/>
      <w:bookmarkStart w:id="427" w:name="_Toc26698181"/>
      <w:bookmarkStart w:id="428" w:name="_Toc479262713"/>
      <w:r>
        <w:rPr>
          <w:rFonts w:hint="eastAsia"/>
          <w:b/>
          <w:sz w:val="32"/>
          <w:szCs w:val="32"/>
        </w:rPr>
        <w:t>评审因素索引表</w:t>
      </w:r>
      <w:bookmarkEnd w:id="425"/>
      <w:bookmarkEnd w:id="426"/>
      <w:bookmarkEnd w:id="427"/>
      <w:bookmarkEnd w:id="428"/>
    </w:p>
    <w:p>
      <w:pPr>
        <w:jc w:val="center"/>
        <w:rPr>
          <w:sz w:val="24"/>
        </w:rPr>
      </w:pPr>
    </w:p>
    <w:tbl>
      <w:tblPr>
        <w:tblStyle w:val="55"/>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820"/>
        <w:gridCol w:w="3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b/>
                <w:sz w:val="24"/>
              </w:rPr>
            </w:pPr>
            <w:bookmarkStart w:id="429" w:name="_Toc256695443"/>
            <w:bookmarkStart w:id="430" w:name="_Toc256691567"/>
            <w:r>
              <w:rPr>
                <w:rFonts w:hint="eastAsia"/>
                <w:b/>
                <w:sz w:val="24"/>
              </w:rPr>
              <w:t>序号</w:t>
            </w:r>
            <w:bookmarkEnd w:id="429"/>
            <w:bookmarkEnd w:id="430"/>
          </w:p>
        </w:tc>
        <w:tc>
          <w:tcPr>
            <w:tcW w:w="4820" w:type="dxa"/>
            <w:vAlign w:val="center"/>
          </w:tcPr>
          <w:p>
            <w:pPr>
              <w:jc w:val="center"/>
              <w:rPr>
                <w:b/>
                <w:sz w:val="24"/>
              </w:rPr>
            </w:pPr>
            <w:bookmarkStart w:id="431" w:name="_Toc256695444"/>
            <w:bookmarkStart w:id="432" w:name="_Toc256691568"/>
            <w:r>
              <w:rPr>
                <w:rFonts w:hint="eastAsia"/>
                <w:b/>
                <w:sz w:val="24"/>
              </w:rPr>
              <w:t>评审因素</w:t>
            </w:r>
            <w:bookmarkEnd w:id="431"/>
            <w:bookmarkEnd w:id="432"/>
          </w:p>
        </w:tc>
        <w:tc>
          <w:tcPr>
            <w:tcW w:w="3649" w:type="dxa"/>
            <w:vAlign w:val="center"/>
          </w:tcPr>
          <w:p>
            <w:pPr>
              <w:jc w:val="center"/>
              <w:rPr>
                <w:b/>
                <w:sz w:val="24"/>
              </w:rPr>
            </w:pPr>
            <w:bookmarkStart w:id="433" w:name="_Toc256695445"/>
            <w:bookmarkStart w:id="434" w:name="_Toc256691569"/>
            <w:r>
              <w:rPr>
                <w:rFonts w:hint="eastAsia"/>
                <w:b/>
                <w:sz w:val="24"/>
              </w:rPr>
              <w:t>投标文件页码范围</w:t>
            </w:r>
            <w:bookmarkEnd w:id="433"/>
            <w:bookmarkEnd w:id="43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sz w:val="24"/>
              </w:rPr>
            </w:pPr>
          </w:p>
        </w:tc>
        <w:tc>
          <w:tcPr>
            <w:tcW w:w="4820" w:type="dxa"/>
            <w:vAlign w:val="center"/>
          </w:tcPr>
          <w:p>
            <w:pPr>
              <w:jc w:val="center"/>
              <w:rPr>
                <w:sz w:val="24"/>
              </w:rPr>
            </w:pPr>
          </w:p>
        </w:tc>
        <w:tc>
          <w:tcPr>
            <w:tcW w:w="3649" w:type="dxa"/>
            <w:vAlign w:val="center"/>
          </w:tcPr>
          <w:p>
            <w:pPr>
              <w:jc w:val="center"/>
              <w:rPr>
                <w:sz w:val="24"/>
              </w:rPr>
            </w:pPr>
            <w:bookmarkStart w:id="435" w:name="_Toc256691570"/>
            <w:bookmarkStart w:id="436" w:name="_Toc256695446"/>
            <w:r>
              <w:rPr>
                <w:rFonts w:hint="eastAsia"/>
                <w:sz w:val="24"/>
              </w:rPr>
              <w:t>P</w:t>
            </w:r>
            <w:r>
              <w:rPr>
                <w:rFonts w:hint="eastAsia"/>
                <w:sz w:val="24"/>
                <w:u w:val="single"/>
              </w:rPr>
              <w:t xml:space="preserve">     </w:t>
            </w:r>
            <w:r>
              <w:rPr>
                <w:rFonts w:hint="eastAsia"/>
                <w:sz w:val="24"/>
              </w:rPr>
              <w:t>---  P</w:t>
            </w:r>
            <w:bookmarkEnd w:id="435"/>
            <w:bookmarkEnd w:id="436"/>
            <w:r>
              <w:rPr>
                <w:rFonts w:hint="eastAsia"/>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sz w:val="28"/>
                <w:szCs w:val="28"/>
              </w:rPr>
            </w:pPr>
          </w:p>
        </w:tc>
        <w:tc>
          <w:tcPr>
            <w:tcW w:w="4820" w:type="dxa"/>
            <w:vAlign w:val="center"/>
          </w:tcPr>
          <w:p>
            <w:pPr>
              <w:jc w:val="center"/>
              <w:rPr>
                <w:sz w:val="28"/>
                <w:szCs w:val="28"/>
              </w:rPr>
            </w:pPr>
          </w:p>
        </w:tc>
        <w:tc>
          <w:tcPr>
            <w:tcW w:w="3649" w:type="dxa"/>
            <w:vAlign w:val="center"/>
          </w:tcPr>
          <w:p>
            <w:pPr>
              <w:jc w:val="center"/>
              <w:rPr>
                <w:sz w:val="24"/>
              </w:rPr>
            </w:pPr>
            <w:bookmarkStart w:id="437" w:name="_Toc256695447"/>
            <w:bookmarkStart w:id="438" w:name="_Toc256691571"/>
            <w:r>
              <w:rPr>
                <w:rFonts w:hint="eastAsia"/>
                <w:sz w:val="24"/>
              </w:rPr>
              <w:t>P</w:t>
            </w:r>
            <w:r>
              <w:rPr>
                <w:rFonts w:hint="eastAsia"/>
                <w:sz w:val="24"/>
                <w:u w:val="single"/>
              </w:rPr>
              <w:t xml:space="preserve">      </w:t>
            </w:r>
            <w:r>
              <w:rPr>
                <w:rFonts w:hint="eastAsia"/>
                <w:sz w:val="24"/>
              </w:rPr>
              <w:t>---  P</w:t>
            </w:r>
            <w:bookmarkEnd w:id="437"/>
            <w:bookmarkEnd w:id="438"/>
            <w:r>
              <w:rPr>
                <w:rFonts w:hint="eastAsia"/>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sz w:val="28"/>
                <w:szCs w:val="28"/>
              </w:rPr>
            </w:pPr>
          </w:p>
        </w:tc>
        <w:tc>
          <w:tcPr>
            <w:tcW w:w="4820" w:type="dxa"/>
            <w:vAlign w:val="center"/>
          </w:tcPr>
          <w:p>
            <w:pPr>
              <w:jc w:val="center"/>
              <w:rPr>
                <w:sz w:val="28"/>
                <w:szCs w:val="28"/>
              </w:rPr>
            </w:pPr>
          </w:p>
        </w:tc>
        <w:tc>
          <w:tcPr>
            <w:tcW w:w="3649" w:type="dxa"/>
            <w:vAlign w:val="center"/>
          </w:tcPr>
          <w:p>
            <w:pPr>
              <w:jc w:val="center"/>
              <w:rPr>
                <w:sz w:val="24"/>
              </w:rPr>
            </w:pPr>
            <w:bookmarkStart w:id="439" w:name="_Toc256695448"/>
            <w:bookmarkStart w:id="440" w:name="_Toc256691572"/>
            <w:r>
              <w:rPr>
                <w:rFonts w:hint="eastAsia"/>
                <w:sz w:val="24"/>
              </w:rPr>
              <w:t>P</w:t>
            </w:r>
            <w:r>
              <w:rPr>
                <w:rFonts w:hint="eastAsia"/>
                <w:sz w:val="24"/>
                <w:u w:val="single"/>
              </w:rPr>
              <w:t xml:space="preserve">      </w:t>
            </w:r>
            <w:r>
              <w:rPr>
                <w:rFonts w:hint="eastAsia"/>
                <w:sz w:val="24"/>
              </w:rPr>
              <w:t>---  P</w:t>
            </w:r>
            <w:bookmarkEnd w:id="439"/>
            <w:bookmarkEnd w:id="440"/>
            <w:r>
              <w:rPr>
                <w:rFonts w:hint="eastAsia"/>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sz w:val="28"/>
                <w:szCs w:val="28"/>
              </w:rPr>
            </w:pPr>
          </w:p>
        </w:tc>
        <w:tc>
          <w:tcPr>
            <w:tcW w:w="4820" w:type="dxa"/>
            <w:vAlign w:val="center"/>
          </w:tcPr>
          <w:p>
            <w:pPr>
              <w:jc w:val="center"/>
              <w:rPr>
                <w:sz w:val="28"/>
                <w:szCs w:val="28"/>
              </w:rPr>
            </w:pPr>
          </w:p>
        </w:tc>
        <w:tc>
          <w:tcPr>
            <w:tcW w:w="3649" w:type="dxa"/>
            <w:vAlign w:val="center"/>
          </w:tcPr>
          <w:p>
            <w:pPr>
              <w:jc w:val="center"/>
              <w:rPr>
                <w:sz w:val="24"/>
              </w:rPr>
            </w:pPr>
            <w:bookmarkStart w:id="441" w:name="_Toc256695449"/>
            <w:bookmarkStart w:id="442" w:name="_Toc256691573"/>
            <w:r>
              <w:rPr>
                <w:rFonts w:hint="eastAsia"/>
                <w:sz w:val="24"/>
              </w:rPr>
              <w:t>P</w:t>
            </w:r>
            <w:r>
              <w:rPr>
                <w:rFonts w:hint="eastAsia"/>
                <w:sz w:val="24"/>
                <w:u w:val="single"/>
              </w:rPr>
              <w:t xml:space="preserve">      </w:t>
            </w:r>
            <w:r>
              <w:rPr>
                <w:rFonts w:hint="eastAsia"/>
                <w:sz w:val="24"/>
              </w:rPr>
              <w:t>---  P</w:t>
            </w:r>
            <w:bookmarkEnd w:id="441"/>
            <w:bookmarkEnd w:id="442"/>
            <w:r>
              <w:rPr>
                <w:rFonts w:hint="eastAsia"/>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sz w:val="28"/>
                <w:szCs w:val="28"/>
              </w:rPr>
            </w:pPr>
          </w:p>
        </w:tc>
        <w:tc>
          <w:tcPr>
            <w:tcW w:w="4820" w:type="dxa"/>
            <w:vAlign w:val="center"/>
          </w:tcPr>
          <w:p>
            <w:pPr>
              <w:jc w:val="center"/>
              <w:rPr>
                <w:sz w:val="28"/>
                <w:szCs w:val="28"/>
              </w:rPr>
            </w:pPr>
          </w:p>
        </w:tc>
        <w:tc>
          <w:tcPr>
            <w:tcW w:w="3649" w:type="dxa"/>
            <w:vAlign w:val="center"/>
          </w:tcPr>
          <w:p>
            <w:pPr>
              <w:jc w:val="center"/>
              <w:rPr>
                <w:sz w:val="24"/>
              </w:rPr>
            </w:pPr>
            <w:bookmarkStart w:id="443" w:name="_Toc256691574"/>
            <w:bookmarkStart w:id="444" w:name="_Toc256695450"/>
            <w:r>
              <w:rPr>
                <w:rFonts w:hint="eastAsia"/>
                <w:sz w:val="24"/>
              </w:rPr>
              <w:t>P</w:t>
            </w:r>
            <w:r>
              <w:rPr>
                <w:rFonts w:hint="eastAsia"/>
                <w:sz w:val="24"/>
                <w:u w:val="single"/>
              </w:rPr>
              <w:t xml:space="preserve">      </w:t>
            </w:r>
            <w:r>
              <w:rPr>
                <w:rFonts w:hint="eastAsia"/>
                <w:sz w:val="24"/>
              </w:rPr>
              <w:t>---  P</w:t>
            </w:r>
            <w:bookmarkEnd w:id="443"/>
            <w:bookmarkEnd w:id="444"/>
            <w:r>
              <w:rPr>
                <w:rFonts w:hint="eastAsia"/>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sz w:val="28"/>
                <w:szCs w:val="28"/>
              </w:rPr>
            </w:pPr>
          </w:p>
        </w:tc>
        <w:tc>
          <w:tcPr>
            <w:tcW w:w="4820" w:type="dxa"/>
            <w:vAlign w:val="center"/>
          </w:tcPr>
          <w:p>
            <w:pPr>
              <w:jc w:val="center"/>
              <w:rPr>
                <w:sz w:val="28"/>
                <w:szCs w:val="28"/>
              </w:rPr>
            </w:pPr>
          </w:p>
        </w:tc>
        <w:tc>
          <w:tcPr>
            <w:tcW w:w="3649" w:type="dxa"/>
            <w:vAlign w:val="center"/>
          </w:tcPr>
          <w:p>
            <w:pPr>
              <w:jc w:val="center"/>
              <w:rPr>
                <w:sz w:val="24"/>
              </w:rPr>
            </w:pPr>
            <w:bookmarkStart w:id="445" w:name="_Toc256691575"/>
            <w:bookmarkStart w:id="446" w:name="_Toc256695451"/>
            <w:r>
              <w:rPr>
                <w:rFonts w:hint="eastAsia"/>
                <w:sz w:val="24"/>
              </w:rPr>
              <w:t>P</w:t>
            </w:r>
            <w:r>
              <w:rPr>
                <w:rFonts w:hint="eastAsia"/>
                <w:sz w:val="24"/>
                <w:u w:val="single"/>
              </w:rPr>
              <w:t xml:space="preserve">      </w:t>
            </w:r>
            <w:r>
              <w:rPr>
                <w:rFonts w:hint="eastAsia"/>
                <w:sz w:val="24"/>
              </w:rPr>
              <w:t>---  P</w:t>
            </w:r>
            <w:bookmarkEnd w:id="445"/>
            <w:bookmarkEnd w:id="446"/>
            <w:r>
              <w:rPr>
                <w:rFonts w:hint="eastAsia"/>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sz w:val="28"/>
                <w:szCs w:val="28"/>
              </w:rPr>
            </w:pPr>
          </w:p>
        </w:tc>
        <w:tc>
          <w:tcPr>
            <w:tcW w:w="4820" w:type="dxa"/>
            <w:vAlign w:val="center"/>
          </w:tcPr>
          <w:p>
            <w:pPr>
              <w:jc w:val="center"/>
              <w:rPr>
                <w:sz w:val="28"/>
                <w:szCs w:val="28"/>
              </w:rPr>
            </w:pPr>
          </w:p>
        </w:tc>
        <w:tc>
          <w:tcPr>
            <w:tcW w:w="3649" w:type="dxa"/>
            <w:vAlign w:val="center"/>
          </w:tcPr>
          <w:p>
            <w:pPr>
              <w:jc w:val="center"/>
              <w:rPr>
                <w:sz w:val="24"/>
              </w:rPr>
            </w:pPr>
            <w:bookmarkStart w:id="447" w:name="_Toc256691576"/>
            <w:bookmarkStart w:id="448" w:name="_Toc256695452"/>
            <w:r>
              <w:rPr>
                <w:rFonts w:hint="eastAsia"/>
                <w:sz w:val="24"/>
              </w:rPr>
              <w:t>P</w:t>
            </w:r>
            <w:r>
              <w:rPr>
                <w:rFonts w:hint="eastAsia"/>
                <w:sz w:val="24"/>
                <w:u w:val="single"/>
              </w:rPr>
              <w:t xml:space="preserve">      </w:t>
            </w:r>
            <w:r>
              <w:rPr>
                <w:rFonts w:hint="eastAsia"/>
                <w:sz w:val="24"/>
              </w:rPr>
              <w:t>---  P</w:t>
            </w:r>
            <w:bookmarkEnd w:id="447"/>
            <w:bookmarkEnd w:id="448"/>
            <w:r>
              <w:rPr>
                <w:rFonts w:hint="eastAsia"/>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sz w:val="28"/>
                <w:szCs w:val="28"/>
              </w:rPr>
            </w:pPr>
          </w:p>
        </w:tc>
        <w:tc>
          <w:tcPr>
            <w:tcW w:w="4820" w:type="dxa"/>
            <w:vAlign w:val="center"/>
          </w:tcPr>
          <w:p>
            <w:pPr>
              <w:jc w:val="center"/>
              <w:rPr>
                <w:sz w:val="28"/>
                <w:szCs w:val="28"/>
              </w:rPr>
            </w:pPr>
          </w:p>
        </w:tc>
        <w:tc>
          <w:tcPr>
            <w:tcW w:w="3649" w:type="dxa"/>
            <w:vAlign w:val="center"/>
          </w:tcPr>
          <w:p>
            <w:pPr>
              <w:jc w:val="center"/>
              <w:rPr>
                <w:sz w:val="24"/>
              </w:rPr>
            </w:pPr>
            <w:bookmarkStart w:id="449" w:name="_Toc256695453"/>
            <w:bookmarkStart w:id="450" w:name="_Toc256691577"/>
            <w:r>
              <w:rPr>
                <w:rFonts w:hint="eastAsia"/>
                <w:sz w:val="24"/>
              </w:rPr>
              <w:t>P</w:t>
            </w:r>
            <w:r>
              <w:rPr>
                <w:rFonts w:hint="eastAsia"/>
                <w:sz w:val="24"/>
                <w:u w:val="single"/>
              </w:rPr>
              <w:t xml:space="preserve">      </w:t>
            </w:r>
            <w:r>
              <w:rPr>
                <w:rFonts w:hint="eastAsia"/>
                <w:sz w:val="24"/>
              </w:rPr>
              <w:t>---  P</w:t>
            </w:r>
            <w:bookmarkEnd w:id="449"/>
            <w:bookmarkEnd w:id="450"/>
            <w:r>
              <w:rPr>
                <w:rFonts w:hint="eastAsia"/>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sz w:val="28"/>
                <w:szCs w:val="28"/>
              </w:rPr>
            </w:pPr>
          </w:p>
        </w:tc>
        <w:tc>
          <w:tcPr>
            <w:tcW w:w="4820" w:type="dxa"/>
            <w:vAlign w:val="center"/>
          </w:tcPr>
          <w:p>
            <w:pPr>
              <w:jc w:val="center"/>
              <w:rPr>
                <w:sz w:val="28"/>
                <w:szCs w:val="28"/>
              </w:rPr>
            </w:pPr>
          </w:p>
        </w:tc>
        <w:tc>
          <w:tcPr>
            <w:tcW w:w="3649" w:type="dxa"/>
            <w:vAlign w:val="center"/>
          </w:tcPr>
          <w:p>
            <w:pPr>
              <w:jc w:val="center"/>
              <w:rPr>
                <w:sz w:val="24"/>
              </w:rPr>
            </w:pPr>
            <w:bookmarkStart w:id="451" w:name="_Toc256691578"/>
            <w:bookmarkStart w:id="452" w:name="_Toc256695454"/>
            <w:r>
              <w:rPr>
                <w:rFonts w:hint="eastAsia"/>
                <w:sz w:val="24"/>
              </w:rPr>
              <w:t>P</w:t>
            </w:r>
            <w:r>
              <w:rPr>
                <w:rFonts w:hint="eastAsia"/>
                <w:sz w:val="24"/>
                <w:u w:val="single"/>
              </w:rPr>
              <w:t xml:space="preserve">      </w:t>
            </w:r>
            <w:r>
              <w:rPr>
                <w:rFonts w:hint="eastAsia"/>
                <w:sz w:val="24"/>
              </w:rPr>
              <w:t>---  P</w:t>
            </w:r>
            <w:bookmarkEnd w:id="451"/>
            <w:bookmarkEnd w:id="452"/>
            <w:r>
              <w:rPr>
                <w:rFonts w:hint="eastAsia"/>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sz w:val="28"/>
                <w:szCs w:val="28"/>
              </w:rPr>
            </w:pPr>
          </w:p>
        </w:tc>
        <w:tc>
          <w:tcPr>
            <w:tcW w:w="4820" w:type="dxa"/>
            <w:vAlign w:val="center"/>
          </w:tcPr>
          <w:p>
            <w:pPr>
              <w:jc w:val="center"/>
              <w:rPr>
                <w:sz w:val="28"/>
                <w:szCs w:val="28"/>
              </w:rPr>
            </w:pPr>
          </w:p>
        </w:tc>
        <w:tc>
          <w:tcPr>
            <w:tcW w:w="3649" w:type="dxa"/>
            <w:vAlign w:val="center"/>
          </w:tcPr>
          <w:p>
            <w:pPr>
              <w:jc w:val="center"/>
              <w:rPr>
                <w:sz w:val="24"/>
              </w:rPr>
            </w:pPr>
            <w:bookmarkStart w:id="453" w:name="_Toc256691579"/>
            <w:bookmarkStart w:id="454" w:name="_Toc256695455"/>
            <w:r>
              <w:rPr>
                <w:rFonts w:hint="eastAsia"/>
                <w:sz w:val="24"/>
              </w:rPr>
              <w:t>P</w:t>
            </w:r>
            <w:r>
              <w:rPr>
                <w:rFonts w:hint="eastAsia"/>
                <w:sz w:val="24"/>
                <w:u w:val="single"/>
              </w:rPr>
              <w:t xml:space="preserve">      </w:t>
            </w:r>
            <w:r>
              <w:rPr>
                <w:rFonts w:hint="eastAsia"/>
                <w:sz w:val="24"/>
              </w:rPr>
              <w:t>---  P</w:t>
            </w:r>
            <w:bookmarkEnd w:id="453"/>
            <w:bookmarkEnd w:id="454"/>
            <w:r>
              <w:rPr>
                <w:rFonts w:hint="eastAsia"/>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sz w:val="28"/>
                <w:szCs w:val="28"/>
              </w:rPr>
            </w:pPr>
          </w:p>
        </w:tc>
        <w:tc>
          <w:tcPr>
            <w:tcW w:w="4820" w:type="dxa"/>
            <w:vAlign w:val="center"/>
          </w:tcPr>
          <w:p>
            <w:pPr>
              <w:jc w:val="center"/>
              <w:rPr>
                <w:sz w:val="28"/>
                <w:szCs w:val="28"/>
              </w:rPr>
            </w:pPr>
          </w:p>
        </w:tc>
        <w:tc>
          <w:tcPr>
            <w:tcW w:w="3649" w:type="dxa"/>
            <w:vAlign w:val="center"/>
          </w:tcPr>
          <w:p>
            <w:pPr>
              <w:jc w:val="center"/>
              <w:rPr>
                <w:sz w:val="28"/>
                <w:szCs w:val="28"/>
              </w:rPr>
            </w:pPr>
            <w:bookmarkStart w:id="455" w:name="_Toc256691580"/>
            <w:bookmarkStart w:id="456" w:name="_Toc256695456"/>
            <w:r>
              <w:rPr>
                <w:rFonts w:hint="eastAsia"/>
                <w:sz w:val="24"/>
              </w:rPr>
              <w:t>P</w:t>
            </w:r>
            <w:r>
              <w:rPr>
                <w:rFonts w:hint="eastAsia"/>
                <w:sz w:val="24"/>
                <w:u w:val="single"/>
              </w:rPr>
              <w:t xml:space="preserve">      </w:t>
            </w:r>
            <w:r>
              <w:rPr>
                <w:rFonts w:hint="eastAsia"/>
                <w:sz w:val="24"/>
              </w:rPr>
              <w:t>---  P</w:t>
            </w:r>
            <w:bookmarkEnd w:id="455"/>
            <w:bookmarkEnd w:id="456"/>
            <w:r>
              <w:rPr>
                <w:rFonts w:hint="eastAsia"/>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sz w:val="28"/>
                <w:szCs w:val="28"/>
              </w:rPr>
            </w:pPr>
          </w:p>
        </w:tc>
        <w:tc>
          <w:tcPr>
            <w:tcW w:w="4820" w:type="dxa"/>
            <w:vAlign w:val="center"/>
          </w:tcPr>
          <w:p>
            <w:pPr>
              <w:jc w:val="center"/>
              <w:rPr>
                <w:sz w:val="28"/>
                <w:szCs w:val="28"/>
              </w:rPr>
            </w:pPr>
          </w:p>
        </w:tc>
        <w:tc>
          <w:tcPr>
            <w:tcW w:w="3649" w:type="dxa"/>
            <w:vAlign w:val="center"/>
          </w:tcPr>
          <w:p>
            <w:pPr>
              <w:jc w:val="center"/>
              <w:rPr>
                <w:sz w:val="24"/>
              </w:rPr>
            </w:pPr>
            <w:bookmarkStart w:id="457" w:name="_Toc256691581"/>
            <w:bookmarkStart w:id="458" w:name="_Toc256695457"/>
            <w:r>
              <w:rPr>
                <w:rFonts w:hint="eastAsia"/>
                <w:sz w:val="24"/>
              </w:rPr>
              <w:t>P</w:t>
            </w:r>
            <w:r>
              <w:rPr>
                <w:rFonts w:hint="eastAsia"/>
                <w:sz w:val="24"/>
                <w:u w:val="single"/>
              </w:rPr>
              <w:t xml:space="preserve">      </w:t>
            </w:r>
            <w:r>
              <w:rPr>
                <w:rFonts w:hint="eastAsia"/>
                <w:sz w:val="24"/>
              </w:rPr>
              <w:t>---  P</w:t>
            </w:r>
            <w:bookmarkEnd w:id="457"/>
            <w:bookmarkEnd w:id="458"/>
            <w:r>
              <w:rPr>
                <w:rFonts w:hint="eastAsia"/>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sz w:val="28"/>
                <w:szCs w:val="28"/>
              </w:rPr>
            </w:pPr>
          </w:p>
        </w:tc>
        <w:tc>
          <w:tcPr>
            <w:tcW w:w="4820" w:type="dxa"/>
            <w:vAlign w:val="center"/>
          </w:tcPr>
          <w:p>
            <w:pPr>
              <w:jc w:val="center"/>
              <w:rPr>
                <w:sz w:val="28"/>
                <w:szCs w:val="28"/>
              </w:rPr>
            </w:pPr>
          </w:p>
        </w:tc>
        <w:tc>
          <w:tcPr>
            <w:tcW w:w="3649" w:type="dxa"/>
            <w:vAlign w:val="center"/>
          </w:tcPr>
          <w:p>
            <w:pPr>
              <w:jc w:val="center"/>
              <w:rPr>
                <w:sz w:val="28"/>
                <w:szCs w:val="28"/>
              </w:rPr>
            </w:pPr>
            <w:bookmarkStart w:id="459" w:name="_Toc256695458"/>
            <w:bookmarkStart w:id="460" w:name="_Toc256691582"/>
            <w:r>
              <w:rPr>
                <w:rFonts w:hint="eastAsia"/>
                <w:sz w:val="24"/>
              </w:rPr>
              <w:t>P</w:t>
            </w:r>
            <w:r>
              <w:rPr>
                <w:rFonts w:hint="eastAsia"/>
                <w:sz w:val="24"/>
                <w:u w:val="single"/>
              </w:rPr>
              <w:t xml:space="preserve">      </w:t>
            </w:r>
            <w:r>
              <w:rPr>
                <w:rFonts w:hint="eastAsia"/>
                <w:sz w:val="24"/>
              </w:rPr>
              <w:t>---  P</w:t>
            </w:r>
            <w:bookmarkEnd w:id="459"/>
            <w:bookmarkEnd w:id="460"/>
            <w:r>
              <w:rPr>
                <w:rFonts w:hint="eastAsia"/>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sz w:val="28"/>
                <w:szCs w:val="28"/>
              </w:rPr>
            </w:pPr>
          </w:p>
        </w:tc>
        <w:tc>
          <w:tcPr>
            <w:tcW w:w="4820" w:type="dxa"/>
            <w:vAlign w:val="center"/>
          </w:tcPr>
          <w:p>
            <w:pPr>
              <w:jc w:val="center"/>
              <w:rPr>
                <w:sz w:val="28"/>
                <w:szCs w:val="28"/>
              </w:rPr>
            </w:pPr>
            <w:bookmarkStart w:id="461" w:name="_Toc256691583"/>
            <w:bookmarkStart w:id="462" w:name="_Toc256695459"/>
            <w:r>
              <w:rPr>
                <w:rFonts w:hint="eastAsia"/>
                <w:sz w:val="28"/>
                <w:szCs w:val="28"/>
              </w:rPr>
              <w:t>……</w:t>
            </w:r>
            <w:bookmarkEnd w:id="461"/>
            <w:bookmarkEnd w:id="462"/>
          </w:p>
        </w:tc>
        <w:tc>
          <w:tcPr>
            <w:tcW w:w="3649" w:type="dxa"/>
            <w:vAlign w:val="center"/>
          </w:tcPr>
          <w:p>
            <w:pPr>
              <w:jc w:val="center"/>
              <w:rPr>
                <w:sz w:val="24"/>
              </w:rPr>
            </w:pPr>
            <w:bookmarkStart w:id="463" w:name="_Toc256691584"/>
            <w:bookmarkStart w:id="464" w:name="_Toc256695460"/>
            <w:r>
              <w:rPr>
                <w:rFonts w:hint="eastAsia"/>
                <w:sz w:val="28"/>
                <w:szCs w:val="28"/>
              </w:rPr>
              <w:t>……</w:t>
            </w:r>
            <w:bookmarkEnd w:id="463"/>
            <w:bookmarkEnd w:id="464"/>
          </w:p>
        </w:tc>
      </w:tr>
    </w:tbl>
    <w:p>
      <w:pPr>
        <w:spacing w:beforeLines="100" w:afterLines="100"/>
        <w:jc w:val="center"/>
        <w:rPr>
          <w:rFonts w:hint="eastAsia" w:eastAsia="黑体"/>
          <w:sz w:val="28"/>
          <w:szCs w:val="28"/>
        </w:rPr>
      </w:pPr>
      <w:r>
        <w:rPr>
          <w:rFonts w:eastAsia="黑体"/>
          <w:sz w:val="28"/>
          <w:szCs w:val="28"/>
        </w:rPr>
        <w:br w:type="page"/>
      </w:r>
      <w:r>
        <w:rPr>
          <w:rFonts w:hint="eastAsia" w:eastAsia="黑体"/>
          <w:sz w:val="28"/>
          <w:szCs w:val="28"/>
        </w:rPr>
        <w:t>目  录</w:t>
      </w:r>
    </w:p>
    <w:p>
      <w:pPr>
        <w:spacing w:line="600" w:lineRule="exact"/>
        <w:rPr>
          <w:rFonts w:hint="eastAsia"/>
          <w:sz w:val="24"/>
        </w:rPr>
      </w:pPr>
      <w:r>
        <w:rPr>
          <w:rFonts w:hint="eastAsia"/>
          <w:sz w:val="24"/>
        </w:rPr>
        <w:t>一、投标函（不含报价）</w:t>
      </w:r>
    </w:p>
    <w:p>
      <w:pPr>
        <w:spacing w:line="600" w:lineRule="exact"/>
        <w:rPr>
          <w:rFonts w:hint="eastAsia"/>
          <w:sz w:val="24"/>
        </w:rPr>
      </w:pPr>
      <w:r>
        <w:rPr>
          <w:rFonts w:hint="eastAsia"/>
          <w:sz w:val="24"/>
        </w:rPr>
        <w:t>二、法定代表人（单位负责人）身份证明或授权委托书</w:t>
      </w:r>
    </w:p>
    <w:p>
      <w:pPr>
        <w:spacing w:line="600" w:lineRule="exact"/>
        <w:rPr>
          <w:rFonts w:hint="eastAsia"/>
          <w:sz w:val="24"/>
        </w:rPr>
      </w:pPr>
      <w:r>
        <w:rPr>
          <w:rFonts w:hint="eastAsia"/>
          <w:sz w:val="24"/>
        </w:rPr>
        <w:t>三、投标保证金</w:t>
      </w:r>
    </w:p>
    <w:p>
      <w:pPr>
        <w:spacing w:line="600" w:lineRule="exact"/>
        <w:rPr>
          <w:rFonts w:hint="eastAsia"/>
          <w:sz w:val="24"/>
        </w:rPr>
      </w:pPr>
      <w:r>
        <w:rPr>
          <w:rFonts w:hint="eastAsia"/>
          <w:sz w:val="24"/>
        </w:rPr>
        <w:t>四、商务和技术偏差表；</w:t>
      </w:r>
    </w:p>
    <w:p>
      <w:pPr>
        <w:spacing w:line="600" w:lineRule="exact"/>
        <w:rPr>
          <w:rFonts w:hint="eastAsia"/>
          <w:sz w:val="24"/>
        </w:rPr>
      </w:pPr>
      <w:r>
        <w:rPr>
          <w:rFonts w:hint="eastAsia"/>
          <w:sz w:val="24"/>
        </w:rPr>
        <w:t>五、资格审查资料</w:t>
      </w:r>
    </w:p>
    <w:p>
      <w:pPr>
        <w:spacing w:line="600" w:lineRule="exact"/>
        <w:rPr>
          <w:rFonts w:hint="eastAsia"/>
          <w:sz w:val="24"/>
        </w:rPr>
      </w:pPr>
      <w:r>
        <w:rPr>
          <w:rFonts w:hint="eastAsia"/>
          <w:sz w:val="24"/>
        </w:rPr>
        <w:t>（一）投标人基本情况表</w:t>
      </w:r>
    </w:p>
    <w:p>
      <w:pPr>
        <w:spacing w:line="600" w:lineRule="exact"/>
        <w:rPr>
          <w:rFonts w:hint="eastAsia"/>
          <w:sz w:val="24"/>
        </w:rPr>
      </w:pPr>
      <w:r>
        <w:rPr>
          <w:rFonts w:hint="eastAsia"/>
          <w:sz w:val="24"/>
        </w:rPr>
        <w:t>（二）近年完成的类似项目情况表</w:t>
      </w:r>
    </w:p>
    <w:p>
      <w:pPr>
        <w:spacing w:line="600" w:lineRule="exact"/>
        <w:rPr>
          <w:rFonts w:hint="eastAsia"/>
          <w:sz w:val="24"/>
        </w:rPr>
      </w:pPr>
      <w:r>
        <w:rPr>
          <w:rFonts w:hint="eastAsia"/>
          <w:sz w:val="24"/>
        </w:rPr>
        <w:t>（三）制造商授权书</w:t>
      </w:r>
    </w:p>
    <w:p>
      <w:pPr>
        <w:spacing w:line="600" w:lineRule="exact"/>
        <w:rPr>
          <w:rFonts w:hint="eastAsia"/>
          <w:sz w:val="24"/>
        </w:rPr>
      </w:pPr>
      <w:r>
        <w:rPr>
          <w:rFonts w:hint="eastAsia"/>
          <w:sz w:val="24"/>
        </w:rPr>
        <w:t>（四）拟</w:t>
      </w:r>
      <w:r>
        <w:rPr>
          <w:rFonts w:hint="eastAsia"/>
          <w:sz w:val="24"/>
          <w:lang w:eastAsia="zh-CN"/>
        </w:rPr>
        <w:t>委派</w:t>
      </w:r>
      <w:r>
        <w:rPr>
          <w:rFonts w:hint="eastAsia"/>
          <w:sz w:val="24"/>
        </w:rPr>
        <w:t>的项目负责人简历</w:t>
      </w:r>
    </w:p>
    <w:p>
      <w:pPr>
        <w:spacing w:line="600" w:lineRule="exact"/>
        <w:rPr>
          <w:rFonts w:hint="eastAsia"/>
          <w:sz w:val="24"/>
        </w:rPr>
      </w:pPr>
      <w:r>
        <w:rPr>
          <w:rFonts w:hint="eastAsia"/>
          <w:sz w:val="24"/>
        </w:rPr>
        <w:t>六、投标货物技术性能指标的详细描述</w:t>
      </w:r>
    </w:p>
    <w:p>
      <w:pPr>
        <w:spacing w:line="600" w:lineRule="exact"/>
        <w:rPr>
          <w:rFonts w:hint="eastAsia"/>
          <w:sz w:val="24"/>
        </w:rPr>
      </w:pPr>
      <w:r>
        <w:rPr>
          <w:rFonts w:hint="eastAsia"/>
          <w:sz w:val="24"/>
        </w:rPr>
        <w:t>七、技术支持资料</w:t>
      </w:r>
    </w:p>
    <w:p>
      <w:pPr>
        <w:spacing w:line="600" w:lineRule="exact"/>
        <w:rPr>
          <w:rFonts w:hint="eastAsia"/>
          <w:sz w:val="24"/>
        </w:rPr>
      </w:pPr>
      <w:r>
        <w:rPr>
          <w:rFonts w:hint="eastAsia"/>
          <w:sz w:val="24"/>
        </w:rPr>
        <w:t>八、技术服务和质保期服务计划</w:t>
      </w:r>
    </w:p>
    <w:p>
      <w:pPr>
        <w:spacing w:line="600" w:lineRule="exact"/>
        <w:rPr>
          <w:rFonts w:hint="eastAsia"/>
          <w:sz w:val="24"/>
        </w:rPr>
      </w:pPr>
      <w:r>
        <w:rPr>
          <w:rFonts w:hint="eastAsia"/>
          <w:sz w:val="24"/>
        </w:rPr>
        <w:t>九、安装、调试方案</w:t>
      </w:r>
    </w:p>
    <w:p>
      <w:pPr>
        <w:spacing w:line="600" w:lineRule="exact"/>
        <w:rPr>
          <w:rFonts w:hint="eastAsia"/>
          <w:szCs w:val="21"/>
        </w:rPr>
      </w:pPr>
      <w:r>
        <w:rPr>
          <w:rFonts w:hint="eastAsia"/>
          <w:szCs w:val="21"/>
        </w:rPr>
        <w:t>十、其他资料</w:t>
      </w:r>
    </w:p>
    <w:p>
      <w:pPr>
        <w:pStyle w:val="4"/>
        <w:spacing w:line="240" w:lineRule="auto"/>
        <w:jc w:val="center"/>
        <w:rPr>
          <w:rFonts w:hint="eastAsia" w:ascii="Times New Roman" w:hAnsi="Times New Roman"/>
        </w:rPr>
      </w:pPr>
      <w:r>
        <w:rPr>
          <w:rFonts w:ascii="Times New Roman" w:hAnsi="Times New Roman"/>
          <w:szCs w:val="21"/>
        </w:rPr>
        <w:br w:type="page"/>
      </w:r>
      <w:bookmarkStart w:id="465" w:name="_Toc421917001"/>
      <w:bookmarkStart w:id="466" w:name="_Toc460660223"/>
      <w:bookmarkStart w:id="467" w:name="_Toc460227108"/>
      <w:bookmarkStart w:id="468" w:name="_Toc390411621"/>
      <w:bookmarkStart w:id="469" w:name="_Toc224103496"/>
      <w:r>
        <w:rPr>
          <w:rFonts w:hint="eastAsia" w:ascii="Times New Roman" w:hAnsi="Times New Roman"/>
        </w:rPr>
        <w:t>一、投标函（不含报价）</w:t>
      </w:r>
    </w:p>
    <w:p>
      <w:pPr>
        <w:adjustRightInd w:val="0"/>
        <w:snapToGrid w:val="0"/>
        <w:spacing w:beforeLines="20" w:afterLines="20" w:line="400" w:lineRule="exact"/>
        <w:rPr>
          <w:rFonts w:hint="eastAsia"/>
          <w:sz w:val="22"/>
          <w:u w:val="single"/>
        </w:rPr>
      </w:pPr>
      <w:r>
        <w:rPr>
          <w:rFonts w:hint="eastAsia"/>
          <w:sz w:val="22"/>
        </w:rPr>
        <w:t>致：</w:t>
      </w:r>
      <w:r>
        <w:rPr>
          <w:rFonts w:hint="eastAsia"/>
          <w:sz w:val="22"/>
          <w:u w:val="single"/>
        </w:rPr>
        <w:t xml:space="preserve">                 </w:t>
      </w:r>
      <w:r>
        <w:rPr>
          <w:rFonts w:hint="eastAsia"/>
          <w:sz w:val="22"/>
        </w:rPr>
        <w:t>（招标人名称）</w:t>
      </w:r>
    </w:p>
    <w:p>
      <w:pPr>
        <w:numPr>
          <w:ilvl w:val="0"/>
          <w:numId w:val="7"/>
        </w:numPr>
        <w:spacing w:line="400" w:lineRule="exact"/>
        <w:ind w:firstLine="440" w:firstLineChars="200"/>
        <w:rPr>
          <w:rFonts w:hint="eastAsia"/>
          <w:sz w:val="22"/>
        </w:rPr>
      </w:pPr>
      <w:r>
        <w:rPr>
          <w:sz w:val="22"/>
          <w:szCs w:val="22"/>
        </w:rPr>
        <w:t>我方已仔细研究了</w:t>
      </w:r>
      <w:r>
        <w:rPr>
          <w:rFonts w:hint="eastAsia"/>
          <w:sz w:val="22"/>
          <w:u w:val="single"/>
        </w:rPr>
        <w:t xml:space="preserve">                 </w:t>
      </w:r>
      <w:r>
        <w:rPr>
          <w:color w:val="000000"/>
          <w:sz w:val="22"/>
          <w:szCs w:val="28"/>
        </w:rPr>
        <w:t>（</w:t>
      </w:r>
      <w:r>
        <w:rPr>
          <w:rFonts w:hint="eastAsia"/>
          <w:color w:val="000000"/>
          <w:sz w:val="22"/>
          <w:szCs w:val="28"/>
        </w:rPr>
        <w:t>招标</w:t>
      </w:r>
      <w:r>
        <w:rPr>
          <w:color w:val="000000"/>
          <w:sz w:val="22"/>
          <w:szCs w:val="28"/>
        </w:rPr>
        <w:t>项目名称）招标项目</w:t>
      </w:r>
      <w:r>
        <w:rPr>
          <w:sz w:val="22"/>
          <w:szCs w:val="22"/>
        </w:rPr>
        <w:t>招标文件的全部内容，愿意以</w:t>
      </w:r>
      <w:r>
        <w:rPr>
          <w:rFonts w:hint="eastAsia"/>
          <w:sz w:val="22"/>
          <w:szCs w:val="22"/>
          <w:u w:val="single"/>
        </w:rPr>
        <w:t>报价文件投标函中</w:t>
      </w:r>
      <w:r>
        <w:rPr>
          <w:sz w:val="22"/>
          <w:szCs w:val="22"/>
        </w:rPr>
        <w:t>的投标总报价提供</w:t>
      </w:r>
      <w:r>
        <w:rPr>
          <w:rFonts w:hint="eastAsia"/>
          <w:sz w:val="22"/>
        </w:rPr>
        <w:t>招标文件要求的货物、安装及技术服务和质保售后服务等，并按合同约定履行义务。</w:t>
      </w:r>
    </w:p>
    <w:p>
      <w:pPr>
        <w:spacing w:line="400" w:lineRule="exact"/>
        <w:ind w:firstLine="440" w:firstLineChars="200"/>
        <w:rPr>
          <w:sz w:val="22"/>
          <w:szCs w:val="22"/>
        </w:rPr>
      </w:pPr>
      <w:r>
        <w:rPr>
          <w:rFonts w:hint="eastAsia"/>
          <w:sz w:val="22"/>
          <w:szCs w:val="22"/>
        </w:rPr>
        <w:t xml:space="preserve">2. </w:t>
      </w:r>
      <w:r>
        <w:rPr>
          <w:sz w:val="22"/>
          <w:szCs w:val="22"/>
        </w:rPr>
        <w:t>我方承诺除</w:t>
      </w:r>
      <w:r>
        <w:rPr>
          <w:color w:val="000000"/>
          <w:sz w:val="24"/>
          <w:szCs w:val="28"/>
        </w:rPr>
        <w:t>商务和技术</w:t>
      </w:r>
      <w:r>
        <w:rPr>
          <w:sz w:val="22"/>
          <w:szCs w:val="22"/>
        </w:rPr>
        <w:t>偏</w:t>
      </w:r>
      <w:r>
        <w:rPr>
          <w:rFonts w:hint="eastAsia"/>
          <w:sz w:val="22"/>
          <w:szCs w:val="22"/>
        </w:rPr>
        <w:t>差</w:t>
      </w:r>
      <w:r>
        <w:rPr>
          <w:sz w:val="22"/>
          <w:szCs w:val="22"/>
        </w:rPr>
        <w:t>表列出的偏</w:t>
      </w:r>
      <w:r>
        <w:rPr>
          <w:rFonts w:hint="eastAsia"/>
          <w:sz w:val="22"/>
          <w:szCs w:val="22"/>
        </w:rPr>
        <w:t>差</w:t>
      </w:r>
      <w:r>
        <w:rPr>
          <w:sz w:val="22"/>
          <w:szCs w:val="22"/>
        </w:rPr>
        <w:t>外，我方响应招标文件的全部要求。</w:t>
      </w:r>
    </w:p>
    <w:p>
      <w:pPr>
        <w:spacing w:line="400" w:lineRule="exact"/>
        <w:ind w:firstLine="440" w:firstLineChars="200"/>
        <w:rPr>
          <w:sz w:val="22"/>
          <w:szCs w:val="22"/>
        </w:rPr>
      </w:pPr>
      <w:r>
        <w:rPr>
          <w:rFonts w:hint="eastAsia"/>
          <w:sz w:val="22"/>
          <w:szCs w:val="22"/>
        </w:rPr>
        <w:t xml:space="preserve">3. </w:t>
      </w:r>
      <w:r>
        <w:rPr>
          <w:sz w:val="22"/>
          <w:szCs w:val="22"/>
        </w:rPr>
        <w:t>我方承诺在招标文件规定的投标有效期内不撤销投标文件。</w:t>
      </w:r>
    </w:p>
    <w:p>
      <w:pPr>
        <w:spacing w:line="400" w:lineRule="exact"/>
        <w:ind w:firstLine="440" w:firstLineChars="200"/>
        <w:rPr>
          <w:sz w:val="22"/>
          <w:szCs w:val="22"/>
        </w:rPr>
      </w:pPr>
      <w:r>
        <w:rPr>
          <w:rFonts w:hint="eastAsia"/>
          <w:sz w:val="22"/>
          <w:szCs w:val="22"/>
        </w:rPr>
        <w:t xml:space="preserve">4. </w:t>
      </w:r>
      <w:r>
        <w:rPr>
          <w:sz w:val="22"/>
          <w:szCs w:val="22"/>
        </w:rPr>
        <w:t>如我方中标，我方承诺：</w:t>
      </w:r>
    </w:p>
    <w:p>
      <w:pPr>
        <w:spacing w:line="400" w:lineRule="exact"/>
        <w:ind w:firstLine="405"/>
        <w:rPr>
          <w:sz w:val="22"/>
          <w:szCs w:val="28"/>
        </w:rPr>
      </w:pPr>
      <w:r>
        <w:rPr>
          <w:rFonts w:hint="eastAsia"/>
          <w:sz w:val="22"/>
          <w:szCs w:val="28"/>
        </w:rPr>
        <w:t>（</w:t>
      </w:r>
      <w:r>
        <w:rPr>
          <w:sz w:val="22"/>
          <w:szCs w:val="28"/>
        </w:rPr>
        <w:t>1</w:t>
      </w:r>
      <w:r>
        <w:rPr>
          <w:rFonts w:hint="eastAsia"/>
          <w:sz w:val="22"/>
          <w:szCs w:val="28"/>
        </w:rPr>
        <w:t>）在收到中标通知书后，在中标通知书规定的期限内与你方签订合同；</w:t>
      </w:r>
    </w:p>
    <w:p>
      <w:pPr>
        <w:spacing w:line="400" w:lineRule="exact"/>
        <w:ind w:firstLine="405"/>
        <w:rPr>
          <w:sz w:val="22"/>
          <w:szCs w:val="28"/>
        </w:rPr>
      </w:pPr>
      <w:r>
        <w:rPr>
          <w:rFonts w:hint="eastAsia"/>
          <w:sz w:val="22"/>
          <w:szCs w:val="28"/>
        </w:rPr>
        <w:t>（</w:t>
      </w:r>
      <w:r>
        <w:rPr>
          <w:sz w:val="22"/>
          <w:szCs w:val="28"/>
        </w:rPr>
        <w:t>2</w:t>
      </w:r>
      <w:r>
        <w:rPr>
          <w:rFonts w:hint="eastAsia"/>
          <w:sz w:val="22"/>
          <w:szCs w:val="28"/>
        </w:rPr>
        <w:t>）在签订合同时不向你方提出附加条件；</w:t>
      </w:r>
    </w:p>
    <w:p>
      <w:pPr>
        <w:spacing w:line="400" w:lineRule="exact"/>
        <w:ind w:firstLine="405"/>
        <w:rPr>
          <w:sz w:val="22"/>
          <w:szCs w:val="28"/>
        </w:rPr>
      </w:pPr>
      <w:r>
        <w:rPr>
          <w:rFonts w:hint="eastAsia"/>
          <w:sz w:val="22"/>
          <w:szCs w:val="28"/>
        </w:rPr>
        <w:t>（</w:t>
      </w:r>
      <w:r>
        <w:rPr>
          <w:sz w:val="22"/>
          <w:szCs w:val="28"/>
        </w:rPr>
        <w:t>3</w:t>
      </w:r>
      <w:r>
        <w:rPr>
          <w:rFonts w:hint="eastAsia"/>
          <w:sz w:val="22"/>
          <w:szCs w:val="28"/>
        </w:rPr>
        <w:t>）按照招标文件要求提交履约保证金；</w:t>
      </w:r>
      <w:bookmarkStart w:id="470" w:name="_Toc369531694"/>
      <w:bookmarkStart w:id="471" w:name="_Toc1187"/>
      <w:bookmarkStart w:id="472" w:name="_Toc352691658"/>
    </w:p>
    <w:p>
      <w:pPr>
        <w:spacing w:line="400" w:lineRule="exact"/>
        <w:ind w:firstLine="405"/>
        <w:rPr>
          <w:sz w:val="22"/>
          <w:szCs w:val="28"/>
        </w:rPr>
      </w:pPr>
      <w:r>
        <w:rPr>
          <w:rFonts w:hint="eastAsia"/>
          <w:sz w:val="22"/>
          <w:szCs w:val="28"/>
        </w:rPr>
        <w:t>（</w:t>
      </w:r>
      <w:r>
        <w:rPr>
          <w:sz w:val="22"/>
          <w:szCs w:val="28"/>
        </w:rPr>
        <w:t>4</w:t>
      </w:r>
      <w:bookmarkEnd w:id="470"/>
      <w:bookmarkEnd w:id="471"/>
      <w:bookmarkEnd w:id="472"/>
      <w:r>
        <w:rPr>
          <w:rFonts w:hint="eastAsia"/>
          <w:sz w:val="22"/>
          <w:szCs w:val="28"/>
        </w:rPr>
        <w:t>）在合同约定的期限内完成合同规定的全部义务。</w:t>
      </w:r>
    </w:p>
    <w:p>
      <w:pPr>
        <w:spacing w:line="400" w:lineRule="exact"/>
        <w:ind w:firstLine="440" w:firstLineChars="200"/>
        <w:rPr>
          <w:rFonts w:hint="eastAsia"/>
          <w:sz w:val="22"/>
          <w:szCs w:val="22"/>
        </w:rPr>
      </w:pPr>
      <w:r>
        <w:rPr>
          <w:rFonts w:hint="eastAsia"/>
          <w:sz w:val="22"/>
          <w:szCs w:val="22"/>
        </w:rPr>
        <w:t>（5）我方承诺响应招标文件要求的本地化服务。</w:t>
      </w:r>
    </w:p>
    <w:p>
      <w:pPr>
        <w:spacing w:line="400" w:lineRule="exact"/>
        <w:ind w:firstLine="440" w:firstLineChars="200"/>
        <w:rPr>
          <w:rFonts w:hint="eastAsia"/>
          <w:sz w:val="22"/>
          <w:szCs w:val="22"/>
        </w:rPr>
      </w:pPr>
      <w:r>
        <w:rPr>
          <w:rFonts w:hint="eastAsia"/>
          <w:sz w:val="22"/>
          <w:szCs w:val="22"/>
        </w:rPr>
        <w:t>（6）我方承诺为所投配电箱（或配电柜）生产厂家。</w:t>
      </w:r>
    </w:p>
    <w:p>
      <w:pPr>
        <w:spacing w:line="400" w:lineRule="exact"/>
        <w:ind w:firstLine="440" w:firstLineChars="200"/>
        <w:rPr>
          <w:rFonts w:hint="eastAsia"/>
          <w:sz w:val="22"/>
          <w:szCs w:val="22"/>
        </w:rPr>
      </w:pPr>
      <w:r>
        <w:rPr>
          <w:rFonts w:hint="eastAsia"/>
          <w:sz w:val="22"/>
          <w:szCs w:val="22"/>
        </w:rPr>
        <w:t>（7）我方承诺在本项目中选用产品品牌档次均不低于推荐品牌；本次投标产品达到或优于本项目招标文件的技术参数要求，并在领取中标通知书后三十个日历日内提供相关产品的证明材料，无条件接受招标人对我方投标方案、投标产品及证明资料进行核查，如经核查认定我方所投产品不满足招标文件要求，招标人有权取消合同签订，并由我公司承担因虚假应标产生的一切相关责任和后果，招标人有权上报合肥市公共资源交易监督部门处理。</w:t>
      </w:r>
    </w:p>
    <w:p>
      <w:pPr>
        <w:spacing w:line="400" w:lineRule="exact"/>
        <w:ind w:firstLine="440" w:firstLineChars="200"/>
        <w:rPr>
          <w:rFonts w:hint="eastAsia"/>
          <w:sz w:val="22"/>
          <w:szCs w:val="22"/>
        </w:rPr>
      </w:pPr>
      <w:r>
        <w:rPr>
          <w:rFonts w:hint="eastAsia"/>
          <w:sz w:val="22"/>
          <w:szCs w:val="22"/>
        </w:rPr>
        <w:t>（8）中标后，我方无条件接受招标人对我方投标方案及投标产品的核查，如经核查认定我方所投产品不满足招标人要求，我方将从《招标人推荐品牌表》 中选取符合招标文件技术参数要求的产品提供给招标人确认，经招标人确认后方可供货安装，且我方承诺投标报价不增加。如有虚假，或我方后期未按承诺执行的，招标人有权解除合同，并由我方承担由此产生的一切相关责任和后果。</w:t>
      </w:r>
    </w:p>
    <w:p>
      <w:pPr>
        <w:spacing w:line="400" w:lineRule="exact"/>
        <w:ind w:firstLine="440" w:firstLineChars="200"/>
        <w:rPr>
          <w:sz w:val="22"/>
          <w:szCs w:val="22"/>
        </w:rPr>
      </w:pPr>
      <w:r>
        <w:rPr>
          <w:rFonts w:hint="eastAsia"/>
          <w:sz w:val="22"/>
          <w:szCs w:val="22"/>
        </w:rPr>
        <w:t xml:space="preserve">5. </w:t>
      </w:r>
      <w:r>
        <w:rPr>
          <w:sz w:val="22"/>
          <w:szCs w:val="28"/>
        </w:rPr>
        <w:t>我方在此声明，所递交的投标文件及有关资料内容完整、真实和准确，且不存在第二章“投标人须知”第1.4.3项</w:t>
      </w:r>
      <w:r>
        <w:rPr>
          <w:rFonts w:hint="eastAsia"/>
          <w:sz w:val="22"/>
          <w:szCs w:val="28"/>
        </w:rPr>
        <w:t>、</w:t>
      </w:r>
      <w:r>
        <w:rPr>
          <w:sz w:val="22"/>
          <w:szCs w:val="28"/>
        </w:rPr>
        <w:t>第1.4.</w:t>
      </w:r>
      <w:r>
        <w:rPr>
          <w:rFonts w:hint="eastAsia"/>
          <w:sz w:val="22"/>
          <w:szCs w:val="28"/>
        </w:rPr>
        <w:t>4</w:t>
      </w:r>
      <w:r>
        <w:rPr>
          <w:sz w:val="22"/>
          <w:szCs w:val="28"/>
        </w:rPr>
        <w:t>项规定的任何一种情形。</w:t>
      </w:r>
    </w:p>
    <w:p>
      <w:pPr>
        <w:adjustRightInd w:val="0"/>
        <w:snapToGrid w:val="0"/>
        <w:spacing w:beforeLines="20" w:afterLines="20" w:line="400" w:lineRule="exact"/>
        <w:ind w:firstLine="385" w:firstLineChars="175"/>
        <w:rPr>
          <w:rFonts w:hint="eastAsia"/>
          <w:bCs/>
          <w:sz w:val="22"/>
          <w:szCs w:val="36"/>
        </w:rPr>
      </w:pPr>
      <w:r>
        <w:rPr>
          <w:rFonts w:hint="eastAsia"/>
          <w:sz w:val="22"/>
          <w:szCs w:val="22"/>
        </w:rPr>
        <w:t xml:space="preserve">6. </w:t>
      </w:r>
      <w:r>
        <w:rPr>
          <w:rFonts w:hint="eastAsia"/>
          <w:sz w:val="22"/>
          <w:u w:val="single"/>
        </w:rPr>
        <w:t xml:space="preserve">                 </w:t>
      </w:r>
      <w:r>
        <w:rPr>
          <w:sz w:val="22"/>
          <w:szCs w:val="22"/>
        </w:rPr>
        <w:t>（其他补充说明）。</w:t>
      </w:r>
    </w:p>
    <w:p>
      <w:pPr>
        <w:adjustRightInd w:val="0"/>
        <w:snapToGrid w:val="0"/>
        <w:spacing w:beforeLines="20" w:afterLines="20" w:line="400" w:lineRule="exact"/>
        <w:rPr>
          <w:rFonts w:hint="eastAsia"/>
          <w:bCs/>
          <w:sz w:val="22"/>
          <w:szCs w:val="22"/>
          <w:u w:val="single"/>
        </w:rPr>
      </w:pPr>
      <w:r>
        <w:rPr>
          <w:rFonts w:hint="eastAsia"/>
          <w:bCs/>
          <w:sz w:val="22"/>
          <w:szCs w:val="22"/>
        </w:rPr>
        <w:t>投 标 人：</w:t>
      </w:r>
      <w:r>
        <w:rPr>
          <w:rFonts w:hint="eastAsia"/>
          <w:bCs/>
          <w:sz w:val="22"/>
          <w:szCs w:val="22"/>
          <w:u w:val="single"/>
        </w:rPr>
        <w:t xml:space="preserve">                                             </w:t>
      </w:r>
      <w:r>
        <w:rPr>
          <w:rFonts w:hint="eastAsia"/>
          <w:bCs/>
          <w:sz w:val="22"/>
          <w:szCs w:val="22"/>
        </w:rPr>
        <w:t>（盖单位章）</w:t>
      </w:r>
    </w:p>
    <w:p>
      <w:pPr>
        <w:adjustRightInd w:val="0"/>
        <w:snapToGrid w:val="0"/>
        <w:spacing w:beforeLines="20" w:afterLines="20" w:line="400" w:lineRule="exact"/>
        <w:jc w:val="left"/>
        <w:rPr>
          <w:rFonts w:hint="eastAsia"/>
          <w:sz w:val="22"/>
          <w:szCs w:val="22"/>
          <w:u w:val="single"/>
        </w:rPr>
      </w:pPr>
      <w:r>
        <w:rPr>
          <w:rFonts w:hint="eastAsia"/>
          <w:sz w:val="22"/>
          <w:szCs w:val="22"/>
        </w:rPr>
        <w:t>法定代表人（单位负责人）：</w:t>
      </w:r>
      <w:r>
        <w:rPr>
          <w:rFonts w:hint="eastAsia"/>
          <w:sz w:val="22"/>
          <w:szCs w:val="22"/>
          <w:u w:val="single"/>
        </w:rPr>
        <w:t xml:space="preserve">      </w:t>
      </w:r>
      <w:r>
        <w:rPr>
          <w:rFonts w:hint="eastAsia"/>
          <w:sz w:val="22"/>
          <w:szCs w:val="22"/>
        </w:rPr>
        <w:t>（签字或加盖其个人电子印章/电子签名章）</w:t>
      </w:r>
    </w:p>
    <w:p>
      <w:pPr>
        <w:adjustRightInd w:val="0"/>
        <w:snapToGrid w:val="0"/>
        <w:spacing w:beforeLines="20" w:afterLines="20" w:line="400" w:lineRule="exact"/>
        <w:rPr>
          <w:rFonts w:hint="eastAsia"/>
          <w:sz w:val="22"/>
          <w:szCs w:val="22"/>
          <w:u w:val="single"/>
        </w:rPr>
      </w:pPr>
      <w:r>
        <w:rPr>
          <w:rFonts w:hint="eastAsia"/>
          <w:sz w:val="22"/>
          <w:szCs w:val="22"/>
        </w:rPr>
        <w:t>单位地址：</w:t>
      </w:r>
      <w:r>
        <w:rPr>
          <w:rFonts w:hint="eastAsia"/>
          <w:sz w:val="22"/>
          <w:szCs w:val="22"/>
          <w:u w:val="single"/>
        </w:rPr>
        <w:t xml:space="preserve">                                                       </w:t>
      </w:r>
    </w:p>
    <w:p>
      <w:pPr>
        <w:adjustRightInd w:val="0"/>
        <w:snapToGrid w:val="0"/>
        <w:spacing w:beforeLines="20" w:afterLines="20" w:line="400" w:lineRule="exact"/>
        <w:rPr>
          <w:rFonts w:hint="eastAsia"/>
          <w:sz w:val="22"/>
          <w:szCs w:val="22"/>
        </w:rPr>
      </w:pPr>
      <w:r>
        <w:rPr>
          <w:rFonts w:hint="eastAsia"/>
          <w:bCs/>
          <w:sz w:val="22"/>
          <w:szCs w:val="22"/>
        </w:rPr>
        <w:t>邮政编码</w:t>
      </w:r>
      <w:r>
        <w:rPr>
          <w:rFonts w:hint="eastAsia"/>
          <w:sz w:val="22"/>
          <w:szCs w:val="22"/>
        </w:rPr>
        <w:t>：</w:t>
      </w:r>
      <w:r>
        <w:rPr>
          <w:rFonts w:hint="eastAsia"/>
          <w:bCs/>
          <w:sz w:val="22"/>
          <w:szCs w:val="36"/>
          <w:u w:val="single"/>
        </w:rPr>
        <w:t xml:space="preserve">           </w:t>
      </w:r>
      <w:r>
        <w:rPr>
          <w:rFonts w:hint="eastAsia"/>
          <w:sz w:val="22"/>
          <w:szCs w:val="22"/>
        </w:rPr>
        <w:t>电话：</w:t>
      </w:r>
      <w:r>
        <w:rPr>
          <w:rFonts w:hint="eastAsia"/>
          <w:bCs/>
          <w:sz w:val="22"/>
          <w:szCs w:val="36"/>
          <w:u w:val="single"/>
        </w:rPr>
        <w:t xml:space="preserve">           </w:t>
      </w:r>
      <w:r>
        <w:rPr>
          <w:rFonts w:hint="eastAsia"/>
          <w:sz w:val="22"/>
          <w:szCs w:val="22"/>
        </w:rPr>
        <w:t xml:space="preserve"> 传真：</w:t>
      </w:r>
      <w:r>
        <w:rPr>
          <w:rFonts w:hint="eastAsia"/>
          <w:sz w:val="22"/>
          <w:szCs w:val="22"/>
          <w:u w:val="single"/>
        </w:rPr>
        <w:t xml:space="preserve">                    </w:t>
      </w:r>
    </w:p>
    <w:p>
      <w:pPr>
        <w:adjustRightInd w:val="0"/>
        <w:snapToGrid w:val="0"/>
        <w:spacing w:beforeLines="20" w:afterLines="20" w:line="400" w:lineRule="exact"/>
        <w:ind w:firstLine="385" w:firstLineChars="175"/>
        <w:jc w:val="right"/>
        <w:rPr>
          <w:rFonts w:hint="eastAsia"/>
          <w:sz w:val="22"/>
          <w:szCs w:val="22"/>
        </w:rPr>
      </w:pPr>
      <w:r>
        <w:rPr>
          <w:sz w:val="22"/>
          <w:szCs w:val="22"/>
          <w:u w:val="single"/>
        </w:rPr>
        <w:t xml:space="preserve">    </w:t>
      </w:r>
      <w:r>
        <w:rPr>
          <w:sz w:val="22"/>
          <w:szCs w:val="22"/>
        </w:rPr>
        <w:t>_</w:t>
      </w:r>
      <w:r>
        <w:rPr>
          <w:rFonts w:hint="eastAsia"/>
          <w:sz w:val="22"/>
          <w:szCs w:val="22"/>
        </w:rPr>
        <w:t>年</w:t>
      </w:r>
      <w:r>
        <w:rPr>
          <w:sz w:val="22"/>
          <w:szCs w:val="22"/>
          <w:u w:val="single"/>
        </w:rPr>
        <w:t xml:space="preserve">   </w:t>
      </w:r>
      <w:r>
        <w:rPr>
          <w:rFonts w:hint="eastAsia"/>
          <w:sz w:val="22"/>
          <w:szCs w:val="22"/>
          <w:u w:val="single"/>
        </w:rPr>
        <w:t xml:space="preserve"> </w:t>
      </w:r>
      <w:r>
        <w:rPr>
          <w:sz w:val="22"/>
          <w:szCs w:val="22"/>
          <w:u w:val="single"/>
        </w:rPr>
        <w:t>_</w:t>
      </w:r>
      <w:r>
        <w:rPr>
          <w:rFonts w:hint="eastAsia"/>
          <w:sz w:val="22"/>
          <w:szCs w:val="22"/>
        </w:rPr>
        <w:t>月</w:t>
      </w:r>
      <w:r>
        <w:rPr>
          <w:sz w:val="22"/>
          <w:szCs w:val="22"/>
          <w:u w:val="single"/>
        </w:rPr>
        <w:t xml:space="preserve">    </w:t>
      </w:r>
      <w:r>
        <w:rPr>
          <w:rFonts w:hint="eastAsia"/>
          <w:sz w:val="22"/>
          <w:szCs w:val="22"/>
        </w:rPr>
        <w:t>日</w:t>
      </w:r>
    </w:p>
    <w:p>
      <w:pPr>
        <w:spacing w:beforeLines="100" w:line="400" w:lineRule="exact"/>
        <w:jc w:val="center"/>
        <w:rPr>
          <w:rFonts w:hint="eastAsia" w:eastAsia="黑体"/>
          <w:bCs/>
          <w:sz w:val="24"/>
        </w:rPr>
      </w:pPr>
      <w:r>
        <w:rPr>
          <w:rFonts w:eastAsia="黑体"/>
          <w:sz w:val="28"/>
          <w:szCs w:val="28"/>
        </w:rPr>
        <w:br w:type="page"/>
      </w:r>
      <w:r>
        <w:rPr>
          <w:rFonts w:hint="eastAsia" w:eastAsia="黑体"/>
          <w:bCs/>
          <w:sz w:val="24"/>
        </w:rPr>
        <w:t>二、</w:t>
      </w:r>
      <w:bookmarkEnd w:id="465"/>
      <w:bookmarkEnd w:id="466"/>
      <w:bookmarkEnd w:id="467"/>
      <w:bookmarkEnd w:id="468"/>
      <w:r>
        <w:rPr>
          <w:rFonts w:hint="eastAsia" w:eastAsia="黑体"/>
          <w:bCs/>
          <w:sz w:val="24"/>
        </w:rPr>
        <w:t>法定代表人（单位负责人）身份证明或授权委托书</w:t>
      </w:r>
    </w:p>
    <w:p>
      <w:pPr>
        <w:jc w:val="center"/>
        <w:rPr>
          <w:rFonts w:hint="eastAsia" w:eastAsia="黑体"/>
          <w:bCs/>
          <w:sz w:val="24"/>
        </w:rPr>
      </w:pPr>
      <w:r>
        <w:rPr>
          <w:rFonts w:hint="eastAsia" w:eastAsia="黑体"/>
          <w:bCs/>
          <w:sz w:val="24"/>
        </w:rPr>
        <w:t>法定代表人（单位负责人）身份证明</w:t>
      </w:r>
    </w:p>
    <w:p>
      <w:pPr>
        <w:ind w:left="765"/>
        <w:rPr>
          <w:szCs w:val="22"/>
        </w:rPr>
      </w:pPr>
    </w:p>
    <w:p>
      <w:pPr>
        <w:spacing w:line="500" w:lineRule="exact"/>
        <w:rPr>
          <w:rFonts w:hint="eastAsia"/>
          <w:sz w:val="22"/>
          <w:szCs w:val="22"/>
        </w:rPr>
      </w:pPr>
      <w:r>
        <w:rPr>
          <w:rFonts w:hint="eastAsia"/>
          <w:sz w:val="22"/>
          <w:szCs w:val="22"/>
        </w:rPr>
        <w:t>投 标 人：</w:t>
      </w:r>
      <w:r>
        <w:rPr>
          <w:rFonts w:hint="eastAsia"/>
          <w:sz w:val="22"/>
          <w:szCs w:val="22"/>
          <w:u w:val="single"/>
        </w:rPr>
        <w:t xml:space="preserve">                                                        </w:t>
      </w:r>
    </w:p>
    <w:p>
      <w:pPr>
        <w:spacing w:line="500" w:lineRule="exact"/>
        <w:rPr>
          <w:rFonts w:hint="eastAsia"/>
          <w:sz w:val="22"/>
          <w:szCs w:val="22"/>
        </w:rPr>
      </w:pPr>
      <w:r>
        <w:rPr>
          <w:rFonts w:hint="eastAsia"/>
          <w:sz w:val="22"/>
          <w:szCs w:val="22"/>
        </w:rPr>
        <w:t>单位性质：</w:t>
      </w:r>
      <w:r>
        <w:rPr>
          <w:rFonts w:hint="eastAsia"/>
          <w:sz w:val="22"/>
          <w:szCs w:val="22"/>
          <w:u w:val="single"/>
        </w:rPr>
        <w:t xml:space="preserve">                                                        </w:t>
      </w:r>
    </w:p>
    <w:p>
      <w:pPr>
        <w:spacing w:line="500" w:lineRule="exact"/>
        <w:rPr>
          <w:rFonts w:hint="eastAsia"/>
          <w:sz w:val="22"/>
          <w:szCs w:val="22"/>
        </w:rPr>
      </w:pPr>
      <w:r>
        <w:rPr>
          <w:rFonts w:hint="eastAsia"/>
          <w:sz w:val="22"/>
          <w:szCs w:val="22"/>
        </w:rPr>
        <w:t>地    址：</w:t>
      </w:r>
      <w:r>
        <w:rPr>
          <w:rFonts w:hint="eastAsia"/>
          <w:sz w:val="22"/>
          <w:szCs w:val="22"/>
          <w:u w:val="single"/>
        </w:rPr>
        <w:t xml:space="preserve">                                                        </w:t>
      </w:r>
    </w:p>
    <w:p>
      <w:pPr>
        <w:spacing w:line="500" w:lineRule="exact"/>
        <w:rPr>
          <w:rFonts w:hint="eastAsia"/>
          <w:sz w:val="22"/>
          <w:szCs w:val="22"/>
        </w:rPr>
      </w:pPr>
      <w:r>
        <w:rPr>
          <w:rFonts w:hint="eastAsia"/>
          <w:sz w:val="22"/>
          <w:szCs w:val="22"/>
        </w:rPr>
        <w:t>成立时间：</w:t>
      </w:r>
      <w:r>
        <w:rPr>
          <w:rFonts w:hint="eastAsia"/>
          <w:sz w:val="22"/>
          <w:szCs w:val="22"/>
          <w:u w:val="single"/>
        </w:rPr>
        <w:t xml:space="preserve">                 </w:t>
      </w:r>
      <w:r>
        <w:rPr>
          <w:rFonts w:hint="eastAsia"/>
          <w:sz w:val="22"/>
          <w:szCs w:val="22"/>
        </w:rPr>
        <w:t>年</w:t>
      </w:r>
      <w:r>
        <w:rPr>
          <w:rFonts w:hint="eastAsia"/>
          <w:sz w:val="22"/>
          <w:szCs w:val="22"/>
          <w:u w:val="single"/>
        </w:rPr>
        <w:t xml:space="preserve">              </w:t>
      </w:r>
      <w:r>
        <w:rPr>
          <w:rFonts w:hint="eastAsia"/>
          <w:sz w:val="22"/>
          <w:szCs w:val="22"/>
        </w:rPr>
        <w:t>月</w:t>
      </w:r>
      <w:r>
        <w:rPr>
          <w:rFonts w:hint="eastAsia"/>
          <w:sz w:val="22"/>
          <w:szCs w:val="22"/>
          <w:u w:val="single"/>
        </w:rPr>
        <w:t xml:space="preserve">              </w:t>
      </w:r>
      <w:r>
        <w:rPr>
          <w:rFonts w:hint="eastAsia"/>
          <w:sz w:val="22"/>
          <w:szCs w:val="22"/>
        </w:rPr>
        <w:t>日</w:t>
      </w:r>
    </w:p>
    <w:p>
      <w:pPr>
        <w:spacing w:line="500" w:lineRule="exact"/>
        <w:rPr>
          <w:rFonts w:hint="eastAsia"/>
          <w:sz w:val="22"/>
          <w:szCs w:val="22"/>
        </w:rPr>
      </w:pPr>
      <w:r>
        <w:rPr>
          <w:rFonts w:hint="eastAsia"/>
          <w:sz w:val="22"/>
          <w:szCs w:val="22"/>
        </w:rPr>
        <w:t>经营期限：</w:t>
      </w:r>
      <w:r>
        <w:rPr>
          <w:rFonts w:hint="eastAsia"/>
          <w:sz w:val="22"/>
          <w:szCs w:val="22"/>
          <w:u w:val="single"/>
        </w:rPr>
        <w:t xml:space="preserve">                                                        </w:t>
      </w:r>
    </w:p>
    <w:p>
      <w:pPr>
        <w:spacing w:line="500" w:lineRule="exact"/>
        <w:rPr>
          <w:rFonts w:hint="eastAsia"/>
          <w:sz w:val="22"/>
          <w:szCs w:val="22"/>
        </w:rPr>
      </w:pPr>
      <w:r>
        <w:rPr>
          <w:rFonts w:hint="eastAsia"/>
          <w:sz w:val="22"/>
          <w:szCs w:val="22"/>
        </w:rPr>
        <w:t>姓    名：</w:t>
      </w:r>
      <w:r>
        <w:rPr>
          <w:rFonts w:hint="eastAsia"/>
          <w:sz w:val="22"/>
          <w:szCs w:val="22"/>
          <w:u w:val="single"/>
        </w:rPr>
        <w:t xml:space="preserve">                          </w:t>
      </w:r>
      <w:r>
        <w:rPr>
          <w:rFonts w:hint="eastAsia"/>
          <w:sz w:val="22"/>
          <w:szCs w:val="22"/>
        </w:rPr>
        <w:t>性        别：</w:t>
      </w:r>
      <w:r>
        <w:rPr>
          <w:rFonts w:hint="eastAsia"/>
          <w:sz w:val="22"/>
          <w:szCs w:val="22"/>
          <w:u w:val="single"/>
        </w:rPr>
        <w:t xml:space="preserve">                </w:t>
      </w:r>
    </w:p>
    <w:p>
      <w:pPr>
        <w:spacing w:line="500" w:lineRule="exact"/>
        <w:rPr>
          <w:rFonts w:hint="eastAsia"/>
          <w:sz w:val="22"/>
          <w:szCs w:val="22"/>
        </w:rPr>
      </w:pPr>
      <w:r>
        <w:rPr>
          <w:rFonts w:hint="eastAsia"/>
          <w:sz w:val="22"/>
          <w:szCs w:val="22"/>
        </w:rPr>
        <w:t>年    龄：</w:t>
      </w:r>
      <w:r>
        <w:rPr>
          <w:rFonts w:hint="eastAsia"/>
          <w:sz w:val="22"/>
          <w:szCs w:val="22"/>
          <w:u w:val="single"/>
        </w:rPr>
        <w:t xml:space="preserve">                          </w:t>
      </w:r>
      <w:r>
        <w:rPr>
          <w:rFonts w:hint="eastAsia"/>
          <w:sz w:val="22"/>
          <w:szCs w:val="22"/>
        </w:rPr>
        <w:t>职        务：</w:t>
      </w:r>
      <w:r>
        <w:rPr>
          <w:rFonts w:hint="eastAsia"/>
          <w:sz w:val="22"/>
          <w:szCs w:val="22"/>
          <w:u w:val="single"/>
        </w:rPr>
        <w:t xml:space="preserve">                </w:t>
      </w:r>
    </w:p>
    <w:p>
      <w:pPr>
        <w:spacing w:line="500" w:lineRule="exact"/>
        <w:rPr>
          <w:rFonts w:hint="eastAsia"/>
          <w:sz w:val="22"/>
          <w:szCs w:val="22"/>
        </w:rPr>
      </w:pPr>
      <w:r>
        <w:rPr>
          <w:rFonts w:hint="eastAsia"/>
          <w:sz w:val="22"/>
          <w:szCs w:val="22"/>
        </w:rPr>
        <w:t>系</w:t>
      </w:r>
      <w:r>
        <w:rPr>
          <w:rFonts w:hint="eastAsia"/>
          <w:sz w:val="22"/>
          <w:szCs w:val="22"/>
          <w:u w:val="single"/>
        </w:rPr>
        <w:t xml:space="preserve">                                        </w:t>
      </w:r>
      <w:r>
        <w:rPr>
          <w:rFonts w:hint="eastAsia"/>
          <w:sz w:val="22"/>
          <w:szCs w:val="22"/>
        </w:rPr>
        <w:t>（投标人名称）的法定代表人（单位负责人）。</w:t>
      </w:r>
    </w:p>
    <w:p>
      <w:pPr>
        <w:spacing w:line="500" w:lineRule="exact"/>
        <w:rPr>
          <w:rFonts w:hint="eastAsia"/>
          <w:sz w:val="22"/>
          <w:szCs w:val="22"/>
        </w:rPr>
      </w:pPr>
      <w:r>
        <w:rPr>
          <w:rFonts w:hint="eastAsia"/>
          <w:sz w:val="22"/>
          <w:szCs w:val="22"/>
        </w:rPr>
        <w:t>特此证明。</w:t>
      </w: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0"/>
        <w:gridCol w:w="4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7" w:hRule="atLeast"/>
          <w:jc w:val="center"/>
        </w:trPr>
        <w:tc>
          <w:tcPr>
            <w:tcW w:w="4330" w:type="dxa"/>
            <w:vAlign w:val="center"/>
          </w:tcPr>
          <w:p>
            <w:pPr>
              <w:spacing w:line="480" w:lineRule="exact"/>
              <w:jc w:val="center"/>
              <w:rPr>
                <w:sz w:val="24"/>
              </w:rPr>
            </w:pPr>
            <w:r>
              <w:rPr>
                <w:rFonts w:hAnsi="宋体"/>
                <w:sz w:val="24"/>
              </w:rPr>
              <w:t>法人</w:t>
            </w:r>
            <w:r>
              <w:rPr>
                <w:sz w:val="24"/>
              </w:rPr>
              <w:t>代表</w:t>
            </w:r>
            <w:r>
              <w:rPr>
                <w:rFonts w:hAnsi="宋体"/>
                <w:sz w:val="24"/>
              </w:rPr>
              <w:t>身份证</w:t>
            </w:r>
            <w:r>
              <w:rPr>
                <w:rFonts w:hint="eastAsia" w:hAnsi="宋体"/>
                <w:sz w:val="24"/>
              </w:rPr>
              <w:t>扫描件或影印件</w:t>
            </w:r>
            <w:r>
              <w:rPr>
                <w:rFonts w:hAnsi="宋体"/>
                <w:sz w:val="24"/>
              </w:rPr>
              <w:t>正面</w:t>
            </w:r>
          </w:p>
        </w:tc>
        <w:tc>
          <w:tcPr>
            <w:tcW w:w="4330" w:type="dxa"/>
            <w:vAlign w:val="center"/>
          </w:tcPr>
          <w:p>
            <w:pPr>
              <w:spacing w:line="480" w:lineRule="exact"/>
              <w:jc w:val="center"/>
              <w:rPr>
                <w:sz w:val="24"/>
              </w:rPr>
            </w:pPr>
            <w:r>
              <w:rPr>
                <w:rFonts w:hAnsi="宋体"/>
                <w:sz w:val="24"/>
              </w:rPr>
              <w:t>法人</w:t>
            </w:r>
            <w:r>
              <w:rPr>
                <w:sz w:val="24"/>
              </w:rPr>
              <w:t>代表</w:t>
            </w:r>
            <w:r>
              <w:rPr>
                <w:rFonts w:hAnsi="宋体"/>
                <w:sz w:val="24"/>
              </w:rPr>
              <w:t>身份证</w:t>
            </w:r>
            <w:r>
              <w:rPr>
                <w:rFonts w:hint="eastAsia" w:hAnsi="宋体"/>
                <w:sz w:val="24"/>
              </w:rPr>
              <w:t>扫描件或影印件</w:t>
            </w:r>
            <w:r>
              <w:rPr>
                <w:rFonts w:hAnsi="宋体"/>
                <w:sz w:val="24"/>
              </w:rPr>
              <w:t>背面</w:t>
            </w:r>
          </w:p>
        </w:tc>
      </w:tr>
    </w:tbl>
    <w:p>
      <w:pPr>
        <w:spacing w:line="500" w:lineRule="exact"/>
        <w:rPr>
          <w:rFonts w:hint="eastAsia"/>
          <w:sz w:val="22"/>
          <w:szCs w:val="22"/>
        </w:rPr>
      </w:pPr>
    </w:p>
    <w:p>
      <w:pPr>
        <w:spacing w:line="500" w:lineRule="exact"/>
        <w:rPr>
          <w:rFonts w:hint="eastAsia"/>
          <w:sz w:val="22"/>
          <w:szCs w:val="22"/>
        </w:rPr>
      </w:pPr>
    </w:p>
    <w:p>
      <w:pPr>
        <w:wordWrap w:val="0"/>
        <w:spacing w:line="500" w:lineRule="exact"/>
        <w:jc w:val="right"/>
        <w:rPr>
          <w:rFonts w:hint="eastAsia"/>
          <w:sz w:val="22"/>
          <w:szCs w:val="22"/>
        </w:rPr>
      </w:pPr>
      <w:r>
        <w:rPr>
          <w:rFonts w:hint="eastAsia"/>
          <w:sz w:val="22"/>
          <w:szCs w:val="22"/>
        </w:rPr>
        <w:t>投标人：</w:t>
      </w:r>
      <w:r>
        <w:rPr>
          <w:rFonts w:hint="eastAsia"/>
          <w:sz w:val="22"/>
          <w:szCs w:val="22"/>
          <w:u w:val="single"/>
        </w:rPr>
        <w:t xml:space="preserve">                          </w:t>
      </w:r>
      <w:r>
        <w:rPr>
          <w:rFonts w:hint="eastAsia"/>
          <w:sz w:val="22"/>
          <w:szCs w:val="22"/>
        </w:rPr>
        <w:t>（盖单位章）</w:t>
      </w:r>
    </w:p>
    <w:p>
      <w:pPr>
        <w:spacing w:beforeLines="20" w:afterLines="20" w:line="540" w:lineRule="exact"/>
        <w:ind w:firstLine="5830" w:firstLineChars="2650"/>
        <w:rPr>
          <w:rFonts w:hint="eastAsia"/>
          <w:sz w:val="28"/>
        </w:rPr>
      </w:pPr>
      <w:r>
        <w:rPr>
          <w:rFonts w:hint="eastAsia"/>
          <w:sz w:val="22"/>
          <w:szCs w:val="22"/>
          <w:u w:val="single"/>
        </w:rPr>
        <w:t xml:space="preserve">         </w:t>
      </w:r>
      <w:r>
        <w:rPr>
          <w:rFonts w:hint="eastAsia"/>
          <w:sz w:val="22"/>
          <w:szCs w:val="22"/>
        </w:rPr>
        <w:t>年</w:t>
      </w:r>
      <w:r>
        <w:rPr>
          <w:rFonts w:hint="eastAsia"/>
          <w:sz w:val="22"/>
          <w:szCs w:val="22"/>
          <w:u w:val="single"/>
        </w:rPr>
        <w:t xml:space="preserve">        </w:t>
      </w:r>
      <w:r>
        <w:rPr>
          <w:rFonts w:hint="eastAsia"/>
          <w:sz w:val="22"/>
          <w:szCs w:val="22"/>
        </w:rPr>
        <w:t>月</w:t>
      </w:r>
      <w:r>
        <w:rPr>
          <w:rFonts w:hint="eastAsia"/>
          <w:sz w:val="22"/>
          <w:szCs w:val="22"/>
          <w:u w:val="single"/>
        </w:rPr>
        <w:t xml:space="preserve">        </w:t>
      </w:r>
      <w:r>
        <w:rPr>
          <w:rFonts w:hint="eastAsia"/>
          <w:sz w:val="22"/>
          <w:szCs w:val="22"/>
        </w:rPr>
        <w:t>日</w:t>
      </w:r>
    </w:p>
    <w:p>
      <w:pPr>
        <w:spacing w:beforeLines="20" w:afterLines="20" w:line="540" w:lineRule="exact"/>
        <w:ind w:firstLine="3840" w:firstLineChars="1600"/>
        <w:rPr>
          <w:rFonts w:hint="eastAsia"/>
          <w:sz w:val="24"/>
          <w:szCs w:val="22"/>
        </w:rPr>
      </w:pPr>
    </w:p>
    <w:p>
      <w:pPr>
        <w:spacing w:beforeLines="20" w:afterLines="20" w:line="540" w:lineRule="exact"/>
        <w:rPr>
          <w:rFonts w:hint="eastAsia"/>
          <w:b/>
          <w:bCs/>
          <w:sz w:val="24"/>
          <w:szCs w:val="22"/>
        </w:rPr>
      </w:pPr>
    </w:p>
    <w:p>
      <w:pPr>
        <w:spacing w:beforeLines="20" w:afterLines="20" w:line="540" w:lineRule="exact"/>
        <w:rPr>
          <w:rFonts w:hint="eastAsia"/>
          <w:b/>
          <w:bCs/>
          <w:sz w:val="24"/>
          <w:szCs w:val="22"/>
        </w:rPr>
      </w:pPr>
    </w:p>
    <w:p>
      <w:pPr>
        <w:spacing w:beforeLines="20" w:afterLines="20" w:line="540" w:lineRule="exact"/>
        <w:rPr>
          <w:rFonts w:hint="eastAsia"/>
          <w:b/>
          <w:bCs/>
          <w:sz w:val="24"/>
          <w:szCs w:val="22"/>
        </w:rPr>
      </w:pPr>
    </w:p>
    <w:bookmarkEnd w:id="469"/>
    <w:p>
      <w:pPr>
        <w:jc w:val="center"/>
        <w:rPr>
          <w:rFonts w:hint="eastAsia"/>
          <w:sz w:val="32"/>
          <w:szCs w:val="32"/>
        </w:rPr>
      </w:pPr>
      <w:bookmarkStart w:id="473" w:name="_Toc535241130"/>
      <w:bookmarkStart w:id="474" w:name="_Toc535241227"/>
      <w:bookmarkStart w:id="475" w:name="_Toc535241084"/>
      <w:bookmarkStart w:id="476" w:name="_Toc224103497"/>
      <w:bookmarkStart w:id="477" w:name="_Toc224103498"/>
      <w:r>
        <w:rPr>
          <w:sz w:val="32"/>
          <w:szCs w:val="32"/>
        </w:rPr>
        <w:br w:type="page"/>
      </w:r>
      <w:r>
        <w:rPr>
          <w:rFonts w:hint="eastAsia" w:eastAsia="黑体"/>
          <w:bCs/>
          <w:sz w:val="24"/>
        </w:rPr>
        <w:t>授权委托书</w:t>
      </w:r>
      <w:bookmarkEnd w:id="473"/>
      <w:bookmarkEnd w:id="474"/>
      <w:bookmarkEnd w:id="475"/>
    </w:p>
    <w:p>
      <w:pPr>
        <w:rPr>
          <w:rFonts w:hint="eastAsia"/>
        </w:rPr>
      </w:pPr>
    </w:p>
    <w:p>
      <w:pPr>
        <w:snapToGrid w:val="0"/>
        <w:spacing w:line="360" w:lineRule="auto"/>
        <w:ind w:firstLine="440" w:firstLineChars="200"/>
        <w:jc w:val="left"/>
        <w:rPr>
          <w:rFonts w:hint="eastAsia"/>
          <w:sz w:val="22"/>
          <w:szCs w:val="22"/>
        </w:rPr>
      </w:pPr>
      <w:r>
        <w:rPr>
          <w:rFonts w:hint="eastAsia"/>
          <w:sz w:val="22"/>
          <w:szCs w:val="22"/>
        </w:rPr>
        <w:t>本人</w:t>
      </w:r>
      <w:r>
        <w:rPr>
          <w:rFonts w:hint="eastAsia"/>
          <w:sz w:val="22"/>
          <w:szCs w:val="22"/>
          <w:u w:val="single"/>
        </w:rPr>
        <w:t xml:space="preserve">           </w:t>
      </w:r>
      <w:r>
        <w:rPr>
          <w:rFonts w:hint="eastAsia"/>
          <w:sz w:val="22"/>
          <w:szCs w:val="22"/>
        </w:rPr>
        <w:t>（姓名）系</w:t>
      </w:r>
      <w:r>
        <w:rPr>
          <w:rFonts w:hint="eastAsia"/>
          <w:sz w:val="22"/>
          <w:szCs w:val="22"/>
          <w:u w:val="single"/>
        </w:rPr>
        <w:t xml:space="preserve">             </w:t>
      </w:r>
      <w:r>
        <w:rPr>
          <w:rFonts w:hint="eastAsia"/>
          <w:sz w:val="22"/>
          <w:szCs w:val="22"/>
        </w:rPr>
        <w:t>（投标人名称）的法定代表人（单位负责人），现委托</w:t>
      </w:r>
      <w:r>
        <w:rPr>
          <w:rFonts w:hint="eastAsia"/>
          <w:sz w:val="22"/>
          <w:szCs w:val="22"/>
          <w:u w:val="single"/>
        </w:rPr>
        <w:t xml:space="preserve">      </w:t>
      </w:r>
      <w:r>
        <w:rPr>
          <w:rFonts w:hint="eastAsia"/>
          <w:sz w:val="22"/>
          <w:szCs w:val="22"/>
        </w:rPr>
        <w:t>（姓名）为我方代理人。代理人根据授权，以我方名义签署、澄清、说明、补正、递交、撤回、修改</w:t>
      </w:r>
      <w:r>
        <w:rPr>
          <w:rFonts w:hint="eastAsia"/>
          <w:sz w:val="22"/>
          <w:szCs w:val="22"/>
          <w:u w:val="single"/>
        </w:rPr>
        <w:t xml:space="preserve">        </w:t>
      </w:r>
      <w:r>
        <w:rPr>
          <w:rFonts w:hint="eastAsia"/>
          <w:sz w:val="22"/>
          <w:szCs w:val="22"/>
        </w:rPr>
        <w:t>（招标项目名称）货物采购招标项目投标文件、签订合同和处理有关事宜，其法律后果由我方承担。</w:t>
      </w:r>
    </w:p>
    <w:p>
      <w:pPr>
        <w:snapToGrid w:val="0"/>
        <w:spacing w:line="360" w:lineRule="auto"/>
        <w:ind w:firstLine="440" w:firstLineChars="200"/>
        <w:rPr>
          <w:rFonts w:hint="eastAsia"/>
          <w:sz w:val="22"/>
          <w:szCs w:val="22"/>
        </w:rPr>
      </w:pPr>
      <w:r>
        <w:rPr>
          <w:rFonts w:hint="eastAsia"/>
          <w:sz w:val="22"/>
          <w:szCs w:val="22"/>
        </w:rPr>
        <w:t>委托期限：</w:t>
      </w:r>
      <w:r>
        <w:rPr>
          <w:rFonts w:hAnsi="宋体"/>
          <w:sz w:val="22"/>
          <w:szCs w:val="22"/>
          <w:u w:val="single"/>
        </w:rPr>
        <w:t>自投标截止之日起至合同完工止</w:t>
      </w:r>
      <w:r>
        <w:rPr>
          <w:rFonts w:hint="eastAsia"/>
          <w:sz w:val="22"/>
          <w:szCs w:val="22"/>
        </w:rPr>
        <w:t>。</w:t>
      </w:r>
    </w:p>
    <w:p>
      <w:pPr>
        <w:snapToGrid w:val="0"/>
        <w:spacing w:line="360" w:lineRule="auto"/>
        <w:ind w:firstLine="440" w:firstLineChars="200"/>
        <w:rPr>
          <w:rFonts w:hint="eastAsia"/>
          <w:sz w:val="22"/>
          <w:szCs w:val="22"/>
        </w:rPr>
      </w:pPr>
      <w:r>
        <w:rPr>
          <w:rFonts w:hint="eastAsia"/>
          <w:sz w:val="22"/>
          <w:szCs w:val="22"/>
        </w:rPr>
        <w:t>代理人无转委托权。</w:t>
      </w:r>
    </w:p>
    <w:p>
      <w:pPr>
        <w:spacing w:line="480" w:lineRule="exact"/>
        <w:ind w:firstLine="440" w:firstLineChars="200"/>
        <w:rPr>
          <w:rFonts w:hAnsi="宋体"/>
          <w:color w:val="0000FF"/>
          <w:sz w:val="22"/>
          <w:szCs w:val="22"/>
        </w:rPr>
      </w:pPr>
      <w:r>
        <w:rPr>
          <w:rFonts w:hAnsi="宋体"/>
          <w:color w:val="0000FF"/>
          <w:sz w:val="22"/>
          <w:szCs w:val="22"/>
        </w:rPr>
        <w:t>注：授权委托人参与开投标活动相关事宜的，必须附上述《</w:t>
      </w:r>
      <w:r>
        <w:rPr>
          <w:color w:val="0000FF"/>
          <w:sz w:val="22"/>
          <w:szCs w:val="22"/>
        </w:rPr>
        <w:t>2.1</w:t>
      </w:r>
      <w:r>
        <w:rPr>
          <w:rFonts w:hAnsi="宋体"/>
          <w:color w:val="0000FF"/>
          <w:sz w:val="22"/>
          <w:szCs w:val="22"/>
        </w:rPr>
        <w:t>法定代表人身份证明》。</w:t>
      </w:r>
    </w:p>
    <w:tbl>
      <w:tblPr>
        <w:tblStyle w:val="55"/>
        <w:tblpPr w:leftFromText="180" w:rightFromText="180" w:vertAnchor="text" w:horzAnchor="page" w:tblpX="1721" w:tblpY="838"/>
        <w:tblOverlap w:val="never"/>
        <w:tblW w:w="8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6"/>
        <w:gridCol w:w="4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trPr>
        <w:tc>
          <w:tcPr>
            <w:tcW w:w="4366" w:type="dxa"/>
            <w:vAlign w:val="center"/>
          </w:tcPr>
          <w:p>
            <w:pPr>
              <w:spacing w:line="480" w:lineRule="exact"/>
              <w:jc w:val="center"/>
              <w:rPr>
                <w:sz w:val="22"/>
                <w:szCs w:val="22"/>
              </w:rPr>
            </w:pPr>
            <w:r>
              <w:rPr>
                <w:rFonts w:hint="eastAsia" w:hAnsi="宋体"/>
                <w:sz w:val="22"/>
                <w:szCs w:val="22"/>
              </w:rPr>
              <w:t>法定代表人身份证明</w:t>
            </w:r>
            <w:r>
              <w:rPr>
                <w:rFonts w:hAnsi="宋体"/>
                <w:sz w:val="22"/>
                <w:szCs w:val="22"/>
              </w:rPr>
              <w:t>正面</w:t>
            </w:r>
            <w:r>
              <w:rPr>
                <w:rFonts w:hint="eastAsia" w:hAnsi="宋体"/>
                <w:sz w:val="22"/>
                <w:szCs w:val="22"/>
              </w:rPr>
              <w:t>扫描件或影印件</w:t>
            </w:r>
          </w:p>
        </w:tc>
        <w:tc>
          <w:tcPr>
            <w:tcW w:w="4317" w:type="dxa"/>
            <w:vAlign w:val="center"/>
          </w:tcPr>
          <w:p>
            <w:pPr>
              <w:spacing w:line="480" w:lineRule="exact"/>
              <w:jc w:val="center"/>
              <w:rPr>
                <w:sz w:val="22"/>
                <w:szCs w:val="22"/>
              </w:rPr>
            </w:pPr>
            <w:r>
              <w:rPr>
                <w:rFonts w:hint="eastAsia" w:hAnsi="宋体"/>
                <w:sz w:val="22"/>
                <w:szCs w:val="22"/>
              </w:rPr>
              <w:t>法定代表人身份证明背面扫描件或影印件</w:t>
            </w:r>
          </w:p>
        </w:tc>
      </w:tr>
    </w:tbl>
    <w:p>
      <w:pPr>
        <w:pStyle w:val="13"/>
        <w:ind w:firstLine="440"/>
        <w:rPr>
          <w:sz w:val="22"/>
          <w:szCs w:val="22"/>
        </w:rPr>
      </w:pPr>
    </w:p>
    <w:p>
      <w:pPr>
        <w:pStyle w:val="13"/>
        <w:ind w:firstLine="440"/>
        <w:rPr>
          <w:sz w:val="22"/>
          <w:szCs w:val="22"/>
        </w:rPr>
      </w:pPr>
    </w:p>
    <w:p>
      <w:pPr>
        <w:pStyle w:val="13"/>
        <w:ind w:firstLine="440"/>
        <w:rPr>
          <w:sz w:val="22"/>
          <w:szCs w:val="22"/>
        </w:rPr>
      </w:pPr>
    </w:p>
    <w:p>
      <w:pPr>
        <w:pStyle w:val="13"/>
        <w:ind w:firstLine="440"/>
        <w:rPr>
          <w:sz w:val="22"/>
          <w:szCs w:val="22"/>
        </w:rPr>
      </w:pP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0"/>
        <w:gridCol w:w="4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7" w:hRule="atLeast"/>
          <w:jc w:val="center"/>
        </w:trPr>
        <w:tc>
          <w:tcPr>
            <w:tcW w:w="4330" w:type="dxa"/>
            <w:vAlign w:val="center"/>
          </w:tcPr>
          <w:p>
            <w:pPr>
              <w:spacing w:line="480" w:lineRule="exact"/>
              <w:jc w:val="center"/>
              <w:rPr>
                <w:sz w:val="22"/>
                <w:szCs w:val="22"/>
              </w:rPr>
            </w:pPr>
            <w:r>
              <w:rPr>
                <w:rFonts w:hAnsi="宋体"/>
                <w:sz w:val="22"/>
                <w:szCs w:val="22"/>
              </w:rPr>
              <w:t>授权委托代理人身份</w:t>
            </w:r>
            <w:r>
              <w:rPr>
                <w:rFonts w:hint="eastAsia" w:hAnsi="宋体"/>
                <w:sz w:val="22"/>
                <w:szCs w:val="22"/>
              </w:rPr>
              <w:t>证</w:t>
            </w:r>
            <w:r>
              <w:rPr>
                <w:rFonts w:hAnsi="宋体"/>
                <w:sz w:val="22"/>
                <w:szCs w:val="22"/>
              </w:rPr>
              <w:t>正面</w:t>
            </w:r>
            <w:r>
              <w:rPr>
                <w:rFonts w:hint="eastAsia" w:hAnsi="宋体"/>
                <w:sz w:val="22"/>
                <w:szCs w:val="22"/>
              </w:rPr>
              <w:t>扫描件或影印件</w:t>
            </w:r>
          </w:p>
        </w:tc>
        <w:tc>
          <w:tcPr>
            <w:tcW w:w="4330" w:type="dxa"/>
            <w:vAlign w:val="center"/>
          </w:tcPr>
          <w:p>
            <w:pPr>
              <w:spacing w:line="480" w:lineRule="exact"/>
              <w:jc w:val="center"/>
              <w:rPr>
                <w:rFonts w:hint="eastAsia"/>
                <w:sz w:val="22"/>
                <w:szCs w:val="22"/>
              </w:rPr>
            </w:pPr>
            <w:r>
              <w:rPr>
                <w:rFonts w:hAnsi="宋体"/>
                <w:sz w:val="22"/>
                <w:szCs w:val="22"/>
              </w:rPr>
              <w:t>授权委托代理人身份</w:t>
            </w:r>
            <w:r>
              <w:rPr>
                <w:rFonts w:hint="eastAsia" w:hAnsi="宋体"/>
                <w:sz w:val="22"/>
                <w:szCs w:val="22"/>
              </w:rPr>
              <w:t>证背面扫描件或影印件</w:t>
            </w:r>
          </w:p>
        </w:tc>
      </w:tr>
      <w:bookmarkEnd w:id="476"/>
      <w:bookmarkEnd w:id="477"/>
    </w:tbl>
    <w:p>
      <w:pPr>
        <w:spacing w:line="900" w:lineRule="exact"/>
        <w:ind w:firstLine="1513" w:firstLineChars="688"/>
        <w:rPr>
          <w:sz w:val="22"/>
          <w:szCs w:val="22"/>
        </w:rPr>
      </w:pPr>
      <w:bookmarkStart w:id="478" w:name="_Toc460227109"/>
      <w:bookmarkStart w:id="479" w:name="_Toc390411622"/>
      <w:bookmarkStart w:id="480" w:name="_Toc460660224"/>
      <w:bookmarkStart w:id="481" w:name="_Toc224103499"/>
      <w:bookmarkStart w:id="482" w:name="_Toc421917002"/>
      <w:r>
        <w:rPr>
          <w:rFonts w:hAnsi="宋体"/>
          <w:sz w:val="22"/>
          <w:szCs w:val="22"/>
        </w:rPr>
        <w:t>投</w:t>
      </w:r>
      <w:r>
        <w:rPr>
          <w:sz w:val="22"/>
          <w:szCs w:val="22"/>
        </w:rPr>
        <w:t xml:space="preserve">  </w:t>
      </w:r>
      <w:r>
        <w:rPr>
          <w:rFonts w:hAnsi="宋体"/>
          <w:sz w:val="22"/>
          <w:szCs w:val="22"/>
        </w:rPr>
        <w:t>标</w:t>
      </w:r>
      <w:r>
        <w:rPr>
          <w:sz w:val="22"/>
          <w:szCs w:val="22"/>
        </w:rPr>
        <w:t xml:space="preserve">  </w:t>
      </w:r>
      <w:r>
        <w:rPr>
          <w:rFonts w:hAnsi="宋体"/>
          <w:sz w:val="22"/>
          <w:szCs w:val="22"/>
        </w:rPr>
        <w:t>人：</w:t>
      </w:r>
      <w:r>
        <w:rPr>
          <w:sz w:val="22"/>
          <w:szCs w:val="22"/>
          <w:u w:val="single"/>
        </w:rPr>
        <w:t xml:space="preserve">                               </w:t>
      </w:r>
      <w:r>
        <w:rPr>
          <w:rFonts w:hint="eastAsia"/>
          <w:sz w:val="22"/>
          <w:szCs w:val="22"/>
          <w:u w:val="single"/>
          <w:lang w:eastAsia="zh-CN"/>
        </w:rPr>
        <w:t>（</w:t>
      </w:r>
      <w:r>
        <w:rPr>
          <w:rFonts w:hAnsi="宋体"/>
          <w:sz w:val="22"/>
          <w:szCs w:val="22"/>
        </w:rPr>
        <w:t>盖单位公章</w:t>
      </w:r>
      <w:r>
        <w:rPr>
          <w:rFonts w:hint="eastAsia" w:hAnsi="宋体"/>
          <w:sz w:val="22"/>
          <w:szCs w:val="22"/>
          <w:lang w:eastAsia="zh-CN"/>
        </w:rPr>
        <w:t>）</w:t>
      </w:r>
    </w:p>
    <w:p>
      <w:pPr>
        <w:spacing w:line="900" w:lineRule="exact"/>
        <w:ind w:firstLine="1513" w:firstLineChars="688"/>
        <w:rPr>
          <w:sz w:val="22"/>
          <w:szCs w:val="22"/>
        </w:rPr>
      </w:pPr>
      <w:r>
        <w:rPr>
          <w:rFonts w:hAnsi="宋体"/>
          <w:sz w:val="22"/>
          <w:szCs w:val="22"/>
        </w:rPr>
        <w:t>法定代表人：</w:t>
      </w:r>
      <w:r>
        <w:rPr>
          <w:sz w:val="22"/>
          <w:szCs w:val="22"/>
          <w:u w:val="single"/>
        </w:rPr>
        <w:t xml:space="preserve">                </w:t>
      </w:r>
      <w:r>
        <w:rPr>
          <w:sz w:val="22"/>
          <w:szCs w:val="22"/>
        </w:rPr>
        <w:t xml:space="preserve"> </w:t>
      </w:r>
      <w:r>
        <w:rPr>
          <w:rFonts w:hint="eastAsia"/>
          <w:sz w:val="22"/>
          <w:szCs w:val="22"/>
          <w:lang w:eastAsia="zh-CN"/>
        </w:rPr>
        <w:t>（</w:t>
      </w:r>
      <w:r>
        <w:rPr>
          <w:rFonts w:hint="eastAsia" w:hAnsi="宋体"/>
          <w:sz w:val="22"/>
          <w:szCs w:val="22"/>
        </w:rPr>
        <w:t>签字或加盖其个人电子印章/电子签名章</w:t>
      </w:r>
      <w:r>
        <w:rPr>
          <w:rFonts w:hint="eastAsia" w:hAnsi="宋体"/>
          <w:sz w:val="22"/>
          <w:szCs w:val="22"/>
          <w:lang w:eastAsia="zh-CN"/>
        </w:rPr>
        <w:t>）</w:t>
      </w:r>
    </w:p>
    <w:p>
      <w:pPr>
        <w:spacing w:line="900" w:lineRule="exact"/>
        <w:ind w:firstLine="1513" w:firstLineChars="688"/>
        <w:rPr>
          <w:sz w:val="22"/>
          <w:szCs w:val="22"/>
          <w:u w:val="single"/>
        </w:rPr>
      </w:pPr>
      <w:r>
        <w:rPr>
          <w:rFonts w:hAnsi="宋体"/>
          <w:sz w:val="22"/>
          <w:szCs w:val="22"/>
        </w:rPr>
        <w:t>身份证号码：</w:t>
      </w:r>
      <w:r>
        <w:rPr>
          <w:sz w:val="22"/>
          <w:szCs w:val="22"/>
          <w:u w:val="single"/>
        </w:rPr>
        <w:t xml:space="preserve">                               </w:t>
      </w:r>
    </w:p>
    <w:p>
      <w:pPr>
        <w:spacing w:line="900" w:lineRule="exact"/>
        <w:ind w:firstLine="1513" w:firstLineChars="688"/>
        <w:rPr>
          <w:sz w:val="22"/>
          <w:szCs w:val="22"/>
        </w:rPr>
      </w:pPr>
      <w:r>
        <w:rPr>
          <w:rFonts w:hAnsi="宋体"/>
          <w:sz w:val="22"/>
          <w:szCs w:val="22"/>
        </w:rPr>
        <w:t>授权委托代理人：</w:t>
      </w:r>
      <w:r>
        <w:rPr>
          <w:sz w:val="22"/>
          <w:szCs w:val="22"/>
          <w:u w:val="single"/>
        </w:rPr>
        <w:t xml:space="preserve">              </w:t>
      </w:r>
      <w:r>
        <w:rPr>
          <w:sz w:val="22"/>
          <w:szCs w:val="22"/>
        </w:rPr>
        <w:t xml:space="preserve"> </w:t>
      </w:r>
      <w:r>
        <w:rPr>
          <w:rFonts w:hint="eastAsia"/>
          <w:sz w:val="22"/>
          <w:szCs w:val="22"/>
          <w:lang w:eastAsia="zh-CN"/>
        </w:rPr>
        <w:t>（</w:t>
      </w:r>
      <w:r>
        <w:rPr>
          <w:rFonts w:hint="eastAsia" w:hAnsi="宋体"/>
          <w:sz w:val="22"/>
          <w:szCs w:val="22"/>
        </w:rPr>
        <w:t>签字或加盖其个人电子印章/电子签名章</w:t>
      </w:r>
      <w:r>
        <w:rPr>
          <w:rFonts w:hint="eastAsia" w:hAnsi="宋体"/>
          <w:sz w:val="22"/>
          <w:szCs w:val="22"/>
          <w:lang w:eastAsia="zh-CN"/>
        </w:rPr>
        <w:t>）</w:t>
      </w:r>
    </w:p>
    <w:p>
      <w:pPr>
        <w:spacing w:line="900" w:lineRule="exact"/>
        <w:ind w:firstLine="1513" w:firstLineChars="688"/>
        <w:rPr>
          <w:sz w:val="22"/>
          <w:szCs w:val="22"/>
        </w:rPr>
      </w:pPr>
      <w:r>
        <w:rPr>
          <w:rFonts w:hAnsi="宋体"/>
          <w:sz w:val="22"/>
          <w:szCs w:val="22"/>
        </w:rPr>
        <w:t>身份证号码：</w:t>
      </w:r>
      <w:r>
        <w:rPr>
          <w:sz w:val="22"/>
          <w:szCs w:val="22"/>
          <w:u w:val="single"/>
        </w:rPr>
        <w:t xml:space="preserve">                               </w:t>
      </w:r>
    </w:p>
    <w:p>
      <w:pPr>
        <w:spacing w:line="800" w:lineRule="exact"/>
        <w:jc w:val="right"/>
        <w:rPr>
          <w:rFonts w:hint="eastAsia"/>
          <w:sz w:val="22"/>
          <w:szCs w:val="22"/>
        </w:rPr>
      </w:pPr>
      <w:r>
        <w:rPr>
          <w:sz w:val="22"/>
          <w:szCs w:val="22"/>
        </w:rPr>
        <w:t xml:space="preserve"> </w:t>
      </w:r>
      <w:r>
        <w:rPr>
          <w:sz w:val="22"/>
          <w:szCs w:val="22"/>
          <w:u w:val="single"/>
        </w:rPr>
        <w:t xml:space="preserve">      </w:t>
      </w:r>
      <w:r>
        <w:rPr>
          <w:rFonts w:hAnsi="宋体"/>
          <w:sz w:val="22"/>
          <w:szCs w:val="22"/>
        </w:rPr>
        <w:t>年</w:t>
      </w:r>
      <w:r>
        <w:rPr>
          <w:sz w:val="22"/>
          <w:szCs w:val="22"/>
          <w:u w:val="single"/>
        </w:rPr>
        <w:t xml:space="preserve">    </w:t>
      </w:r>
      <w:r>
        <w:rPr>
          <w:rFonts w:hAnsi="宋体"/>
          <w:sz w:val="22"/>
          <w:szCs w:val="22"/>
        </w:rPr>
        <w:t>月</w:t>
      </w:r>
      <w:r>
        <w:rPr>
          <w:sz w:val="22"/>
          <w:szCs w:val="22"/>
          <w:u w:val="single"/>
        </w:rPr>
        <w:t xml:space="preserve">    </w:t>
      </w:r>
      <w:r>
        <w:rPr>
          <w:rFonts w:hAnsi="宋体"/>
          <w:sz w:val="22"/>
          <w:szCs w:val="22"/>
        </w:rPr>
        <w:t>日</w:t>
      </w:r>
      <w:bookmarkEnd w:id="478"/>
      <w:bookmarkEnd w:id="479"/>
      <w:bookmarkEnd w:id="480"/>
      <w:bookmarkEnd w:id="481"/>
      <w:bookmarkEnd w:id="482"/>
      <w:bookmarkStart w:id="483" w:name="_Toc460660225"/>
      <w:bookmarkStart w:id="484" w:name="_Toc460227110"/>
    </w:p>
    <w:p>
      <w:pPr>
        <w:pStyle w:val="4"/>
        <w:jc w:val="center"/>
      </w:pPr>
      <w:bookmarkStart w:id="485" w:name="_Toc460660229"/>
      <w:bookmarkStart w:id="486" w:name="_Toc460227114"/>
      <w:bookmarkStart w:id="487" w:name="_Toc535241229"/>
      <w:bookmarkStart w:id="488" w:name="_Toc535241086"/>
      <w:bookmarkStart w:id="489" w:name="_Toc535241132"/>
      <w:r>
        <w:rPr>
          <w:rFonts w:hint="eastAsia" w:ascii="Times New Roman" w:hAnsi="Times New Roman"/>
        </w:rPr>
        <w:t>三、投标保证金</w:t>
      </w:r>
      <w:bookmarkEnd w:id="485"/>
      <w:bookmarkEnd w:id="486"/>
    </w:p>
    <w:p>
      <w:pPr>
        <w:spacing w:line="440" w:lineRule="exact"/>
        <w:ind w:left="105" w:leftChars="50" w:right="105" w:rightChars="50" w:firstLine="440" w:firstLineChars="200"/>
        <w:jc w:val="left"/>
        <w:rPr>
          <w:rFonts w:hint="eastAsia"/>
          <w:sz w:val="22"/>
          <w:szCs w:val="28"/>
        </w:rPr>
      </w:pPr>
      <w:r>
        <w:rPr>
          <w:rFonts w:hint="eastAsia"/>
          <w:sz w:val="22"/>
          <w:szCs w:val="28"/>
        </w:rPr>
        <w:t>如采用前附表中第一</w:t>
      </w:r>
      <w:r>
        <w:rPr>
          <w:rFonts w:hint="eastAsia"/>
          <w:sz w:val="22"/>
          <w:szCs w:val="28"/>
          <w:lang w:eastAsia="zh-CN"/>
        </w:rPr>
        <w:t>类型</w:t>
      </w:r>
      <w:r>
        <w:rPr>
          <w:rFonts w:hint="eastAsia"/>
          <w:sz w:val="22"/>
          <w:szCs w:val="28"/>
        </w:rPr>
        <w:t>式的投标担保，投标人应在此提供银行回单的扫描件、基本账户开户许可证扫描件（或基本存款账户编号）。</w:t>
      </w:r>
    </w:p>
    <w:p>
      <w:pPr>
        <w:spacing w:line="440" w:lineRule="exact"/>
        <w:ind w:left="105" w:leftChars="50" w:right="105" w:rightChars="50" w:firstLine="440" w:firstLineChars="200"/>
        <w:jc w:val="left"/>
        <w:rPr>
          <w:rFonts w:hint="eastAsia"/>
          <w:sz w:val="22"/>
          <w:szCs w:val="28"/>
        </w:rPr>
      </w:pPr>
      <w:r>
        <w:rPr>
          <w:rFonts w:hint="eastAsia"/>
          <w:sz w:val="22"/>
          <w:szCs w:val="28"/>
        </w:rPr>
        <w:t>如采用前附表中第二</w:t>
      </w:r>
      <w:r>
        <w:rPr>
          <w:rFonts w:hint="eastAsia"/>
          <w:sz w:val="22"/>
          <w:szCs w:val="28"/>
          <w:lang w:eastAsia="zh-CN"/>
        </w:rPr>
        <w:t>类型</w:t>
      </w:r>
      <w:r>
        <w:rPr>
          <w:rFonts w:hint="eastAsia"/>
          <w:sz w:val="22"/>
          <w:szCs w:val="28"/>
        </w:rPr>
        <w:t>式的银行保函，投标人应在此提供基本账户开户许可证扫描件，同</w:t>
      </w:r>
    </w:p>
    <w:p>
      <w:pPr>
        <w:spacing w:line="440" w:lineRule="exact"/>
        <w:ind w:right="105" w:rightChars="50"/>
        <w:jc w:val="left"/>
        <w:rPr>
          <w:rFonts w:hint="eastAsia"/>
          <w:sz w:val="22"/>
          <w:szCs w:val="28"/>
        </w:rPr>
      </w:pPr>
      <w:r>
        <w:rPr>
          <w:rFonts w:hint="eastAsia"/>
          <w:sz w:val="22"/>
          <w:szCs w:val="28"/>
        </w:rPr>
        <w:t xml:space="preserve">时将银行保函扫描件提供在投标文件中，格式见投标保函示范文本。 </w:t>
      </w:r>
    </w:p>
    <w:p>
      <w:pPr>
        <w:spacing w:line="440" w:lineRule="exact"/>
        <w:ind w:left="105" w:leftChars="50" w:right="105" w:rightChars="50" w:firstLine="440" w:firstLineChars="200"/>
        <w:jc w:val="left"/>
        <w:rPr>
          <w:rFonts w:hint="eastAsia"/>
          <w:sz w:val="22"/>
          <w:szCs w:val="28"/>
        </w:rPr>
      </w:pPr>
      <w:r>
        <w:rPr>
          <w:rFonts w:hint="eastAsia"/>
          <w:sz w:val="22"/>
          <w:szCs w:val="28"/>
        </w:rPr>
        <w:t>如采用前附表中第二</w:t>
      </w:r>
      <w:r>
        <w:rPr>
          <w:rFonts w:hint="eastAsia"/>
          <w:sz w:val="22"/>
          <w:szCs w:val="28"/>
          <w:lang w:eastAsia="zh-CN"/>
        </w:rPr>
        <w:t>类型</w:t>
      </w:r>
      <w:r>
        <w:rPr>
          <w:rFonts w:hint="eastAsia"/>
          <w:sz w:val="22"/>
          <w:szCs w:val="28"/>
        </w:rPr>
        <w:t>式的担保机构担保或保证保险，担保机构担保或保证保险扫描件提</w:t>
      </w:r>
    </w:p>
    <w:p>
      <w:pPr>
        <w:spacing w:line="440" w:lineRule="exact"/>
        <w:ind w:right="105" w:rightChars="50"/>
        <w:jc w:val="left"/>
        <w:rPr>
          <w:rFonts w:hint="eastAsia"/>
          <w:sz w:val="22"/>
          <w:szCs w:val="28"/>
        </w:rPr>
      </w:pPr>
      <w:r>
        <w:rPr>
          <w:rFonts w:hint="eastAsia"/>
          <w:sz w:val="22"/>
          <w:szCs w:val="28"/>
        </w:rPr>
        <w:t xml:space="preserve">供在投标文件中，格式见投标保函示范文本。 </w:t>
      </w:r>
    </w:p>
    <w:p>
      <w:pPr>
        <w:spacing w:line="440" w:lineRule="exact"/>
        <w:ind w:left="105" w:leftChars="50" w:right="105" w:rightChars="50" w:firstLine="440" w:firstLineChars="200"/>
        <w:jc w:val="left"/>
        <w:rPr>
          <w:rFonts w:hint="eastAsia"/>
          <w:sz w:val="22"/>
          <w:szCs w:val="28"/>
        </w:rPr>
      </w:pPr>
      <w:r>
        <w:rPr>
          <w:rFonts w:hint="eastAsia"/>
          <w:sz w:val="22"/>
          <w:szCs w:val="28"/>
        </w:rPr>
        <w:t>如采用前附表中第三类电子保函形式，系统自动抓取电子保函信息，投标文件无需提供。</w:t>
      </w:r>
    </w:p>
    <w:p>
      <w:pPr>
        <w:widowControl/>
        <w:jc w:val="center"/>
        <w:rPr>
          <w:rFonts w:hint="eastAsia" w:ascii="宋体" w:hAnsi="宋体" w:cs="宋体"/>
          <w:b/>
          <w:bCs/>
          <w:color w:val="000000"/>
          <w:kern w:val="0"/>
          <w:szCs w:val="21"/>
        </w:rPr>
      </w:pPr>
    </w:p>
    <w:p>
      <w:pPr>
        <w:widowControl/>
        <w:jc w:val="center"/>
        <w:rPr>
          <w:rFonts w:hint="eastAsia" w:ascii="宋体" w:hAnsi="宋体" w:cs="宋体"/>
          <w:b/>
          <w:bCs/>
          <w:color w:val="000000"/>
          <w:kern w:val="0"/>
          <w:szCs w:val="21"/>
        </w:rPr>
        <w:sectPr>
          <w:footnotePr>
            <w:numFmt w:val="decimalEnclosedCircleChinese"/>
            <w:numRestart w:val="eachPage"/>
          </w:footnotePr>
          <w:pgSz w:w="11907" w:h="16840"/>
          <w:pgMar w:top="1474" w:right="1474" w:bottom="1474" w:left="1474" w:header="799" w:footer="907" w:gutter="0"/>
          <w:cols w:space="720" w:num="1"/>
          <w:docGrid w:linePitch="271" w:charSpace="0"/>
        </w:sectPr>
      </w:pPr>
    </w:p>
    <w:p>
      <w:pPr>
        <w:widowControl/>
        <w:jc w:val="center"/>
      </w:pPr>
      <w:r>
        <w:rPr>
          <w:rFonts w:hint="eastAsia" w:ascii="宋体" w:hAnsi="宋体" w:cs="宋体"/>
          <w:b/>
          <w:bCs/>
          <w:color w:val="000000"/>
          <w:kern w:val="0"/>
          <w:szCs w:val="21"/>
        </w:rPr>
        <w:t>投标保函示范文本</w:t>
      </w:r>
    </w:p>
    <w:p>
      <w:pPr>
        <w:widowControl/>
        <w:jc w:val="right"/>
      </w:pPr>
      <w:r>
        <w:rPr>
          <w:rFonts w:hint="eastAsia" w:ascii="宋体" w:hAnsi="宋体" w:cs="宋体"/>
          <w:color w:val="000000"/>
          <w:kern w:val="0"/>
          <w:szCs w:val="21"/>
        </w:rPr>
        <w:t xml:space="preserve">编号： </w:t>
      </w:r>
    </w:p>
    <w:p>
      <w:pPr>
        <w:spacing w:line="440" w:lineRule="exact"/>
        <w:ind w:left="105" w:leftChars="50" w:right="105" w:rightChars="50" w:firstLine="55" w:firstLineChars="25"/>
        <w:jc w:val="left"/>
        <w:rPr>
          <w:snapToGrid w:val="0"/>
          <w:kern w:val="0"/>
          <w:sz w:val="22"/>
          <w:szCs w:val="22"/>
        </w:rPr>
      </w:pPr>
      <w:r>
        <w:rPr>
          <w:rFonts w:hint="eastAsia" w:eastAsia="黑体"/>
          <w:snapToGrid w:val="0"/>
          <w:color w:val="000000"/>
          <w:kern w:val="0"/>
          <w:sz w:val="22"/>
          <w:szCs w:val="22"/>
          <w:u w:val="single"/>
        </w:rPr>
        <w:t xml:space="preserve">           </w:t>
      </w:r>
      <w:r>
        <w:rPr>
          <w:snapToGrid w:val="0"/>
          <w:color w:val="000000"/>
          <w:kern w:val="0"/>
          <w:sz w:val="22"/>
          <w:szCs w:val="22"/>
        </w:rPr>
        <w:t>（招标人名称）：</w:t>
      </w:r>
    </w:p>
    <w:p>
      <w:pPr>
        <w:spacing w:line="440" w:lineRule="exact"/>
        <w:ind w:left="105" w:leftChars="50" w:right="105" w:rightChars="50" w:firstLine="55" w:firstLineChars="25"/>
        <w:jc w:val="left"/>
        <w:rPr>
          <w:snapToGrid w:val="0"/>
          <w:kern w:val="0"/>
          <w:sz w:val="22"/>
          <w:szCs w:val="22"/>
        </w:rPr>
      </w:pPr>
    </w:p>
    <w:p>
      <w:pPr>
        <w:spacing w:line="440" w:lineRule="exact"/>
        <w:ind w:left="105" w:leftChars="50" w:right="105" w:rightChars="50" w:firstLine="440" w:firstLineChars="200"/>
        <w:jc w:val="left"/>
        <w:rPr>
          <w:rFonts w:hint="eastAsia"/>
          <w:sz w:val="22"/>
          <w:szCs w:val="22"/>
        </w:rPr>
      </w:pPr>
      <w:r>
        <w:rPr>
          <w:rFonts w:hint="eastAsia"/>
          <w:sz w:val="22"/>
          <w:szCs w:val="22"/>
        </w:rPr>
        <w:t>开立人获得通知，</w:t>
      </w:r>
      <w:r>
        <w:rPr>
          <w:rFonts w:hint="eastAsia"/>
          <w:sz w:val="22"/>
          <w:szCs w:val="22"/>
          <w:u w:val="single"/>
        </w:rPr>
        <w:t xml:space="preserve">      </w:t>
      </w:r>
      <w:r>
        <w:rPr>
          <w:rFonts w:hint="eastAsia"/>
          <w:sz w:val="22"/>
          <w:szCs w:val="22"/>
        </w:rPr>
        <w:t>（投标人）于</w:t>
      </w:r>
      <w:r>
        <w:rPr>
          <w:rFonts w:hint="eastAsia"/>
          <w:sz w:val="22"/>
          <w:szCs w:val="22"/>
          <w:u w:val="single"/>
        </w:rPr>
        <w:t xml:space="preserve">    </w:t>
      </w:r>
      <w:r>
        <w:rPr>
          <w:rFonts w:hint="eastAsia"/>
          <w:sz w:val="22"/>
          <w:szCs w:val="22"/>
        </w:rPr>
        <w:t xml:space="preserve">年 </w:t>
      </w:r>
      <w:r>
        <w:rPr>
          <w:rFonts w:hint="eastAsia"/>
          <w:sz w:val="22"/>
          <w:szCs w:val="22"/>
          <w:u w:val="single"/>
        </w:rPr>
        <w:t xml:space="preserve">  </w:t>
      </w:r>
      <w:r>
        <w:rPr>
          <w:rFonts w:hint="eastAsia"/>
          <w:sz w:val="22"/>
          <w:szCs w:val="22"/>
        </w:rPr>
        <w:t xml:space="preserve"> 月 </w:t>
      </w:r>
      <w:r>
        <w:rPr>
          <w:rFonts w:hint="eastAsia"/>
          <w:sz w:val="22"/>
          <w:szCs w:val="22"/>
          <w:u w:val="single"/>
        </w:rPr>
        <w:t xml:space="preserve">  </w:t>
      </w:r>
      <w:r>
        <w:rPr>
          <w:rFonts w:hint="eastAsia"/>
          <w:sz w:val="22"/>
          <w:szCs w:val="22"/>
        </w:rPr>
        <w:t xml:space="preserve"> 日参加编号为</w:t>
      </w:r>
      <w:r>
        <w:rPr>
          <w:rFonts w:hint="eastAsia"/>
          <w:sz w:val="22"/>
          <w:szCs w:val="22"/>
          <w:u w:val="single"/>
        </w:rPr>
        <w:t xml:space="preserve">          </w:t>
      </w:r>
      <w:r>
        <w:rPr>
          <w:rFonts w:hint="eastAsia"/>
          <w:sz w:val="22"/>
          <w:szCs w:val="22"/>
        </w:rPr>
        <w:t>的安徽省第二人民医院专科医疗及科教功能区建设项目楼层配电箱采购项目投标（即“基础交易”）。</w:t>
      </w:r>
    </w:p>
    <w:p>
      <w:pPr>
        <w:spacing w:line="440" w:lineRule="exact"/>
        <w:ind w:left="105" w:leftChars="50" w:right="105" w:rightChars="50" w:firstLine="440" w:firstLineChars="200"/>
        <w:jc w:val="left"/>
        <w:rPr>
          <w:rFonts w:hint="eastAsia"/>
          <w:sz w:val="22"/>
          <w:szCs w:val="22"/>
        </w:rPr>
      </w:pPr>
      <w:r>
        <w:rPr>
          <w:rFonts w:hint="eastAsia"/>
          <w:sz w:val="22"/>
          <w:szCs w:val="22"/>
        </w:rPr>
        <w:t>一、开立人理解根据招标条件，投标人必须提交一份投标保函（以下简称“本保函”），以担</w:t>
      </w:r>
    </w:p>
    <w:p>
      <w:pPr>
        <w:spacing w:line="440" w:lineRule="exact"/>
        <w:ind w:left="105" w:leftChars="50" w:right="105" w:rightChars="50" w:firstLine="440" w:firstLineChars="200"/>
        <w:jc w:val="left"/>
        <w:rPr>
          <w:rFonts w:hint="eastAsia"/>
          <w:sz w:val="22"/>
          <w:szCs w:val="22"/>
        </w:rPr>
      </w:pPr>
      <w:r>
        <w:rPr>
          <w:rFonts w:hint="eastAsia"/>
          <w:sz w:val="22"/>
          <w:szCs w:val="22"/>
        </w:rPr>
        <w:t>保投标人诚信履行其在上述基础交易中承担</w:t>
      </w:r>
      <w:r>
        <w:rPr>
          <w:rFonts w:hint="eastAsia"/>
          <w:snapToGrid w:val="0"/>
          <w:color w:val="000000"/>
          <w:kern w:val="0"/>
          <w:sz w:val="22"/>
          <w:szCs w:val="22"/>
        </w:rPr>
        <w:t>的投标人义务。</w:t>
      </w:r>
      <w:r>
        <w:rPr>
          <w:rFonts w:hint="eastAsia"/>
          <w:snapToGrid w:val="0"/>
          <w:color w:val="000000"/>
          <w:kern w:val="0"/>
          <w:sz w:val="22"/>
          <w:szCs w:val="22"/>
          <w:lang w:eastAsia="zh-CN"/>
        </w:rPr>
        <w:t>鉴（之）于此</w:t>
      </w:r>
      <w:r>
        <w:rPr>
          <w:rFonts w:hint="eastAsia"/>
          <w:sz w:val="22"/>
          <w:szCs w:val="22"/>
        </w:rPr>
        <w:t>，应申请人要求，开立人在此同意向受益人出具此投标保函，本保函担保金额为人民币（大写）</w:t>
      </w:r>
      <w:r>
        <w:rPr>
          <w:rFonts w:hint="eastAsia"/>
          <w:sz w:val="22"/>
          <w:szCs w:val="22"/>
          <w:u w:val="single"/>
        </w:rPr>
        <w:t xml:space="preserve">    </w:t>
      </w:r>
      <w:r>
        <w:rPr>
          <w:rFonts w:hint="eastAsia"/>
          <w:sz w:val="22"/>
          <w:szCs w:val="22"/>
        </w:rPr>
        <w:t>元（¥</w:t>
      </w:r>
      <w:r>
        <w:rPr>
          <w:rFonts w:hint="eastAsia"/>
          <w:sz w:val="22"/>
          <w:szCs w:val="22"/>
          <w:u w:val="single"/>
        </w:rPr>
        <w:t xml:space="preserve">      </w:t>
      </w:r>
      <w:r>
        <w:rPr>
          <w:rFonts w:hint="eastAsia"/>
          <w:sz w:val="22"/>
          <w:szCs w:val="22"/>
        </w:rPr>
        <w:t>）。</w:t>
      </w:r>
    </w:p>
    <w:p>
      <w:pPr>
        <w:spacing w:line="440" w:lineRule="exact"/>
        <w:ind w:left="105" w:leftChars="50" w:right="105" w:rightChars="50" w:firstLine="440" w:firstLineChars="200"/>
        <w:jc w:val="left"/>
        <w:rPr>
          <w:rFonts w:hint="eastAsia"/>
          <w:sz w:val="22"/>
          <w:szCs w:val="22"/>
        </w:rPr>
      </w:pPr>
      <w:r>
        <w:rPr>
          <w:rFonts w:hint="eastAsia"/>
          <w:sz w:val="22"/>
          <w:szCs w:val="22"/>
        </w:rPr>
        <w:t xml:space="preserve">二、开立人在投标人发生以下情形时承担保证担保责任： </w:t>
      </w:r>
    </w:p>
    <w:p>
      <w:pPr>
        <w:spacing w:line="440" w:lineRule="exact"/>
        <w:ind w:left="105" w:leftChars="50" w:right="105" w:rightChars="50" w:firstLine="440" w:firstLineChars="200"/>
        <w:jc w:val="left"/>
        <w:rPr>
          <w:rFonts w:hint="eastAsia"/>
          <w:sz w:val="22"/>
          <w:szCs w:val="22"/>
        </w:rPr>
      </w:pPr>
      <w:r>
        <w:rPr>
          <w:rFonts w:hint="eastAsia"/>
          <w:sz w:val="22"/>
          <w:szCs w:val="22"/>
        </w:rPr>
        <w:t xml:space="preserve">（1）投标人在投标有效期内撤销投标文件； </w:t>
      </w:r>
    </w:p>
    <w:p>
      <w:pPr>
        <w:spacing w:line="440" w:lineRule="exact"/>
        <w:ind w:left="105" w:leftChars="50" w:right="105" w:rightChars="50" w:firstLine="440" w:firstLineChars="200"/>
        <w:jc w:val="left"/>
        <w:rPr>
          <w:rFonts w:hint="eastAsia"/>
          <w:sz w:val="22"/>
          <w:szCs w:val="22"/>
        </w:rPr>
      </w:pPr>
      <w:r>
        <w:rPr>
          <w:rFonts w:hint="eastAsia"/>
          <w:sz w:val="22"/>
          <w:szCs w:val="22"/>
        </w:rPr>
        <w:t xml:space="preserve">（2）投标人在中标后无正当理由不与招标人订立合同； </w:t>
      </w:r>
    </w:p>
    <w:p>
      <w:pPr>
        <w:spacing w:line="440" w:lineRule="exact"/>
        <w:ind w:left="105" w:leftChars="50" w:right="105" w:rightChars="50" w:firstLine="440" w:firstLineChars="200"/>
        <w:jc w:val="left"/>
        <w:rPr>
          <w:rFonts w:hint="eastAsia"/>
          <w:sz w:val="22"/>
          <w:szCs w:val="22"/>
        </w:rPr>
      </w:pPr>
      <w:r>
        <w:rPr>
          <w:rFonts w:hint="eastAsia"/>
          <w:sz w:val="22"/>
          <w:szCs w:val="22"/>
        </w:rPr>
        <w:t xml:space="preserve">（3）投标人在签订合同时向招标人提出附加条件； </w:t>
      </w:r>
    </w:p>
    <w:p>
      <w:pPr>
        <w:spacing w:line="440" w:lineRule="exact"/>
        <w:ind w:left="105" w:leftChars="50" w:right="105" w:rightChars="50" w:firstLine="440" w:firstLineChars="200"/>
        <w:jc w:val="left"/>
        <w:rPr>
          <w:rFonts w:hint="eastAsia"/>
          <w:sz w:val="22"/>
          <w:szCs w:val="22"/>
        </w:rPr>
      </w:pPr>
      <w:r>
        <w:rPr>
          <w:rFonts w:hint="eastAsia"/>
          <w:sz w:val="22"/>
          <w:szCs w:val="22"/>
        </w:rPr>
        <w:t xml:space="preserve">（4）投标人不按照招标文件要求提交履约保证金； </w:t>
      </w:r>
    </w:p>
    <w:p>
      <w:pPr>
        <w:spacing w:line="440" w:lineRule="exact"/>
        <w:ind w:left="105" w:leftChars="50" w:right="105" w:rightChars="50" w:firstLine="440" w:firstLineChars="200"/>
        <w:jc w:val="left"/>
        <w:rPr>
          <w:rFonts w:hint="eastAsia"/>
          <w:sz w:val="22"/>
          <w:szCs w:val="22"/>
        </w:rPr>
      </w:pPr>
      <w:r>
        <w:rPr>
          <w:rFonts w:hint="eastAsia"/>
          <w:sz w:val="22"/>
          <w:szCs w:val="22"/>
        </w:rPr>
        <w:t xml:space="preserve">（5）发生招标文件明确规定可以不予退还投标保证金的其他情形。 </w:t>
      </w:r>
    </w:p>
    <w:p>
      <w:pPr>
        <w:spacing w:line="440" w:lineRule="exact"/>
        <w:ind w:left="105" w:leftChars="50" w:right="105" w:rightChars="50" w:firstLine="440" w:firstLineChars="200"/>
        <w:jc w:val="left"/>
        <w:rPr>
          <w:rFonts w:hint="eastAsia"/>
          <w:sz w:val="22"/>
          <w:szCs w:val="22"/>
        </w:rPr>
      </w:pPr>
      <w:r>
        <w:rPr>
          <w:rFonts w:hint="eastAsia"/>
          <w:sz w:val="22"/>
          <w:szCs w:val="22"/>
        </w:rPr>
        <w:t xml:space="preserve">三、本保函为不可撤销、不可转让的见索即付独立保函。本保函有效期自开立之日起至投标有效期届满之日止。 </w:t>
      </w:r>
    </w:p>
    <w:p>
      <w:pPr>
        <w:spacing w:line="440" w:lineRule="exact"/>
        <w:ind w:left="105" w:leftChars="50" w:right="105" w:rightChars="50" w:firstLine="440" w:firstLineChars="200"/>
        <w:jc w:val="left"/>
        <w:rPr>
          <w:rFonts w:hint="eastAsia"/>
          <w:sz w:val="22"/>
          <w:szCs w:val="22"/>
        </w:rPr>
      </w:pPr>
      <w:r>
        <w:rPr>
          <w:rFonts w:hint="eastAsia"/>
          <w:sz w:val="22"/>
          <w:szCs w:val="22"/>
        </w:rPr>
        <w:t xml:space="preserve">四、开立人承诺，在收到受益人发来的书面付款通知后的七日内无条件支付，前述书面付款通知即为付款要求之单据，且应满足以下要求： </w:t>
      </w:r>
    </w:p>
    <w:p>
      <w:pPr>
        <w:spacing w:line="440" w:lineRule="exact"/>
        <w:ind w:left="105" w:leftChars="50" w:right="105" w:rightChars="50" w:firstLine="440" w:firstLineChars="200"/>
        <w:jc w:val="left"/>
        <w:rPr>
          <w:rFonts w:hint="eastAsia"/>
          <w:sz w:val="22"/>
          <w:szCs w:val="22"/>
        </w:rPr>
      </w:pPr>
      <w:r>
        <w:rPr>
          <w:rFonts w:hint="eastAsia"/>
          <w:sz w:val="22"/>
          <w:szCs w:val="22"/>
        </w:rPr>
        <w:t xml:space="preserve">（1）付款通知到达的日期在本保函的有效期内； </w:t>
      </w:r>
    </w:p>
    <w:p>
      <w:pPr>
        <w:spacing w:line="440" w:lineRule="exact"/>
        <w:ind w:left="105" w:leftChars="50" w:right="105" w:rightChars="50" w:firstLine="440" w:firstLineChars="200"/>
        <w:jc w:val="left"/>
        <w:rPr>
          <w:rFonts w:hint="eastAsia"/>
          <w:sz w:val="22"/>
          <w:szCs w:val="22"/>
        </w:rPr>
      </w:pPr>
      <w:r>
        <w:rPr>
          <w:rFonts w:hint="eastAsia"/>
          <w:sz w:val="22"/>
          <w:szCs w:val="22"/>
        </w:rPr>
        <w:t xml:space="preserve">（2）载明要求支付的金额； </w:t>
      </w:r>
    </w:p>
    <w:p>
      <w:pPr>
        <w:spacing w:line="440" w:lineRule="exact"/>
        <w:ind w:left="105" w:leftChars="50" w:right="105" w:rightChars="50" w:firstLine="440" w:firstLineChars="200"/>
        <w:jc w:val="left"/>
        <w:rPr>
          <w:rFonts w:hint="eastAsia"/>
          <w:sz w:val="22"/>
          <w:szCs w:val="22"/>
        </w:rPr>
      </w:pPr>
      <w:r>
        <w:rPr>
          <w:rFonts w:hint="eastAsia"/>
          <w:sz w:val="22"/>
          <w:szCs w:val="22"/>
        </w:rPr>
        <w:t xml:space="preserve">（3）载明申请人违反招投标文件规定的义务内容和具体条款； </w:t>
      </w:r>
    </w:p>
    <w:p>
      <w:pPr>
        <w:spacing w:line="440" w:lineRule="exact"/>
        <w:ind w:left="105" w:leftChars="50" w:right="105" w:rightChars="50" w:firstLine="440" w:firstLineChars="200"/>
        <w:jc w:val="left"/>
        <w:rPr>
          <w:rFonts w:hint="eastAsia"/>
          <w:sz w:val="22"/>
          <w:szCs w:val="22"/>
        </w:rPr>
      </w:pPr>
      <w:r>
        <w:rPr>
          <w:rFonts w:hint="eastAsia"/>
          <w:sz w:val="22"/>
          <w:szCs w:val="22"/>
        </w:rPr>
        <w:t xml:space="preserve">（4）声明不存在招标文件规定或我国法律规定免除申请人或我方支付责任的情形； </w:t>
      </w:r>
    </w:p>
    <w:p>
      <w:pPr>
        <w:spacing w:line="440" w:lineRule="exact"/>
        <w:ind w:left="105" w:leftChars="50" w:right="105" w:rightChars="50" w:firstLine="440" w:firstLineChars="200"/>
        <w:jc w:val="left"/>
        <w:rPr>
          <w:rFonts w:hint="eastAsia"/>
          <w:sz w:val="22"/>
          <w:szCs w:val="22"/>
        </w:rPr>
      </w:pPr>
      <w:r>
        <w:rPr>
          <w:rFonts w:hint="eastAsia"/>
          <w:sz w:val="22"/>
          <w:szCs w:val="22"/>
        </w:rPr>
        <w:t>（5）书面付款通知应在本保函有效期内到达的地址是：</w:t>
      </w:r>
      <w:r>
        <w:rPr>
          <w:rFonts w:hint="eastAsia"/>
          <w:sz w:val="22"/>
          <w:szCs w:val="22"/>
          <w:u w:val="single"/>
        </w:rPr>
        <w:t xml:space="preserve">               </w:t>
      </w:r>
      <w:r>
        <w:rPr>
          <w:rFonts w:hint="eastAsia"/>
          <w:sz w:val="22"/>
          <w:szCs w:val="22"/>
        </w:rPr>
        <w:t xml:space="preserve">。 </w:t>
      </w:r>
    </w:p>
    <w:p>
      <w:pPr>
        <w:spacing w:line="440" w:lineRule="exact"/>
        <w:ind w:left="105" w:leftChars="50" w:right="105" w:rightChars="50" w:firstLine="440" w:firstLineChars="200"/>
        <w:jc w:val="left"/>
        <w:rPr>
          <w:rFonts w:hint="eastAsia"/>
          <w:sz w:val="22"/>
          <w:szCs w:val="22"/>
        </w:rPr>
      </w:pPr>
      <w:r>
        <w:rPr>
          <w:rFonts w:hint="eastAsia"/>
          <w:sz w:val="22"/>
          <w:szCs w:val="22"/>
        </w:rPr>
        <w:t>受益人发出的书面付款通知应由其法定代表人（负责人）或授权代理人签字并加盖公章。</w:t>
      </w:r>
    </w:p>
    <w:p>
      <w:pPr>
        <w:spacing w:line="440" w:lineRule="exact"/>
        <w:ind w:left="105" w:leftChars="50" w:right="105" w:rightChars="50" w:firstLine="440" w:firstLineChars="200"/>
        <w:jc w:val="left"/>
        <w:rPr>
          <w:rFonts w:hint="eastAsia"/>
          <w:sz w:val="22"/>
          <w:szCs w:val="22"/>
        </w:rPr>
      </w:pPr>
      <w:r>
        <w:rPr>
          <w:rFonts w:hint="eastAsia"/>
          <w:sz w:val="22"/>
          <w:szCs w:val="22"/>
        </w:rPr>
        <w:t xml:space="preserve">五、本保函项下的权利不得转让，不得设定担保。受益人未经开立人书面同意转让本保函或其项下任何权利，对开立人不发生法律效力。 </w:t>
      </w:r>
    </w:p>
    <w:p>
      <w:pPr>
        <w:spacing w:line="440" w:lineRule="exact"/>
        <w:ind w:left="105" w:leftChars="50" w:right="105" w:rightChars="50" w:firstLine="440" w:firstLineChars="200"/>
        <w:jc w:val="left"/>
        <w:rPr>
          <w:rFonts w:hint="eastAsia"/>
          <w:sz w:val="22"/>
          <w:szCs w:val="22"/>
        </w:rPr>
      </w:pPr>
      <w:r>
        <w:rPr>
          <w:rFonts w:hint="eastAsia"/>
          <w:sz w:val="22"/>
          <w:szCs w:val="22"/>
        </w:rPr>
        <w:t xml:space="preserve">六、本保函项下的基础交易不成立、不生效、无效、被撤销、被解除，不影响本保函的独立有效。 </w:t>
      </w:r>
    </w:p>
    <w:p>
      <w:pPr>
        <w:spacing w:line="440" w:lineRule="exact"/>
        <w:ind w:left="105" w:leftChars="50" w:right="105" w:rightChars="50" w:firstLine="440" w:firstLineChars="200"/>
        <w:jc w:val="left"/>
        <w:rPr>
          <w:rFonts w:hint="eastAsia"/>
          <w:sz w:val="22"/>
          <w:szCs w:val="22"/>
        </w:rPr>
      </w:pPr>
      <w:r>
        <w:rPr>
          <w:rFonts w:hint="eastAsia"/>
          <w:sz w:val="22"/>
          <w:szCs w:val="22"/>
        </w:rPr>
        <w:t xml:space="preserve">七、本保函项下的义务和责任均在保函有效期到期后自动消灭。 </w:t>
      </w:r>
    </w:p>
    <w:p>
      <w:pPr>
        <w:spacing w:line="440" w:lineRule="exact"/>
        <w:ind w:left="105" w:leftChars="50" w:right="105" w:rightChars="50" w:firstLine="440" w:firstLineChars="200"/>
        <w:jc w:val="left"/>
        <w:rPr>
          <w:rFonts w:hint="eastAsia"/>
          <w:sz w:val="22"/>
          <w:szCs w:val="22"/>
        </w:rPr>
      </w:pPr>
      <w:r>
        <w:rPr>
          <w:rFonts w:hint="eastAsia"/>
          <w:sz w:val="22"/>
          <w:szCs w:val="22"/>
        </w:rPr>
        <w:t xml:space="preserve">八、本保函适用的法律为中华人民共和国法律，因本保函产生的纠纷案件，由受益人所在地人民法院管辖。 </w:t>
      </w:r>
    </w:p>
    <w:p>
      <w:pPr>
        <w:spacing w:line="440" w:lineRule="exact"/>
        <w:ind w:left="105" w:leftChars="50" w:right="105" w:rightChars="50" w:firstLine="440" w:firstLineChars="200"/>
        <w:jc w:val="left"/>
        <w:rPr>
          <w:rFonts w:hint="eastAsia"/>
          <w:sz w:val="22"/>
          <w:szCs w:val="22"/>
        </w:rPr>
      </w:pPr>
      <w:r>
        <w:rPr>
          <w:rFonts w:hint="eastAsia"/>
          <w:sz w:val="22"/>
          <w:szCs w:val="22"/>
        </w:rPr>
        <w:t xml:space="preserve">九、本保函自我方法定代表人或授权代表签字并加盖公章之日起生效。 </w:t>
      </w:r>
    </w:p>
    <w:p>
      <w:pPr>
        <w:spacing w:line="440" w:lineRule="exact"/>
        <w:ind w:left="105" w:leftChars="50" w:right="105" w:rightChars="50" w:firstLine="440" w:firstLineChars="200"/>
        <w:jc w:val="left"/>
        <w:rPr>
          <w:rFonts w:hint="eastAsia"/>
          <w:sz w:val="22"/>
          <w:szCs w:val="22"/>
        </w:rPr>
      </w:pPr>
    </w:p>
    <w:p>
      <w:pPr>
        <w:tabs>
          <w:tab w:val="left" w:pos="8664"/>
        </w:tabs>
        <w:spacing w:line="440" w:lineRule="exact"/>
        <w:ind w:left="105" w:leftChars="50" w:right="105" w:rightChars="50" w:firstLine="2208" w:firstLineChars="1004"/>
        <w:jc w:val="left"/>
        <w:rPr>
          <w:snapToGrid w:val="0"/>
          <w:kern w:val="0"/>
          <w:sz w:val="22"/>
          <w:szCs w:val="22"/>
        </w:rPr>
      </w:pPr>
      <w:r>
        <w:rPr>
          <w:snapToGrid w:val="0"/>
          <w:color w:val="000000"/>
          <w:kern w:val="0"/>
          <w:sz w:val="22"/>
          <w:szCs w:val="22"/>
        </w:rPr>
        <w:t>担保人名称：</w:t>
      </w:r>
      <w:r>
        <w:rPr>
          <w:rFonts w:hint="eastAsia" w:eastAsia="黑体"/>
          <w:snapToGrid w:val="0"/>
          <w:color w:val="000000"/>
          <w:kern w:val="0"/>
          <w:sz w:val="22"/>
          <w:szCs w:val="22"/>
          <w:u w:val="single"/>
        </w:rPr>
        <w:t xml:space="preserve">                                        </w:t>
      </w:r>
      <w:r>
        <w:rPr>
          <w:snapToGrid w:val="0"/>
          <w:color w:val="000000"/>
          <w:kern w:val="0"/>
          <w:sz w:val="22"/>
          <w:szCs w:val="22"/>
        </w:rPr>
        <w:t>（盖单位章）</w:t>
      </w:r>
    </w:p>
    <w:p>
      <w:pPr>
        <w:tabs>
          <w:tab w:val="left" w:pos="9144"/>
        </w:tabs>
        <w:spacing w:line="440" w:lineRule="exact"/>
        <w:ind w:left="105" w:leftChars="50" w:right="105" w:rightChars="50" w:firstLine="2208" w:firstLineChars="1004"/>
        <w:jc w:val="left"/>
        <w:rPr>
          <w:snapToGrid w:val="0"/>
          <w:color w:val="000000"/>
          <w:kern w:val="0"/>
          <w:sz w:val="22"/>
          <w:szCs w:val="22"/>
        </w:rPr>
      </w:pPr>
      <w:r>
        <w:rPr>
          <w:snapToGrid w:val="0"/>
          <w:color w:val="000000"/>
          <w:kern w:val="0"/>
          <w:sz w:val="22"/>
          <w:szCs w:val="22"/>
        </w:rPr>
        <w:t>法定代表人</w:t>
      </w:r>
      <w:r>
        <w:rPr>
          <w:rFonts w:hint="eastAsia"/>
          <w:snapToGrid w:val="0"/>
          <w:color w:val="000000"/>
          <w:kern w:val="0"/>
          <w:sz w:val="22"/>
          <w:szCs w:val="22"/>
        </w:rPr>
        <w:t>（单位负责人）</w:t>
      </w:r>
      <w:r>
        <w:rPr>
          <w:rFonts w:hint="eastAsia" w:eastAsia="黑体"/>
          <w:snapToGrid w:val="0"/>
          <w:color w:val="000000"/>
          <w:kern w:val="0"/>
          <w:sz w:val="22"/>
          <w:szCs w:val="22"/>
          <w:u w:val="single"/>
        </w:rPr>
        <w:t xml:space="preserve">   </w:t>
      </w:r>
      <w:r>
        <w:rPr>
          <w:snapToGrid w:val="0"/>
          <w:color w:val="000000"/>
          <w:kern w:val="0"/>
          <w:sz w:val="22"/>
          <w:szCs w:val="22"/>
        </w:rPr>
        <w:t>（</w:t>
      </w:r>
      <w:r>
        <w:rPr>
          <w:rFonts w:hint="eastAsia"/>
          <w:snapToGrid w:val="0"/>
          <w:color w:val="000000"/>
          <w:kern w:val="0"/>
          <w:sz w:val="22"/>
          <w:szCs w:val="22"/>
        </w:rPr>
        <w:t>签字或加盖其个人电子印章/电子签名章</w:t>
      </w:r>
      <w:r>
        <w:rPr>
          <w:snapToGrid w:val="0"/>
          <w:color w:val="000000"/>
          <w:kern w:val="0"/>
          <w:sz w:val="22"/>
          <w:szCs w:val="22"/>
        </w:rPr>
        <w:t>）</w:t>
      </w:r>
    </w:p>
    <w:p>
      <w:pPr>
        <w:tabs>
          <w:tab w:val="left" w:pos="4344"/>
        </w:tabs>
        <w:spacing w:line="440" w:lineRule="exact"/>
        <w:ind w:left="105" w:leftChars="50" w:right="105" w:rightChars="50" w:firstLine="2208" w:firstLineChars="1004"/>
        <w:jc w:val="left"/>
        <w:rPr>
          <w:snapToGrid w:val="0"/>
          <w:kern w:val="0"/>
          <w:sz w:val="22"/>
          <w:szCs w:val="22"/>
          <w:u w:val="single"/>
        </w:rPr>
      </w:pPr>
      <w:r>
        <w:rPr>
          <w:snapToGrid w:val="0"/>
          <w:color w:val="000000"/>
          <w:kern w:val="0"/>
          <w:sz w:val="22"/>
          <w:szCs w:val="22"/>
        </w:rPr>
        <w:t>地址：</w:t>
      </w:r>
      <w:r>
        <w:rPr>
          <w:rFonts w:hint="eastAsia" w:eastAsia="黑体"/>
          <w:snapToGrid w:val="0"/>
          <w:color w:val="000000"/>
          <w:kern w:val="0"/>
          <w:sz w:val="22"/>
          <w:szCs w:val="22"/>
          <w:u w:val="single"/>
        </w:rPr>
        <w:t xml:space="preserve">                                          </w:t>
      </w:r>
    </w:p>
    <w:p>
      <w:pPr>
        <w:spacing w:line="440" w:lineRule="exact"/>
        <w:ind w:left="105" w:leftChars="50" w:right="105" w:rightChars="50" w:firstLine="2208" w:firstLineChars="1004"/>
        <w:jc w:val="left"/>
        <w:rPr>
          <w:snapToGrid w:val="0"/>
          <w:color w:val="000000"/>
          <w:kern w:val="0"/>
          <w:sz w:val="22"/>
          <w:szCs w:val="22"/>
          <w:u w:val="single"/>
        </w:rPr>
      </w:pPr>
      <w:r>
        <w:rPr>
          <w:snapToGrid w:val="0"/>
          <w:color w:val="000000"/>
          <w:kern w:val="0"/>
          <w:sz w:val="22"/>
          <w:szCs w:val="22"/>
        </w:rPr>
        <w:t>邮政编码：</w:t>
      </w:r>
      <w:r>
        <w:rPr>
          <w:rFonts w:hint="eastAsia" w:eastAsia="黑体"/>
          <w:snapToGrid w:val="0"/>
          <w:color w:val="000000"/>
          <w:kern w:val="0"/>
          <w:sz w:val="22"/>
          <w:szCs w:val="22"/>
          <w:u w:val="single"/>
        </w:rPr>
        <w:t xml:space="preserve">                                     </w:t>
      </w:r>
    </w:p>
    <w:p>
      <w:pPr>
        <w:spacing w:line="440" w:lineRule="exact"/>
        <w:ind w:left="105" w:leftChars="50" w:right="105" w:rightChars="50" w:firstLine="2208" w:firstLineChars="1004"/>
        <w:jc w:val="left"/>
        <w:rPr>
          <w:snapToGrid w:val="0"/>
          <w:kern w:val="0"/>
          <w:sz w:val="22"/>
          <w:szCs w:val="22"/>
          <w:u w:val="single"/>
        </w:rPr>
      </w:pPr>
      <w:r>
        <w:rPr>
          <w:snapToGrid w:val="0"/>
          <w:color w:val="000000"/>
          <w:kern w:val="0"/>
          <w:sz w:val="22"/>
          <w:szCs w:val="22"/>
        </w:rPr>
        <w:t>电话：</w:t>
      </w:r>
      <w:r>
        <w:rPr>
          <w:rFonts w:hint="eastAsia" w:eastAsia="黑体"/>
          <w:snapToGrid w:val="0"/>
          <w:color w:val="000000"/>
          <w:kern w:val="0"/>
          <w:sz w:val="22"/>
          <w:szCs w:val="22"/>
          <w:u w:val="single"/>
        </w:rPr>
        <w:t xml:space="preserve">                                        </w:t>
      </w:r>
    </w:p>
    <w:p>
      <w:pPr>
        <w:tabs>
          <w:tab w:val="left" w:pos="4344"/>
        </w:tabs>
        <w:spacing w:line="440" w:lineRule="exact"/>
        <w:ind w:left="105" w:leftChars="50" w:right="105" w:rightChars="50" w:firstLine="2208" w:firstLineChars="1004"/>
        <w:jc w:val="left"/>
        <w:rPr>
          <w:snapToGrid w:val="0"/>
          <w:color w:val="000000"/>
          <w:kern w:val="0"/>
          <w:sz w:val="22"/>
          <w:szCs w:val="22"/>
          <w:u w:val="single"/>
        </w:rPr>
      </w:pPr>
      <w:r>
        <w:rPr>
          <w:snapToGrid w:val="0"/>
          <w:color w:val="000000"/>
          <w:kern w:val="0"/>
          <w:sz w:val="22"/>
          <w:szCs w:val="22"/>
        </w:rPr>
        <w:t>传真：</w:t>
      </w:r>
      <w:r>
        <w:rPr>
          <w:rFonts w:hint="eastAsia" w:eastAsia="黑体"/>
          <w:snapToGrid w:val="0"/>
          <w:color w:val="000000"/>
          <w:kern w:val="0"/>
          <w:sz w:val="22"/>
          <w:szCs w:val="22"/>
          <w:u w:val="single"/>
        </w:rPr>
        <w:t xml:space="preserve">                                         </w:t>
      </w:r>
    </w:p>
    <w:p>
      <w:pPr>
        <w:tabs>
          <w:tab w:val="left" w:pos="4344"/>
        </w:tabs>
        <w:spacing w:line="440" w:lineRule="exact"/>
        <w:ind w:left="105" w:leftChars="50" w:right="105" w:rightChars="50" w:firstLine="2208" w:firstLineChars="1004"/>
        <w:jc w:val="left"/>
        <w:rPr>
          <w:snapToGrid w:val="0"/>
          <w:kern w:val="0"/>
          <w:sz w:val="22"/>
          <w:szCs w:val="22"/>
          <w:u w:val="single"/>
        </w:rPr>
      </w:pPr>
    </w:p>
    <w:p>
      <w:pPr>
        <w:tabs>
          <w:tab w:val="left" w:pos="8422"/>
          <w:tab w:val="left" w:pos="9622"/>
        </w:tabs>
        <w:spacing w:line="320" w:lineRule="exact"/>
        <w:ind w:left="105" w:leftChars="50" w:right="105" w:rightChars="50" w:firstLine="2208" w:firstLineChars="1004"/>
        <w:jc w:val="right"/>
        <w:rPr>
          <w:rFonts w:hint="eastAsia"/>
          <w:snapToGrid w:val="0"/>
          <w:color w:val="000000"/>
          <w:kern w:val="0"/>
          <w:sz w:val="22"/>
          <w:szCs w:val="22"/>
        </w:rPr>
      </w:pPr>
      <w:r>
        <w:rPr>
          <w:rFonts w:hint="eastAsia" w:eastAsia="黑体"/>
          <w:snapToGrid w:val="0"/>
          <w:color w:val="000000"/>
          <w:kern w:val="0"/>
          <w:sz w:val="22"/>
          <w:szCs w:val="22"/>
          <w:u w:val="single"/>
        </w:rPr>
        <w:t xml:space="preserve">     </w:t>
      </w:r>
      <w:r>
        <w:rPr>
          <w:snapToGrid w:val="0"/>
          <w:color w:val="000000"/>
          <w:kern w:val="0"/>
          <w:sz w:val="22"/>
          <w:szCs w:val="22"/>
        </w:rPr>
        <w:t>年</w:t>
      </w:r>
      <w:r>
        <w:rPr>
          <w:rFonts w:hint="eastAsia" w:eastAsia="黑体"/>
          <w:snapToGrid w:val="0"/>
          <w:color w:val="000000"/>
          <w:kern w:val="0"/>
          <w:sz w:val="22"/>
          <w:szCs w:val="22"/>
          <w:u w:val="single"/>
        </w:rPr>
        <w:t xml:space="preserve">    </w:t>
      </w:r>
      <w:r>
        <w:rPr>
          <w:snapToGrid w:val="0"/>
          <w:color w:val="000000"/>
          <w:kern w:val="0"/>
          <w:sz w:val="22"/>
          <w:szCs w:val="22"/>
        </w:rPr>
        <w:t>月</w:t>
      </w:r>
      <w:r>
        <w:rPr>
          <w:rFonts w:hint="eastAsia" w:eastAsia="黑体"/>
          <w:snapToGrid w:val="0"/>
          <w:color w:val="000000"/>
          <w:kern w:val="0"/>
          <w:sz w:val="22"/>
          <w:szCs w:val="22"/>
          <w:u w:val="single"/>
        </w:rPr>
        <w:t xml:space="preserve">    </w:t>
      </w:r>
      <w:r>
        <w:rPr>
          <w:snapToGrid w:val="0"/>
          <w:color w:val="000000"/>
          <w:kern w:val="0"/>
          <w:sz w:val="22"/>
          <w:szCs w:val="22"/>
        </w:rPr>
        <w:t>日</w:t>
      </w:r>
    </w:p>
    <w:p>
      <w:pPr>
        <w:spacing w:line="440" w:lineRule="exact"/>
        <w:ind w:left="105" w:leftChars="50" w:right="105" w:rightChars="50" w:firstLine="440" w:firstLineChars="200"/>
        <w:jc w:val="left"/>
        <w:rPr>
          <w:rFonts w:hint="eastAsia"/>
          <w:sz w:val="22"/>
          <w:szCs w:val="22"/>
        </w:rPr>
      </w:pPr>
      <w:r>
        <w:rPr>
          <w:rFonts w:hint="eastAsia"/>
          <w:sz w:val="22"/>
          <w:szCs w:val="22"/>
        </w:rPr>
        <w:t xml:space="preserve">注：1、允许投标人实际开具的银行保函或担保机构或保证保险机构出具的担保的格式与本文件提供的格式有所不同，但不得更改本文件提供的银行保函或担保格式中的实质性内容。 </w:t>
      </w:r>
    </w:p>
    <w:p>
      <w:pPr>
        <w:spacing w:line="440" w:lineRule="exact"/>
        <w:ind w:left="105" w:leftChars="50" w:right="105" w:rightChars="50" w:firstLine="440" w:firstLineChars="200"/>
        <w:jc w:val="left"/>
        <w:rPr>
          <w:rFonts w:hint="eastAsia"/>
          <w:sz w:val="22"/>
          <w:szCs w:val="22"/>
        </w:rPr>
      </w:pPr>
      <w:r>
        <w:rPr>
          <w:rFonts w:hint="eastAsia"/>
          <w:sz w:val="22"/>
          <w:szCs w:val="22"/>
        </w:rPr>
        <w:t>2、投标人开具的银行保函（或担保机构担保或保证保险）必须具有明确有效的查询途径（二维码；或网址链接及查询方式）。</w:t>
      </w:r>
    </w:p>
    <w:p>
      <w:pPr>
        <w:pStyle w:val="4"/>
        <w:jc w:val="center"/>
        <w:rPr>
          <w:rFonts w:hint="eastAsia" w:ascii="Times New Roman" w:hAnsi="Times New Roman"/>
          <w:snapToGrid w:val="0"/>
          <w:color w:val="000000"/>
          <w:kern w:val="0"/>
        </w:rPr>
      </w:pPr>
      <w:r>
        <w:rPr>
          <w:rFonts w:ascii="Times New Roman" w:hAnsi="Times New Roman"/>
          <w:snapToGrid w:val="0"/>
          <w:color w:val="000000"/>
          <w:kern w:val="0"/>
        </w:rPr>
        <w:br w:type="page"/>
      </w:r>
      <w:r>
        <w:rPr>
          <w:rFonts w:hint="eastAsia" w:ascii="Times New Roman" w:hAnsi="Times New Roman"/>
          <w:bCs w:val="0"/>
        </w:rPr>
        <w:t>四、商务和</w:t>
      </w:r>
      <w:r>
        <w:rPr>
          <w:rFonts w:ascii="Times New Roman" w:hAnsi="Times New Roman"/>
          <w:bCs w:val="0"/>
        </w:rPr>
        <w:t>技术</w:t>
      </w:r>
      <w:r>
        <w:rPr>
          <w:rFonts w:hint="eastAsia" w:ascii="Times New Roman" w:hAnsi="Times New Roman"/>
          <w:bCs w:val="0"/>
        </w:rPr>
        <w:t>偏差表</w:t>
      </w:r>
    </w:p>
    <w:p>
      <w:pPr>
        <w:pStyle w:val="4"/>
        <w:jc w:val="center"/>
        <w:rPr>
          <w:rFonts w:hint="eastAsia" w:ascii="Times New Roman" w:hAnsi="Times New Roman"/>
        </w:rPr>
      </w:pPr>
      <w:r>
        <w:rPr>
          <w:rFonts w:hint="eastAsia" w:ascii="Times New Roman" w:hAnsi="Times New Roman"/>
        </w:rPr>
        <w:t>（一）商务条款偏差表</w:t>
      </w:r>
    </w:p>
    <w:tbl>
      <w:tblPr>
        <w:tblStyle w:val="55"/>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1754"/>
        <w:gridCol w:w="1448"/>
        <w:gridCol w:w="1769"/>
        <w:gridCol w:w="1609"/>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jc w:val="center"/>
        </w:trPr>
        <w:tc>
          <w:tcPr>
            <w:tcW w:w="1049" w:type="dxa"/>
            <w:vMerge w:val="restart"/>
            <w:vAlign w:val="center"/>
          </w:tcPr>
          <w:p>
            <w:pPr>
              <w:widowControl/>
              <w:snapToGrid w:val="0"/>
              <w:jc w:val="center"/>
              <w:rPr>
                <w:b/>
                <w:kern w:val="0"/>
                <w:sz w:val="22"/>
                <w:szCs w:val="22"/>
              </w:rPr>
            </w:pPr>
            <w:r>
              <w:rPr>
                <w:b/>
                <w:kern w:val="0"/>
                <w:sz w:val="22"/>
                <w:szCs w:val="22"/>
              </w:rPr>
              <w:t>序号</w:t>
            </w:r>
          </w:p>
        </w:tc>
        <w:tc>
          <w:tcPr>
            <w:tcW w:w="3202" w:type="dxa"/>
            <w:gridSpan w:val="2"/>
            <w:vAlign w:val="center"/>
          </w:tcPr>
          <w:p>
            <w:pPr>
              <w:widowControl/>
              <w:snapToGrid w:val="0"/>
              <w:jc w:val="center"/>
              <w:rPr>
                <w:b/>
                <w:kern w:val="0"/>
                <w:sz w:val="22"/>
                <w:szCs w:val="22"/>
              </w:rPr>
            </w:pPr>
            <w:r>
              <w:rPr>
                <w:b/>
                <w:kern w:val="0"/>
                <w:sz w:val="22"/>
                <w:szCs w:val="22"/>
              </w:rPr>
              <w:t>招标文件</w:t>
            </w:r>
            <w:r>
              <w:rPr>
                <w:rFonts w:hint="eastAsia"/>
                <w:b/>
                <w:kern w:val="0"/>
                <w:sz w:val="22"/>
                <w:szCs w:val="22"/>
              </w:rPr>
              <w:t>要求</w:t>
            </w:r>
          </w:p>
        </w:tc>
        <w:tc>
          <w:tcPr>
            <w:tcW w:w="3378" w:type="dxa"/>
            <w:gridSpan w:val="2"/>
            <w:vAlign w:val="center"/>
          </w:tcPr>
          <w:p>
            <w:pPr>
              <w:widowControl/>
              <w:snapToGrid w:val="0"/>
              <w:jc w:val="center"/>
              <w:rPr>
                <w:b/>
                <w:kern w:val="0"/>
                <w:sz w:val="22"/>
                <w:szCs w:val="22"/>
              </w:rPr>
            </w:pPr>
            <w:r>
              <w:rPr>
                <w:b/>
                <w:kern w:val="0"/>
                <w:sz w:val="22"/>
                <w:szCs w:val="22"/>
              </w:rPr>
              <w:t>投标文件</w:t>
            </w:r>
            <w:r>
              <w:rPr>
                <w:rFonts w:hint="eastAsia"/>
                <w:b/>
                <w:kern w:val="0"/>
                <w:sz w:val="22"/>
                <w:szCs w:val="22"/>
              </w:rPr>
              <w:t>响应</w:t>
            </w:r>
          </w:p>
        </w:tc>
        <w:tc>
          <w:tcPr>
            <w:tcW w:w="1709" w:type="dxa"/>
            <w:vMerge w:val="restart"/>
            <w:vAlign w:val="center"/>
          </w:tcPr>
          <w:p>
            <w:pPr>
              <w:widowControl/>
              <w:snapToGrid w:val="0"/>
              <w:jc w:val="center"/>
              <w:rPr>
                <w:b/>
                <w:kern w:val="0"/>
                <w:sz w:val="22"/>
                <w:szCs w:val="22"/>
              </w:rPr>
            </w:pPr>
            <w:r>
              <w:rPr>
                <w:b/>
                <w:kern w:val="0"/>
                <w:sz w:val="22"/>
                <w:szCs w:val="22"/>
              </w:rPr>
              <w:t>偏</w:t>
            </w:r>
            <w:r>
              <w:rPr>
                <w:rFonts w:hint="eastAsia"/>
                <w:b/>
                <w:kern w:val="0"/>
                <w:sz w:val="22"/>
                <w:szCs w:val="22"/>
              </w:rPr>
              <w:t>差</w:t>
            </w:r>
            <w:r>
              <w:rPr>
                <w:b/>
                <w:kern w:val="0"/>
                <w:sz w:val="22"/>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jc w:val="center"/>
        </w:trPr>
        <w:tc>
          <w:tcPr>
            <w:tcW w:w="1049" w:type="dxa"/>
            <w:vMerge w:val="continue"/>
            <w:vAlign w:val="center"/>
          </w:tcPr>
          <w:p>
            <w:pPr>
              <w:widowControl/>
              <w:snapToGrid w:val="0"/>
              <w:jc w:val="center"/>
              <w:rPr>
                <w:kern w:val="0"/>
                <w:sz w:val="22"/>
                <w:szCs w:val="22"/>
              </w:rPr>
            </w:pPr>
          </w:p>
        </w:tc>
        <w:tc>
          <w:tcPr>
            <w:tcW w:w="1754" w:type="dxa"/>
            <w:vAlign w:val="center"/>
          </w:tcPr>
          <w:p>
            <w:pPr>
              <w:widowControl/>
              <w:snapToGrid w:val="0"/>
              <w:jc w:val="center"/>
              <w:rPr>
                <w:b/>
                <w:kern w:val="0"/>
                <w:sz w:val="22"/>
                <w:szCs w:val="22"/>
              </w:rPr>
            </w:pPr>
            <w:r>
              <w:rPr>
                <w:b/>
                <w:kern w:val="0"/>
                <w:sz w:val="22"/>
                <w:szCs w:val="22"/>
              </w:rPr>
              <w:t>章节及条款号</w:t>
            </w:r>
          </w:p>
        </w:tc>
        <w:tc>
          <w:tcPr>
            <w:tcW w:w="1448" w:type="dxa"/>
            <w:vAlign w:val="center"/>
          </w:tcPr>
          <w:p>
            <w:pPr>
              <w:widowControl/>
              <w:snapToGrid w:val="0"/>
              <w:jc w:val="center"/>
              <w:rPr>
                <w:b/>
                <w:kern w:val="0"/>
                <w:sz w:val="22"/>
                <w:szCs w:val="22"/>
              </w:rPr>
            </w:pPr>
            <w:r>
              <w:rPr>
                <w:rFonts w:hint="eastAsia"/>
                <w:b/>
                <w:kern w:val="0"/>
                <w:sz w:val="22"/>
                <w:szCs w:val="22"/>
              </w:rPr>
              <w:t>具体要求</w:t>
            </w:r>
          </w:p>
        </w:tc>
        <w:tc>
          <w:tcPr>
            <w:tcW w:w="1769" w:type="dxa"/>
            <w:vAlign w:val="center"/>
          </w:tcPr>
          <w:p>
            <w:pPr>
              <w:widowControl/>
              <w:snapToGrid w:val="0"/>
              <w:jc w:val="center"/>
              <w:rPr>
                <w:b/>
                <w:kern w:val="0"/>
                <w:sz w:val="22"/>
                <w:szCs w:val="22"/>
              </w:rPr>
            </w:pPr>
            <w:r>
              <w:rPr>
                <w:b/>
                <w:kern w:val="0"/>
                <w:sz w:val="22"/>
                <w:szCs w:val="22"/>
              </w:rPr>
              <w:t>章节及条款号</w:t>
            </w:r>
          </w:p>
        </w:tc>
        <w:tc>
          <w:tcPr>
            <w:tcW w:w="1609" w:type="dxa"/>
            <w:vAlign w:val="center"/>
          </w:tcPr>
          <w:p>
            <w:pPr>
              <w:widowControl/>
              <w:snapToGrid w:val="0"/>
              <w:jc w:val="center"/>
              <w:rPr>
                <w:b/>
                <w:kern w:val="0"/>
                <w:sz w:val="22"/>
                <w:szCs w:val="22"/>
              </w:rPr>
            </w:pPr>
            <w:r>
              <w:rPr>
                <w:rFonts w:hint="eastAsia"/>
                <w:b/>
                <w:kern w:val="0"/>
                <w:sz w:val="22"/>
                <w:szCs w:val="22"/>
              </w:rPr>
              <w:t>具体内容</w:t>
            </w:r>
          </w:p>
        </w:tc>
        <w:tc>
          <w:tcPr>
            <w:tcW w:w="1709" w:type="dxa"/>
            <w:vMerge w:val="continue"/>
            <w:vAlign w:val="center"/>
          </w:tcPr>
          <w:p>
            <w:pPr>
              <w:widowControl/>
              <w:snapToGrid w:val="0"/>
              <w:jc w:val="center"/>
              <w:rPr>
                <w:b/>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jc w:val="center"/>
        </w:trPr>
        <w:tc>
          <w:tcPr>
            <w:tcW w:w="1049" w:type="dxa"/>
            <w:vAlign w:val="center"/>
          </w:tcPr>
          <w:p>
            <w:pPr>
              <w:widowControl/>
              <w:snapToGrid w:val="0"/>
              <w:jc w:val="center"/>
              <w:rPr>
                <w:kern w:val="0"/>
                <w:sz w:val="22"/>
                <w:szCs w:val="22"/>
              </w:rPr>
            </w:pPr>
            <w:r>
              <w:rPr>
                <w:kern w:val="0"/>
                <w:sz w:val="22"/>
                <w:szCs w:val="22"/>
              </w:rPr>
              <w:t>1</w:t>
            </w:r>
          </w:p>
        </w:tc>
        <w:tc>
          <w:tcPr>
            <w:tcW w:w="1754" w:type="dxa"/>
            <w:vAlign w:val="center"/>
          </w:tcPr>
          <w:p>
            <w:pPr>
              <w:widowControl/>
              <w:snapToGrid w:val="0"/>
              <w:jc w:val="center"/>
              <w:rPr>
                <w:kern w:val="0"/>
                <w:sz w:val="22"/>
                <w:szCs w:val="22"/>
              </w:rPr>
            </w:pPr>
          </w:p>
        </w:tc>
        <w:tc>
          <w:tcPr>
            <w:tcW w:w="1448" w:type="dxa"/>
            <w:vAlign w:val="center"/>
          </w:tcPr>
          <w:p>
            <w:pPr>
              <w:widowControl/>
              <w:snapToGrid w:val="0"/>
              <w:jc w:val="center"/>
              <w:rPr>
                <w:kern w:val="0"/>
                <w:sz w:val="22"/>
                <w:szCs w:val="22"/>
              </w:rPr>
            </w:pPr>
          </w:p>
        </w:tc>
        <w:tc>
          <w:tcPr>
            <w:tcW w:w="1769" w:type="dxa"/>
            <w:vAlign w:val="center"/>
          </w:tcPr>
          <w:p>
            <w:pPr>
              <w:widowControl/>
              <w:snapToGrid w:val="0"/>
              <w:jc w:val="center"/>
              <w:rPr>
                <w:kern w:val="0"/>
                <w:sz w:val="22"/>
                <w:szCs w:val="22"/>
              </w:rPr>
            </w:pPr>
          </w:p>
        </w:tc>
        <w:tc>
          <w:tcPr>
            <w:tcW w:w="1609" w:type="dxa"/>
            <w:vAlign w:val="center"/>
          </w:tcPr>
          <w:p>
            <w:pPr>
              <w:widowControl/>
              <w:snapToGrid w:val="0"/>
              <w:jc w:val="center"/>
              <w:rPr>
                <w:kern w:val="0"/>
                <w:sz w:val="22"/>
                <w:szCs w:val="22"/>
              </w:rPr>
            </w:pPr>
          </w:p>
        </w:tc>
        <w:tc>
          <w:tcPr>
            <w:tcW w:w="1709" w:type="dxa"/>
            <w:vAlign w:val="center"/>
          </w:tcPr>
          <w:p>
            <w:pPr>
              <w:widowControl/>
              <w:snapToGrid w:val="0"/>
              <w:jc w:val="center"/>
              <w:rPr>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jc w:val="center"/>
        </w:trPr>
        <w:tc>
          <w:tcPr>
            <w:tcW w:w="1049" w:type="dxa"/>
            <w:vAlign w:val="center"/>
          </w:tcPr>
          <w:p>
            <w:pPr>
              <w:widowControl/>
              <w:snapToGrid w:val="0"/>
              <w:jc w:val="center"/>
              <w:rPr>
                <w:kern w:val="0"/>
                <w:sz w:val="22"/>
                <w:szCs w:val="22"/>
              </w:rPr>
            </w:pPr>
            <w:r>
              <w:rPr>
                <w:kern w:val="0"/>
                <w:sz w:val="22"/>
                <w:szCs w:val="22"/>
              </w:rPr>
              <w:t>2</w:t>
            </w:r>
          </w:p>
        </w:tc>
        <w:tc>
          <w:tcPr>
            <w:tcW w:w="1754" w:type="dxa"/>
            <w:vAlign w:val="center"/>
          </w:tcPr>
          <w:p>
            <w:pPr>
              <w:widowControl/>
              <w:snapToGrid w:val="0"/>
              <w:jc w:val="center"/>
              <w:rPr>
                <w:kern w:val="0"/>
                <w:sz w:val="22"/>
                <w:szCs w:val="22"/>
              </w:rPr>
            </w:pPr>
          </w:p>
        </w:tc>
        <w:tc>
          <w:tcPr>
            <w:tcW w:w="1448" w:type="dxa"/>
            <w:vAlign w:val="center"/>
          </w:tcPr>
          <w:p>
            <w:pPr>
              <w:widowControl/>
              <w:snapToGrid w:val="0"/>
              <w:jc w:val="center"/>
              <w:rPr>
                <w:kern w:val="0"/>
                <w:sz w:val="22"/>
                <w:szCs w:val="22"/>
              </w:rPr>
            </w:pPr>
          </w:p>
        </w:tc>
        <w:tc>
          <w:tcPr>
            <w:tcW w:w="1769" w:type="dxa"/>
            <w:vAlign w:val="center"/>
          </w:tcPr>
          <w:p>
            <w:pPr>
              <w:widowControl/>
              <w:snapToGrid w:val="0"/>
              <w:jc w:val="center"/>
              <w:rPr>
                <w:kern w:val="0"/>
                <w:sz w:val="22"/>
                <w:szCs w:val="22"/>
              </w:rPr>
            </w:pPr>
          </w:p>
        </w:tc>
        <w:tc>
          <w:tcPr>
            <w:tcW w:w="1609" w:type="dxa"/>
            <w:vAlign w:val="center"/>
          </w:tcPr>
          <w:p>
            <w:pPr>
              <w:widowControl/>
              <w:snapToGrid w:val="0"/>
              <w:jc w:val="center"/>
              <w:rPr>
                <w:kern w:val="0"/>
                <w:sz w:val="22"/>
                <w:szCs w:val="22"/>
              </w:rPr>
            </w:pPr>
          </w:p>
        </w:tc>
        <w:tc>
          <w:tcPr>
            <w:tcW w:w="1709" w:type="dxa"/>
            <w:vAlign w:val="center"/>
          </w:tcPr>
          <w:p>
            <w:pPr>
              <w:widowControl/>
              <w:snapToGrid w:val="0"/>
              <w:jc w:val="center"/>
              <w:rPr>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jc w:val="center"/>
        </w:trPr>
        <w:tc>
          <w:tcPr>
            <w:tcW w:w="1049" w:type="dxa"/>
            <w:vAlign w:val="center"/>
          </w:tcPr>
          <w:p>
            <w:pPr>
              <w:widowControl/>
              <w:snapToGrid w:val="0"/>
              <w:jc w:val="center"/>
              <w:rPr>
                <w:kern w:val="0"/>
                <w:sz w:val="22"/>
                <w:szCs w:val="22"/>
              </w:rPr>
            </w:pPr>
            <w:r>
              <w:rPr>
                <w:kern w:val="0"/>
                <w:sz w:val="22"/>
                <w:szCs w:val="22"/>
              </w:rPr>
              <w:t>3</w:t>
            </w:r>
          </w:p>
        </w:tc>
        <w:tc>
          <w:tcPr>
            <w:tcW w:w="1754" w:type="dxa"/>
            <w:vAlign w:val="center"/>
          </w:tcPr>
          <w:p>
            <w:pPr>
              <w:widowControl/>
              <w:snapToGrid w:val="0"/>
              <w:jc w:val="center"/>
              <w:rPr>
                <w:kern w:val="0"/>
                <w:sz w:val="22"/>
                <w:szCs w:val="22"/>
              </w:rPr>
            </w:pPr>
          </w:p>
        </w:tc>
        <w:tc>
          <w:tcPr>
            <w:tcW w:w="1448" w:type="dxa"/>
            <w:vAlign w:val="center"/>
          </w:tcPr>
          <w:p>
            <w:pPr>
              <w:widowControl/>
              <w:snapToGrid w:val="0"/>
              <w:jc w:val="center"/>
              <w:rPr>
                <w:kern w:val="0"/>
                <w:sz w:val="22"/>
                <w:szCs w:val="22"/>
              </w:rPr>
            </w:pPr>
          </w:p>
        </w:tc>
        <w:tc>
          <w:tcPr>
            <w:tcW w:w="1769" w:type="dxa"/>
            <w:vAlign w:val="center"/>
          </w:tcPr>
          <w:p>
            <w:pPr>
              <w:widowControl/>
              <w:snapToGrid w:val="0"/>
              <w:jc w:val="center"/>
              <w:rPr>
                <w:kern w:val="0"/>
                <w:sz w:val="22"/>
                <w:szCs w:val="22"/>
              </w:rPr>
            </w:pPr>
          </w:p>
        </w:tc>
        <w:tc>
          <w:tcPr>
            <w:tcW w:w="1609" w:type="dxa"/>
            <w:vAlign w:val="center"/>
          </w:tcPr>
          <w:p>
            <w:pPr>
              <w:widowControl/>
              <w:snapToGrid w:val="0"/>
              <w:jc w:val="center"/>
              <w:rPr>
                <w:kern w:val="0"/>
                <w:sz w:val="22"/>
                <w:szCs w:val="22"/>
              </w:rPr>
            </w:pPr>
          </w:p>
        </w:tc>
        <w:tc>
          <w:tcPr>
            <w:tcW w:w="1709" w:type="dxa"/>
            <w:vAlign w:val="center"/>
          </w:tcPr>
          <w:p>
            <w:pPr>
              <w:widowControl/>
              <w:snapToGrid w:val="0"/>
              <w:jc w:val="center"/>
              <w:rPr>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jc w:val="center"/>
        </w:trPr>
        <w:tc>
          <w:tcPr>
            <w:tcW w:w="1049" w:type="dxa"/>
            <w:vAlign w:val="center"/>
          </w:tcPr>
          <w:p>
            <w:pPr>
              <w:widowControl/>
              <w:snapToGrid w:val="0"/>
              <w:jc w:val="center"/>
              <w:rPr>
                <w:kern w:val="0"/>
                <w:sz w:val="22"/>
                <w:szCs w:val="22"/>
              </w:rPr>
            </w:pPr>
            <w:r>
              <w:rPr>
                <w:kern w:val="0"/>
                <w:sz w:val="22"/>
                <w:szCs w:val="22"/>
              </w:rPr>
              <w:t>4</w:t>
            </w:r>
          </w:p>
        </w:tc>
        <w:tc>
          <w:tcPr>
            <w:tcW w:w="1754" w:type="dxa"/>
            <w:vAlign w:val="center"/>
          </w:tcPr>
          <w:p>
            <w:pPr>
              <w:widowControl/>
              <w:snapToGrid w:val="0"/>
              <w:jc w:val="center"/>
              <w:rPr>
                <w:kern w:val="0"/>
                <w:sz w:val="22"/>
                <w:szCs w:val="22"/>
              </w:rPr>
            </w:pPr>
          </w:p>
        </w:tc>
        <w:tc>
          <w:tcPr>
            <w:tcW w:w="1448" w:type="dxa"/>
            <w:vAlign w:val="center"/>
          </w:tcPr>
          <w:p>
            <w:pPr>
              <w:widowControl/>
              <w:snapToGrid w:val="0"/>
              <w:jc w:val="center"/>
              <w:rPr>
                <w:kern w:val="0"/>
                <w:sz w:val="22"/>
                <w:szCs w:val="22"/>
              </w:rPr>
            </w:pPr>
          </w:p>
        </w:tc>
        <w:tc>
          <w:tcPr>
            <w:tcW w:w="1769" w:type="dxa"/>
            <w:vAlign w:val="center"/>
          </w:tcPr>
          <w:p>
            <w:pPr>
              <w:widowControl/>
              <w:snapToGrid w:val="0"/>
              <w:jc w:val="center"/>
              <w:rPr>
                <w:kern w:val="0"/>
                <w:sz w:val="22"/>
                <w:szCs w:val="22"/>
              </w:rPr>
            </w:pPr>
          </w:p>
        </w:tc>
        <w:tc>
          <w:tcPr>
            <w:tcW w:w="1609" w:type="dxa"/>
            <w:vAlign w:val="center"/>
          </w:tcPr>
          <w:p>
            <w:pPr>
              <w:widowControl/>
              <w:snapToGrid w:val="0"/>
              <w:jc w:val="center"/>
              <w:rPr>
                <w:kern w:val="0"/>
                <w:sz w:val="22"/>
                <w:szCs w:val="22"/>
              </w:rPr>
            </w:pPr>
          </w:p>
        </w:tc>
        <w:tc>
          <w:tcPr>
            <w:tcW w:w="1709" w:type="dxa"/>
            <w:vAlign w:val="center"/>
          </w:tcPr>
          <w:p>
            <w:pPr>
              <w:widowControl/>
              <w:snapToGrid w:val="0"/>
              <w:jc w:val="center"/>
              <w:rPr>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1049" w:type="dxa"/>
            <w:vAlign w:val="center"/>
          </w:tcPr>
          <w:p>
            <w:pPr>
              <w:widowControl/>
              <w:snapToGrid w:val="0"/>
              <w:jc w:val="center"/>
              <w:rPr>
                <w:kern w:val="0"/>
                <w:sz w:val="22"/>
                <w:szCs w:val="22"/>
              </w:rPr>
            </w:pPr>
            <w:r>
              <w:rPr>
                <w:kern w:val="0"/>
                <w:sz w:val="22"/>
                <w:szCs w:val="22"/>
              </w:rPr>
              <w:t>……</w:t>
            </w:r>
          </w:p>
        </w:tc>
        <w:tc>
          <w:tcPr>
            <w:tcW w:w="1754" w:type="dxa"/>
            <w:vAlign w:val="center"/>
          </w:tcPr>
          <w:p>
            <w:pPr>
              <w:widowControl/>
              <w:snapToGrid w:val="0"/>
              <w:jc w:val="center"/>
              <w:rPr>
                <w:kern w:val="0"/>
                <w:sz w:val="22"/>
                <w:szCs w:val="22"/>
              </w:rPr>
            </w:pPr>
          </w:p>
        </w:tc>
        <w:tc>
          <w:tcPr>
            <w:tcW w:w="1448" w:type="dxa"/>
            <w:vAlign w:val="center"/>
          </w:tcPr>
          <w:p>
            <w:pPr>
              <w:widowControl/>
              <w:snapToGrid w:val="0"/>
              <w:jc w:val="center"/>
              <w:rPr>
                <w:kern w:val="0"/>
                <w:sz w:val="22"/>
                <w:szCs w:val="22"/>
              </w:rPr>
            </w:pPr>
          </w:p>
        </w:tc>
        <w:tc>
          <w:tcPr>
            <w:tcW w:w="1769" w:type="dxa"/>
            <w:vAlign w:val="center"/>
          </w:tcPr>
          <w:p>
            <w:pPr>
              <w:widowControl/>
              <w:snapToGrid w:val="0"/>
              <w:jc w:val="center"/>
              <w:rPr>
                <w:kern w:val="0"/>
                <w:sz w:val="22"/>
                <w:szCs w:val="22"/>
              </w:rPr>
            </w:pPr>
          </w:p>
        </w:tc>
        <w:tc>
          <w:tcPr>
            <w:tcW w:w="1609" w:type="dxa"/>
            <w:vAlign w:val="center"/>
          </w:tcPr>
          <w:p>
            <w:pPr>
              <w:widowControl/>
              <w:snapToGrid w:val="0"/>
              <w:jc w:val="center"/>
              <w:rPr>
                <w:kern w:val="0"/>
                <w:sz w:val="22"/>
                <w:szCs w:val="22"/>
              </w:rPr>
            </w:pPr>
          </w:p>
        </w:tc>
        <w:tc>
          <w:tcPr>
            <w:tcW w:w="1709" w:type="dxa"/>
            <w:vAlign w:val="center"/>
          </w:tcPr>
          <w:p>
            <w:pPr>
              <w:widowControl/>
              <w:snapToGrid w:val="0"/>
              <w:jc w:val="center"/>
              <w:rPr>
                <w:kern w:val="0"/>
                <w:sz w:val="22"/>
                <w:szCs w:val="22"/>
              </w:rPr>
            </w:pPr>
          </w:p>
        </w:tc>
      </w:tr>
    </w:tbl>
    <w:p>
      <w:pPr>
        <w:rPr>
          <w:rFonts w:hint="eastAsia"/>
          <w:sz w:val="22"/>
          <w:szCs w:val="22"/>
        </w:rPr>
      </w:pPr>
    </w:p>
    <w:p>
      <w:pPr>
        <w:rPr>
          <w:rFonts w:hint="eastAsia"/>
          <w:color w:val="0000FF"/>
          <w:sz w:val="22"/>
          <w:szCs w:val="22"/>
        </w:rPr>
      </w:pPr>
      <w:r>
        <w:rPr>
          <w:rFonts w:hint="eastAsia"/>
          <w:color w:val="0000FF"/>
          <w:sz w:val="22"/>
          <w:szCs w:val="22"/>
        </w:rPr>
        <w:t>注：投标人对付款方式、交货期、交货地点、质量保证期、投标有效期及其他商务条款未完全响应的，应当填写上表。</w:t>
      </w:r>
      <w:r>
        <w:rPr>
          <w:color w:val="0000FF"/>
          <w:sz w:val="22"/>
          <w:szCs w:val="22"/>
        </w:rPr>
        <w:t>投标人保证：除商务</w:t>
      </w:r>
      <w:r>
        <w:rPr>
          <w:rFonts w:hint="eastAsia"/>
          <w:color w:val="0000FF"/>
          <w:sz w:val="22"/>
          <w:szCs w:val="22"/>
        </w:rPr>
        <w:t>和</w:t>
      </w:r>
      <w:r>
        <w:rPr>
          <w:color w:val="0000FF"/>
          <w:sz w:val="22"/>
          <w:szCs w:val="22"/>
        </w:rPr>
        <w:t>技术偏</w:t>
      </w:r>
      <w:r>
        <w:rPr>
          <w:rFonts w:hint="eastAsia"/>
          <w:color w:val="0000FF"/>
          <w:sz w:val="22"/>
          <w:szCs w:val="22"/>
        </w:rPr>
        <w:t>差</w:t>
      </w:r>
      <w:r>
        <w:rPr>
          <w:color w:val="0000FF"/>
          <w:sz w:val="22"/>
          <w:szCs w:val="22"/>
        </w:rPr>
        <w:t>表列出的偏</w:t>
      </w:r>
      <w:r>
        <w:rPr>
          <w:rFonts w:hint="eastAsia"/>
          <w:color w:val="0000FF"/>
          <w:sz w:val="22"/>
          <w:szCs w:val="22"/>
        </w:rPr>
        <w:t>差</w:t>
      </w:r>
      <w:r>
        <w:rPr>
          <w:color w:val="0000FF"/>
          <w:sz w:val="22"/>
          <w:szCs w:val="22"/>
        </w:rPr>
        <w:t>外，投标人响应招标文件的全部要求。</w:t>
      </w:r>
    </w:p>
    <w:p>
      <w:pPr>
        <w:pStyle w:val="4"/>
        <w:jc w:val="center"/>
        <w:rPr>
          <w:rFonts w:hint="eastAsia" w:ascii="Times New Roman" w:hAnsi="Times New Roman"/>
          <w:color w:val="0000FF"/>
        </w:rPr>
        <w:sectPr>
          <w:footnotePr>
            <w:numFmt w:val="decimalEnclosedCircleChinese"/>
            <w:numRestart w:val="eachPage"/>
          </w:footnotePr>
          <w:pgSz w:w="11907" w:h="16840"/>
          <w:pgMar w:top="1474" w:right="1474" w:bottom="1474" w:left="1474" w:header="799" w:footer="907" w:gutter="0"/>
          <w:cols w:space="720" w:num="1"/>
          <w:docGrid w:linePitch="271" w:charSpace="0"/>
        </w:sectPr>
      </w:pPr>
    </w:p>
    <w:p>
      <w:pPr>
        <w:pStyle w:val="4"/>
        <w:jc w:val="center"/>
        <w:rPr>
          <w:rFonts w:hint="eastAsia" w:ascii="Times New Roman" w:hAnsi="Times New Roman"/>
        </w:rPr>
      </w:pPr>
      <w:r>
        <w:rPr>
          <w:rFonts w:hint="eastAsia" w:ascii="Times New Roman" w:hAnsi="Times New Roman"/>
        </w:rPr>
        <w:t>（二）技术条款偏差表</w:t>
      </w: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769"/>
        <w:gridCol w:w="1034"/>
        <w:gridCol w:w="1221"/>
        <w:gridCol w:w="1050"/>
        <w:gridCol w:w="1505"/>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exact"/>
          <w:jc w:val="center"/>
        </w:trPr>
        <w:tc>
          <w:tcPr>
            <w:tcW w:w="783" w:type="dxa"/>
            <w:vMerge w:val="restart"/>
            <w:vAlign w:val="center"/>
          </w:tcPr>
          <w:p>
            <w:pPr>
              <w:widowControl/>
              <w:snapToGrid w:val="0"/>
              <w:jc w:val="center"/>
              <w:rPr>
                <w:b/>
                <w:kern w:val="0"/>
                <w:sz w:val="22"/>
                <w:szCs w:val="22"/>
              </w:rPr>
            </w:pPr>
            <w:r>
              <w:rPr>
                <w:b/>
                <w:kern w:val="0"/>
                <w:sz w:val="22"/>
                <w:szCs w:val="22"/>
              </w:rPr>
              <w:t>序号</w:t>
            </w:r>
          </w:p>
        </w:tc>
        <w:tc>
          <w:tcPr>
            <w:tcW w:w="4024" w:type="dxa"/>
            <w:gridSpan w:val="3"/>
            <w:vAlign w:val="center"/>
          </w:tcPr>
          <w:p>
            <w:pPr>
              <w:widowControl/>
              <w:snapToGrid w:val="0"/>
              <w:jc w:val="center"/>
              <w:rPr>
                <w:b/>
                <w:kern w:val="0"/>
                <w:sz w:val="22"/>
                <w:szCs w:val="22"/>
              </w:rPr>
            </w:pPr>
            <w:r>
              <w:rPr>
                <w:b/>
                <w:kern w:val="0"/>
                <w:sz w:val="22"/>
                <w:szCs w:val="22"/>
              </w:rPr>
              <w:t>招标文件</w:t>
            </w:r>
            <w:r>
              <w:rPr>
                <w:rFonts w:hint="eastAsia"/>
                <w:b/>
                <w:kern w:val="0"/>
                <w:sz w:val="22"/>
                <w:szCs w:val="22"/>
              </w:rPr>
              <w:t>要求</w:t>
            </w:r>
          </w:p>
        </w:tc>
        <w:tc>
          <w:tcPr>
            <w:tcW w:w="2555" w:type="dxa"/>
            <w:gridSpan w:val="2"/>
            <w:vAlign w:val="center"/>
          </w:tcPr>
          <w:p>
            <w:pPr>
              <w:widowControl/>
              <w:snapToGrid w:val="0"/>
              <w:jc w:val="center"/>
              <w:rPr>
                <w:b/>
                <w:kern w:val="0"/>
                <w:sz w:val="22"/>
                <w:szCs w:val="22"/>
              </w:rPr>
            </w:pPr>
            <w:r>
              <w:rPr>
                <w:b/>
                <w:kern w:val="0"/>
                <w:sz w:val="22"/>
                <w:szCs w:val="22"/>
              </w:rPr>
              <w:t>投标文件</w:t>
            </w:r>
            <w:r>
              <w:rPr>
                <w:rFonts w:hint="eastAsia"/>
                <w:b/>
                <w:kern w:val="0"/>
                <w:sz w:val="22"/>
                <w:szCs w:val="22"/>
              </w:rPr>
              <w:t>响应</w:t>
            </w:r>
          </w:p>
        </w:tc>
        <w:tc>
          <w:tcPr>
            <w:tcW w:w="1596" w:type="dxa"/>
            <w:vMerge w:val="restart"/>
            <w:vAlign w:val="center"/>
          </w:tcPr>
          <w:p>
            <w:pPr>
              <w:widowControl/>
              <w:snapToGrid w:val="0"/>
              <w:jc w:val="center"/>
              <w:rPr>
                <w:b/>
                <w:kern w:val="0"/>
                <w:sz w:val="22"/>
                <w:szCs w:val="22"/>
              </w:rPr>
            </w:pPr>
            <w:r>
              <w:rPr>
                <w:b/>
                <w:kern w:val="0"/>
                <w:sz w:val="22"/>
                <w:szCs w:val="22"/>
              </w:rPr>
              <w:t>偏</w:t>
            </w:r>
            <w:r>
              <w:rPr>
                <w:rFonts w:hint="eastAsia"/>
                <w:b/>
                <w:kern w:val="0"/>
                <w:sz w:val="22"/>
                <w:szCs w:val="22"/>
              </w:rPr>
              <w:t>差</w:t>
            </w:r>
            <w:r>
              <w:rPr>
                <w:b/>
                <w:kern w:val="0"/>
                <w:sz w:val="22"/>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jc w:val="center"/>
        </w:trPr>
        <w:tc>
          <w:tcPr>
            <w:tcW w:w="783" w:type="dxa"/>
            <w:vMerge w:val="continue"/>
            <w:vAlign w:val="center"/>
          </w:tcPr>
          <w:p>
            <w:pPr>
              <w:widowControl/>
              <w:snapToGrid w:val="0"/>
              <w:jc w:val="center"/>
              <w:rPr>
                <w:kern w:val="0"/>
                <w:sz w:val="22"/>
                <w:szCs w:val="22"/>
              </w:rPr>
            </w:pPr>
          </w:p>
        </w:tc>
        <w:tc>
          <w:tcPr>
            <w:tcW w:w="1769" w:type="dxa"/>
            <w:vAlign w:val="center"/>
          </w:tcPr>
          <w:p>
            <w:pPr>
              <w:widowControl/>
              <w:snapToGrid w:val="0"/>
              <w:jc w:val="center"/>
              <w:rPr>
                <w:b/>
                <w:kern w:val="0"/>
                <w:sz w:val="22"/>
                <w:szCs w:val="22"/>
              </w:rPr>
            </w:pPr>
            <w:r>
              <w:rPr>
                <w:rFonts w:hint="eastAsia"/>
                <w:b/>
                <w:kern w:val="0"/>
                <w:sz w:val="22"/>
                <w:szCs w:val="22"/>
              </w:rPr>
              <w:t>供货要求</w:t>
            </w:r>
          </w:p>
        </w:tc>
        <w:tc>
          <w:tcPr>
            <w:tcW w:w="1034" w:type="dxa"/>
            <w:vAlign w:val="center"/>
          </w:tcPr>
          <w:p>
            <w:pPr>
              <w:widowControl/>
              <w:snapToGrid w:val="0"/>
              <w:jc w:val="center"/>
              <w:rPr>
                <w:b/>
                <w:kern w:val="0"/>
                <w:sz w:val="22"/>
                <w:szCs w:val="22"/>
              </w:rPr>
            </w:pPr>
            <w:r>
              <w:rPr>
                <w:b/>
                <w:kern w:val="0"/>
                <w:sz w:val="22"/>
                <w:szCs w:val="22"/>
              </w:rPr>
              <w:t>章节及条款号</w:t>
            </w:r>
          </w:p>
        </w:tc>
        <w:tc>
          <w:tcPr>
            <w:tcW w:w="1221" w:type="dxa"/>
            <w:vAlign w:val="center"/>
          </w:tcPr>
          <w:p>
            <w:pPr>
              <w:widowControl/>
              <w:snapToGrid w:val="0"/>
              <w:jc w:val="center"/>
              <w:rPr>
                <w:b/>
                <w:kern w:val="0"/>
                <w:sz w:val="22"/>
                <w:szCs w:val="22"/>
              </w:rPr>
            </w:pPr>
            <w:r>
              <w:rPr>
                <w:rFonts w:hint="eastAsia"/>
                <w:b/>
                <w:kern w:val="0"/>
                <w:sz w:val="22"/>
                <w:szCs w:val="22"/>
              </w:rPr>
              <w:t>具体要求</w:t>
            </w:r>
          </w:p>
        </w:tc>
        <w:tc>
          <w:tcPr>
            <w:tcW w:w="1050" w:type="dxa"/>
            <w:vAlign w:val="center"/>
          </w:tcPr>
          <w:p>
            <w:pPr>
              <w:widowControl/>
              <w:snapToGrid w:val="0"/>
              <w:jc w:val="center"/>
              <w:rPr>
                <w:b/>
                <w:kern w:val="0"/>
                <w:sz w:val="22"/>
                <w:szCs w:val="22"/>
              </w:rPr>
            </w:pPr>
            <w:r>
              <w:rPr>
                <w:b/>
                <w:kern w:val="0"/>
                <w:sz w:val="22"/>
                <w:szCs w:val="22"/>
              </w:rPr>
              <w:t>章节及条款号</w:t>
            </w:r>
          </w:p>
        </w:tc>
        <w:tc>
          <w:tcPr>
            <w:tcW w:w="1505" w:type="dxa"/>
            <w:vAlign w:val="center"/>
          </w:tcPr>
          <w:p>
            <w:pPr>
              <w:widowControl/>
              <w:snapToGrid w:val="0"/>
              <w:jc w:val="center"/>
              <w:rPr>
                <w:b/>
                <w:kern w:val="0"/>
                <w:sz w:val="22"/>
                <w:szCs w:val="22"/>
              </w:rPr>
            </w:pPr>
            <w:r>
              <w:rPr>
                <w:rFonts w:hint="eastAsia"/>
                <w:b/>
                <w:kern w:val="0"/>
                <w:sz w:val="22"/>
                <w:szCs w:val="22"/>
              </w:rPr>
              <w:t>具体内容</w:t>
            </w:r>
          </w:p>
        </w:tc>
        <w:tc>
          <w:tcPr>
            <w:tcW w:w="1596" w:type="dxa"/>
            <w:vMerge w:val="continue"/>
            <w:vAlign w:val="center"/>
          </w:tcPr>
          <w:p>
            <w:pPr>
              <w:widowControl/>
              <w:snapToGrid w:val="0"/>
              <w:jc w:val="center"/>
              <w:rPr>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jc w:val="center"/>
        </w:trPr>
        <w:tc>
          <w:tcPr>
            <w:tcW w:w="783" w:type="dxa"/>
            <w:vMerge w:val="restart"/>
            <w:vAlign w:val="center"/>
          </w:tcPr>
          <w:p>
            <w:pPr>
              <w:widowControl/>
              <w:snapToGrid w:val="0"/>
              <w:jc w:val="center"/>
              <w:rPr>
                <w:kern w:val="0"/>
                <w:sz w:val="22"/>
                <w:szCs w:val="22"/>
              </w:rPr>
            </w:pPr>
            <w:r>
              <w:rPr>
                <w:kern w:val="0"/>
                <w:sz w:val="22"/>
                <w:szCs w:val="22"/>
              </w:rPr>
              <w:t>1</w:t>
            </w:r>
          </w:p>
        </w:tc>
        <w:tc>
          <w:tcPr>
            <w:tcW w:w="1769" w:type="dxa"/>
            <w:vMerge w:val="restart"/>
            <w:vAlign w:val="center"/>
          </w:tcPr>
          <w:p>
            <w:pPr>
              <w:widowControl/>
              <w:snapToGrid w:val="0"/>
              <w:jc w:val="center"/>
              <w:rPr>
                <w:kern w:val="0"/>
                <w:sz w:val="22"/>
                <w:szCs w:val="22"/>
              </w:rPr>
            </w:pPr>
            <w:r>
              <w:rPr>
                <w:rFonts w:hint="eastAsia"/>
                <w:kern w:val="0"/>
                <w:sz w:val="22"/>
                <w:szCs w:val="22"/>
              </w:rPr>
              <w:t>供货范围</w:t>
            </w:r>
          </w:p>
        </w:tc>
        <w:tc>
          <w:tcPr>
            <w:tcW w:w="1034" w:type="dxa"/>
            <w:vAlign w:val="center"/>
          </w:tcPr>
          <w:p>
            <w:pPr>
              <w:widowControl/>
              <w:snapToGrid w:val="0"/>
              <w:jc w:val="center"/>
              <w:rPr>
                <w:kern w:val="0"/>
                <w:sz w:val="22"/>
                <w:szCs w:val="22"/>
              </w:rPr>
            </w:pPr>
          </w:p>
        </w:tc>
        <w:tc>
          <w:tcPr>
            <w:tcW w:w="1221" w:type="dxa"/>
            <w:vAlign w:val="center"/>
          </w:tcPr>
          <w:p>
            <w:pPr>
              <w:widowControl/>
              <w:snapToGrid w:val="0"/>
              <w:jc w:val="center"/>
              <w:rPr>
                <w:kern w:val="0"/>
                <w:sz w:val="22"/>
                <w:szCs w:val="22"/>
              </w:rPr>
            </w:pPr>
          </w:p>
        </w:tc>
        <w:tc>
          <w:tcPr>
            <w:tcW w:w="1050" w:type="dxa"/>
            <w:vAlign w:val="center"/>
          </w:tcPr>
          <w:p>
            <w:pPr>
              <w:widowControl/>
              <w:snapToGrid w:val="0"/>
              <w:jc w:val="center"/>
              <w:rPr>
                <w:kern w:val="0"/>
                <w:sz w:val="22"/>
                <w:szCs w:val="22"/>
              </w:rPr>
            </w:pPr>
          </w:p>
        </w:tc>
        <w:tc>
          <w:tcPr>
            <w:tcW w:w="1505" w:type="dxa"/>
            <w:vAlign w:val="center"/>
          </w:tcPr>
          <w:p>
            <w:pPr>
              <w:widowControl/>
              <w:snapToGrid w:val="0"/>
              <w:jc w:val="center"/>
              <w:rPr>
                <w:kern w:val="0"/>
                <w:sz w:val="22"/>
                <w:szCs w:val="22"/>
              </w:rPr>
            </w:pPr>
          </w:p>
        </w:tc>
        <w:tc>
          <w:tcPr>
            <w:tcW w:w="1596" w:type="dxa"/>
            <w:vAlign w:val="center"/>
          </w:tcPr>
          <w:p>
            <w:pPr>
              <w:widowControl/>
              <w:snapToGrid w:val="0"/>
              <w:jc w:val="center"/>
              <w:rPr>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exact"/>
          <w:jc w:val="center"/>
        </w:trPr>
        <w:tc>
          <w:tcPr>
            <w:tcW w:w="783" w:type="dxa"/>
            <w:vMerge w:val="continue"/>
            <w:vAlign w:val="center"/>
          </w:tcPr>
          <w:p>
            <w:pPr>
              <w:widowControl/>
              <w:snapToGrid w:val="0"/>
              <w:jc w:val="center"/>
              <w:rPr>
                <w:kern w:val="0"/>
                <w:sz w:val="22"/>
                <w:szCs w:val="22"/>
              </w:rPr>
            </w:pPr>
          </w:p>
        </w:tc>
        <w:tc>
          <w:tcPr>
            <w:tcW w:w="1769" w:type="dxa"/>
            <w:vMerge w:val="continue"/>
            <w:vAlign w:val="center"/>
          </w:tcPr>
          <w:p>
            <w:pPr>
              <w:widowControl/>
              <w:snapToGrid w:val="0"/>
              <w:jc w:val="center"/>
              <w:rPr>
                <w:kern w:val="0"/>
                <w:sz w:val="22"/>
                <w:szCs w:val="22"/>
              </w:rPr>
            </w:pPr>
          </w:p>
        </w:tc>
        <w:tc>
          <w:tcPr>
            <w:tcW w:w="1034" w:type="dxa"/>
            <w:vAlign w:val="center"/>
          </w:tcPr>
          <w:p>
            <w:pPr>
              <w:widowControl/>
              <w:snapToGrid w:val="0"/>
              <w:jc w:val="center"/>
              <w:rPr>
                <w:kern w:val="0"/>
                <w:sz w:val="22"/>
                <w:szCs w:val="22"/>
              </w:rPr>
            </w:pPr>
          </w:p>
        </w:tc>
        <w:tc>
          <w:tcPr>
            <w:tcW w:w="1221" w:type="dxa"/>
            <w:vAlign w:val="center"/>
          </w:tcPr>
          <w:p>
            <w:pPr>
              <w:widowControl/>
              <w:snapToGrid w:val="0"/>
              <w:jc w:val="center"/>
              <w:rPr>
                <w:kern w:val="0"/>
                <w:sz w:val="22"/>
                <w:szCs w:val="22"/>
              </w:rPr>
            </w:pPr>
          </w:p>
        </w:tc>
        <w:tc>
          <w:tcPr>
            <w:tcW w:w="1050" w:type="dxa"/>
            <w:vAlign w:val="center"/>
          </w:tcPr>
          <w:p>
            <w:pPr>
              <w:widowControl/>
              <w:snapToGrid w:val="0"/>
              <w:jc w:val="center"/>
              <w:rPr>
                <w:kern w:val="0"/>
                <w:sz w:val="22"/>
                <w:szCs w:val="22"/>
              </w:rPr>
            </w:pPr>
          </w:p>
        </w:tc>
        <w:tc>
          <w:tcPr>
            <w:tcW w:w="1505" w:type="dxa"/>
            <w:vAlign w:val="center"/>
          </w:tcPr>
          <w:p>
            <w:pPr>
              <w:widowControl/>
              <w:snapToGrid w:val="0"/>
              <w:jc w:val="center"/>
              <w:rPr>
                <w:kern w:val="0"/>
                <w:sz w:val="22"/>
                <w:szCs w:val="22"/>
              </w:rPr>
            </w:pPr>
          </w:p>
        </w:tc>
        <w:tc>
          <w:tcPr>
            <w:tcW w:w="1596" w:type="dxa"/>
            <w:vAlign w:val="center"/>
          </w:tcPr>
          <w:p>
            <w:pPr>
              <w:widowControl/>
              <w:snapToGrid w:val="0"/>
              <w:jc w:val="center"/>
              <w:rPr>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exact"/>
          <w:jc w:val="center"/>
        </w:trPr>
        <w:tc>
          <w:tcPr>
            <w:tcW w:w="783" w:type="dxa"/>
            <w:vMerge w:val="continue"/>
            <w:vAlign w:val="center"/>
          </w:tcPr>
          <w:p>
            <w:pPr>
              <w:widowControl/>
              <w:snapToGrid w:val="0"/>
              <w:jc w:val="center"/>
              <w:rPr>
                <w:kern w:val="0"/>
                <w:sz w:val="22"/>
                <w:szCs w:val="22"/>
              </w:rPr>
            </w:pPr>
          </w:p>
        </w:tc>
        <w:tc>
          <w:tcPr>
            <w:tcW w:w="1769" w:type="dxa"/>
            <w:vMerge w:val="continue"/>
            <w:vAlign w:val="center"/>
          </w:tcPr>
          <w:p>
            <w:pPr>
              <w:widowControl/>
              <w:snapToGrid w:val="0"/>
              <w:jc w:val="center"/>
              <w:rPr>
                <w:kern w:val="0"/>
                <w:sz w:val="22"/>
                <w:szCs w:val="22"/>
              </w:rPr>
            </w:pPr>
          </w:p>
        </w:tc>
        <w:tc>
          <w:tcPr>
            <w:tcW w:w="1034" w:type="dxa"/>
            <w:vAlign w:val="center"/>
          </w:tcPr>
          <w:p>
            <w:pPr>
              <w:widowControl/>
              <w:snapToGrid w:val="0"/>
              <w:jc w:val="center"/>
              <w:rPr>
                <w:kern w:val="0"/>
                <w:sz w:val="22"/>
                <w:szCs w:val="22"/>
              </w:rPr>
            </w:pPr>
          </w:p>
        </w:tc>
        <w:tc>
          <w:tcPr>
            <w:tcW w:w="1221" w:type="dxa"/>
            <w:vAlign w:val="center"/>
          </w:tcPr>
          <w:p>
            <w:pPr>
              <w:widowControl/>
              <w:snapToGrid w:val="0"/>
              <w:jc w:val="center"/>
              <w:rPr>
                <w:kern w:val="0"/>
                <w:sz w:val="22"/>
                <w:szCs w:val="22"/>
              </w:rPr>
            </w:pPr>
          </w:p>
        </w:tc>
        <w:tc>
          <w:tcPr>
            <w:tcW w:w="1050" w:type="dxa"/>
            <w:vAlign w:val="center"/>
          </w:tcPr>
          <w:p>
            <w:pPr>
              <w:widowControl/>
              <w:snapToGrid w:val="0"/>
              <w:jc w:val="center"/>
              <w:rPr>
                <w:kern w:val="0"/>
                <w:sz w:val="22"/>
                <w:szCs w:val="22"/>
              </w:rPr>
            </w:pPr>
          </w:p>
        </w:tc>
        <w:tc>
          <w:tcPr>
            <w:tcW w:w="1505" w:type="dxa"/>
            <w:vAlign w:val="center"/>
          </w:tcPr>
          <w:p>
            <w:pPr>
              <w:widowControl/>
              <w:snapToGrid w:val="0"/>
              <w:jc w:val="center"/>
              <w:rPr>
                <w:kern w:val="0"/>
                <w:sz w:val="22"/>
                <w:szCs w:val="22"/>
              </w:rPr>
            </w:pPr>
          </w:p>
        </w:tc>
        <w:tc>
          <w:tcPr>
            <w:tcW w:w="1596" w:type="dxa"/>
            <w:vAlign w:val="center"/>
          </w:tcPr>
          <w:p>
            <w:pPr>
              <w:widowControl/>
              <w:snapToGrid w:val="0"/>
              <w:jc w:val="center"/>
              <w:rPr>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exact"/>
          <w:jc w:val="center"/>
        </w:trPr>
        <w:tc>
          <w:tcPr>
            <w:tcW w:w="783" w:type="dxa"/>
            <w:vMerge w:val="restart"/>
            <w:vAlign w:val="center"/>
          </w:tcPr>
          <w:p>
            <w:pPr>
              <w:widowControl/>
              <w:snapToGrid w:val="0"/>
              <w:jc w:val="center"/>
              <w:rPr>
                <w:kern w:val="0"/>
                <w:sz w:val="22"/>
                <w:szCs w:val="22"/>
              </w:rPr>
            </w:pPr>
            <w:r>
              <w:rPr>
                <w:kern w:val="0"/>
                <w:sz w:val="22"/>
                <w:szCs w:val="22"/>
              </w:rPr>
              <w:t>2</w:t>
            </w:r>
          </w:p>
        </w:tc>
        <w:tc>
          <w:tcPr>
            <w:tcW w:w="1769" w:type="dxa"/>
            <w:vMerge w:val="restart"/>
            <w:vAlign w:val="center"/>
          </w:tcPr>
          <w:p>
            <w:pPr>
              <w:widowControl/>
              <w:snapToGrid w:val="0"/>
              <w:jc w:val="center"/>
              <w:rPr>
                <w:kern w:val="0"/>
                <w:sz w:val="22"/>
                <w:szCs w:val="22"/>
              </w:rPr>
            </w:pPr>
            <w:r>
              <w:rPr>
                <w:rFonts w:hint="eastAsia"/>
                <w:kern w:val="0"/>
                <w:sz w:val="22"/>
                <w:szCs w:val="22"/>
              </w:rPr>
              <w:t>相关配置、功能、技术性能参数等具体要求</w:t>
            </w:r>
          </w:p>
        </w:tc>
        <w:tc>
          <w:tcPr>
            <w:tcW w:w="1034" w:type="dxa"/>
            <w:vAlign w:val="center"/>
          </w:tcPr>
          <w:p>
            <w:pPr>
              <w:widowControl/>
              <w:snapToGrid w:val="0"/>
              <w:jc w:val="center"/>
              <w:rPr>
                <w:kern w:val="0"/>
                <w:sz w:val="22"/>
                <w:szCs w:val="22"/>
              </w:rPr>
            </w:pPr>
          </w:p>
        </w:tc>
        <w:tc>
          <w:tcPr>
            <w:tcW w:w="1221" w:type="dxa"/>
            <w:vAlign w:val="center"/>
          </w:tcPr>
          <w:p>
            <w:pPr>
              <w:widowControl/>
              <w:snapToGrid w:val="0"/>
              <w:jc w:val="center"/>
              <w:rPr>
                <w:kern w:val="0"/>
                <w:sz w:val="22"/>
                <w:szCs w:val="22"/>
              </w:rPr>
            </w:pPr>
          </w:p>
        </w:tc>
        <w:tc>
          <w:tcPr>
            <w:tcW w:w="1050" w:type="dxa"/>
            <w:vAlign w:val="center"/>
          </w:tcPr>
          <w:p>
            <w:pPr>
              <w:widowControl/>
              <w:snapToGrid w:val="0"/>
              <w:jc w:val="center"/>
              <w:rPr>
                <w:kern w:val="0"/>
                <w:sz w:val="22"/>
                <w:szCs w:val="22"/>
              </w:rPr>
            </w:pPr>
          </w:p>
        </w:tc>
        <w:tc>
          <w:tcPr>
            <w:tcW w:w="1505" w:type="dxa"/>
            <w:vAlign w:val="center"/>
          </w:tcPr>
          <w:p>
            <w:pPr>
              <w:widowControl/>
              <w:snapToGrid w:val="0"/>
              <w:jc w:val="center"/>
              <w:rPr>
                <w:kern w:val="0"/>
                <w:sz w:val="22"/>
                <w:szCs w:val="22"/>
              </w:rPr>
            </w:pPr>
          </w:p>
        </w:tc>
        <w:tc>
          <w:tcPr>
            <w:tcW w:w="1596" w:type="dxa"/>
            <w:vAlign w:val="center"/>
          </w:tcPr>
          <w:p>
            <w:pPr>
              <w:widowControl/>
              <w:snapToGrid w:val="0"/>
              <w:jc w:val="center"/>
              <w:rPr>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exact"/>
          <w:jc w:val="center"/>
        </w:trPr>
        <w:tc>
          <w:tcPr>
            <w:tcW w:w="783" w:type="dxa"/>
            <w:vMerge w:val="continue"/>
            <w:vAlign w:val="center"/>
          </w:tcPr>
          <w:p>
            <w:pPr>
              <w:widowControl/>
              <w:snapToGrid w:val="0"/>
              <w:jc w:val="center"/>
              <w:rPr>
                <w:kern w:val="0"/>
                <w:sz w:val="22"/>
                <w:szCs w:val="22"/>
              </w:rPr>
            </w:pPr>
          </w:p>
        </w:tc>
        <w:tc>
          <w:tcPr>
            <w:tcW w:w="1769" w:type="dxa"/>
            <w:vMerge w:val="continue"/>
            <w:vAlign w:val="center"/>
          </w:tcPr>
          <w:p>
            <w:pPr>
              <w:widowControl/>
              <w:snapToGrid w:val="0"/>
              <w:jc w:val="center"/>
              <w:rPr>
                <w:kern w:val="0"/>
                <w:sz w:val="22"/>
                <w:szCs w:val="22"/>
              </w:rPr>
            </w:pPr>
          </w:p>
        </w:tc>
        <w:tc>
          <w:tcPr>
            <w:tcW w:w="1034" w:type="dxa"/>
            <w:vAlign w:val="center"/>
          </w:tcPr>
          <w:p>
            <w:pPr>
              <w:widowControl/>
              <w:snapToGrid w:val="0"/>
              <w:jc w:val="center"/>
              <w:rPr>
                <w:kern w:val="0"/>
                <w:sz w:val="22"/>
                <w:szCs w:val="22"/>
              </w:rPr>
            </w:pPr>
          </w:p>
        </w:tc>
        <w:tc>
          <w:tcPr>
            <w:tcW w:w="1221" w:type="dxa"/>
            <w:vAlign w:val="center"/>
          </w:tcPr>
          <w:p>
            <w:pPr>
              <w:widowControl/>
              <w:snapToGrid w:val="0"/>
              <w:jc w:val="center"/>
              <w:rPr>
                <w:kern w:val="0"/>
                <w:sz w:val="22"/>
                <w:szCs w:val="22"/>
              </w:rPr>
            </w:pPr>
          </w:p>
        </w:tc>
        <w:tc>
          <w:tcPr>
            <w:tcW w:w="1050" w:type="dxa"/>
            <w:vAlign w:val="center"/>
          </w:tcPr>
          <w:p>
            <w:pPr>
              <w:widowControl/>
              <w:snapToGrid w:val="0"/>
              <w:jc w:val="center"/>
              <w:rPr>
                <w:kern w:val="0"/>
                <w:sz w:val="22"/>
                <w:szCs w:val="22"/>
              </w:rPr>
            </w:pPr>
          </w:p>
        </w:tc>
        <w:tc>
          <w:tcPr>
            <w:tcW w:w="1505" w:type="dxa"/>
            <w:vAlign w:val="center"/>
          </w:tcPr>
          <w:p>
            <w:pPr>
              <w:widowControl/>
              <w:snapToGrid w:val="0"/>
              <w:jc w:val="center"/>
              <w:rPr>
                <w:kern w:val="0"/>
                <w:sz w:val="22"/>
                <w:szCs w:val="22"/>
              </w:rPr>
            </w:pPr>
          </w:p>
        </w:tc>
        <w:tc>
          <w:tcPr>
            <w:tcW w:w="1596" w:type="dxa"/>
            <w:vAlign w:val="center"/>
          </w:tcPr>
          <w:p>
            <w:pPr>
              <w:widowControl/>
              <w:snapToGrid w:val="0"/>
              <w:jc w:val="center"/>
              <w:rPr>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exact"/>
          <w:jc w:val="center"/>
        </w:trPr>
        <w:tc>
          <w:tcPr>
            <w:tcW w:w="783" w:type="dxa"/>
            <w:vMerge w:val="continue"/>
            <w:vAlign w:val="center"/>
          </w:tcPr>
          <w:p>
            <w:pPr>
              <w:widowControl/>
              <w:snapToGrid w:val="0"/>
              <w:jc w:val="center"/>
              <w:rPr>
                <w:kern w:val="0"/>
                <w:sz w:val="22"/>
                <w:szCs w:val="22"/>
              </w:rPr>
            </w:pPr>
          </w:p>
        </w:tc>
        <w:tc>
          <w:tcPr>
            <w:tcW w:w="1769" w:type="dxa"/>
            <w:vMerge w:val="continue"/>
            <w:vAlign w:val="center"/>
          </w:tcPr>
          <w:p>
            <w:pPr>
              <w:widowControl/>
              <w:snapToGrid w:val="0"/>
              <w:jc w:val="center"/>
              <w:rPr>
                <w:kern w:val="0"/>
                <w:sz w:val="22"/>
                <w:szCs w:val="22"/>
              </w:rPr>
            </w:pPr>
          </w:p>
        </w:tc>
        <w:tc>
          <w:tcPr>
            <w:tcW w:w="1034" w:type="dxa"/>
            <w:vAlign w:val="center"/>
          </w:tcPr>
          <w:p>
            <w:pPr>
              <w:widowControl/>
              <w:snapToGrid w:val="0"/>
              <w:jc w:val="center"/>
              <w:rPr>
                <w:kern w:val="0"/>
                <w:sz w:val="22"/>
                <w:szCs w:val="22"/>
              </w:rPr>
            </w:pPr>
          </w:p>
        </w:tc>
        <w:tc>
          <w:tcPr>
            <w:tcW w:w="1221" w:type="dxa"/>
            <w:vAlign w:val="center"/>
          </w:tcPr>
          <w:p>
            <w:pPr>
              <w:widowControl/>
              <w:snapToGrid w:val="0"/>
              <w:jc w:val="center"/>
              <w:rPr>
                <w:kern w:val="0"/>
                <w:sz w:val="22"/>
                <w:szCs w:val="22"/>
              </w:rPr>
            </w:pPr>
          </w:p>
        </w:tc>
        <w:tc>
          <w:tcPr>
            <w:tcW w:w="1050" w:type="dxa"/>
            <w:vAlign w:val="center"/>
          </w:tcPr>
          <w:p>
            <w:pPr>
              <w:widowControl/>
              <w:snapToGrid w:val="0"/>
              <w:jc w:val="center"/>
              <w:rPr>
                <w:kern w:val="0"/>
                <w:sz w:val="22"/>
                <w:szCs w:val="22"/>
              </w:rPr>
            </w:pPr>
          </w:p>
        </w:tc>
        <w:tc>
          <w:tcPr>
            <w:tcW w:w="1505" w:type="dxa"/>
            <w:vAlign w:val="center"/>
          </w:tcPr>
          <w:p>
            <w:pPr>
              <w:widowControl/>
              <w:snapToGrid w:val="0"/>
              <w:jc w:val="center"/>
              <w:rPr>
                <w:kern w:val="0"/>
                <w:sz w:val="22"/>
                <w:szCs w:val="22"/>
              </w:rPr>
            </w:pPr>
          </w:p>
        </w:tc>
        <w:tc>
          <w:tcPr>
            <w:tcW w:w="1596" w:type="dxa"/>
            <w:vAlign w:val="center"/>
          </w:tcPr>
          <w:p>
            <w:pPr>
              <w:widowControl/>
              <w:snapToGrid w:val="0"/>
              <w:jc w:val="center"/>
              <w:rPr>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exact"/>
          <w:jc w:val="center"/>
        </w:trPr>
        <w:tc>
          <w:tcPr>
            <w:tcW w:w="783" w:type="dxa"/>
            <w:vMerge w:val="restart"/>
            <w:vAlign w:val="center"/>
          </w:tcPr>
          <w:p>
            <w:pPr>
              <w:widowControl/>
              <w:snapToGrid w:val="0"/>
              <w:jc w:val="center"/>
              <w:rPr>
                <w:kern w:val="0"/>
                <w:sz w:val="22"/>
                <w:szCs w:val="22"/>
              </w:rPr>
            </w:pPr>
            <w:r>
              <w:rPr>
                <w:kern w:val="0"/>
                <w:sz w:val="22"/>
                <w:szCs w:val="22"/>
              </w:rPr>
              <w:t>3</w:t>
            </w:r>
          </w:p>
        </w:tc>
        <w:tc>
          <w:tcPr>
            <w:tcW w:w="1769" w:type="dxa"/>
            <w:vMerge w:val="restart"/>
            <w:vAlign w:val="center"/>
          </w:tcPr>
          <w:p>
            <w:pPr>
              <w:widowControl/>
              <w:snapToGrid w:val="0"/>
              <w:jc w:val="center"/>
              <w:rPr>
                <w:kern w:val="0"/>
                <w:sz w:val="22"/>
                <w:szCs w:val="22"/>
              </w:rPr>
            </w:pPr>
            <w:r>
              <w:rPr>
                <w:rFonts w:hint="eastAsia"/>
                <w:kern w:val="0"/>
                <w:sz w:val="22"/>
                <w:szCs w:val="22"/>
              </w:rPr>
              <w:t>检验考核要求</w:t>
            </w:r>
          </w:p>
        </w:tc>
        <w:tc>
          <w:tcPr>
            <w:tcW w:w="1034" w:type="dxa"/>
            <w:vAlign w:val="center"/>
          </w:tcPr>
          <w:p>
            <w:pPr>
              <w:widowControl/>
              <w:snapToGrid w:val="0"/>
              <w:jc w:val="center"/>
              <w:rPr>
                <w:kern w:val="0"/>
                <w:sz w:val="22"/>
                <w:szCs w:val="22"/>
              </w:rPr>
            </w:pPr>
          </w:p>
        </w:tc>
        <w:tc>
          <w:tcPr>
            <w:tcW w:w="1221" w:type="dxa"/>
            <w:vAlign w:val="center"/>
          </w:tcPr>
          <w:p>
            <w:pPr>
              <w:widowControl/>
              <w:snapToGrid w:val="0"/>
              <w:jc w:val="center"/>
              <w:rPr>
                <w:kern w:val="0"/>
                <w:sz w:val="22"/>
                <w:szCs w:val="22"/>
              </w:rPr>
            </w:pPr>
          </w:p>
        </w:tc>
        <w:tc>
          <w:tcPr>
            <w:tcW w:w="1050" w:type="dxa"/>
            <w:vAlign w:val="center"/>
          </w:tcPr>
          <w:p>
            <w:pPr>
              <w:widowControl/>
              <w:snapToGrid w:val="0"/>
              <w:jc w:val="center"/>
              <w:rPr>
                <w:kern w:val="0"/>
                <w:sz w:val="22"/>
                <w:szCs w:val="22"/>
              </w:rPr>
            </w:pPr>
          </w:p>
        </w:tc>
        <w:tc>
          <w:tcPr>
            <w:tcW w:w="1505" w:type="dxa"/>
            <w:vAlign w:val="center"/>
          </w:tcPr>
          <w:p>
            <w:pPr>
              <w:widowControl/>
              <w:snapToGrid w:val="0"/>
              <w:jc w:val="center"/>
              <w:rPr>
                <w:kern w:val="0"/>
                <w:sz w:val="22"/>
                <w:szCs w:val="22"/>
              </w:rPr>
            </w:pPr>
          </w:p>
        </w:tc>
        <w:tc>
          <w:tcPr>
            <w:tcW w:w="1596" w:type="dxa"/>
            <w:vAlign w:val="center"/>
          </w:tcPr>
          <w:p>
            <w:pPr>
              <w:widowControl/>
              <w:snapToGrid w:val="0"/>
              <w:jc w:val="center"/>
              <w:rPr>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exact"/>
          <w:jc w:val="center"/>
        </w:trPr>
        <w:tc>
          <w:tcPr>
            <w:tcW w:w="783" w:type="dxa"/>
            <w:vMerge w:val="continue"/>
            <w:vAlign w:val="center"/>
          </w:tcPr>
          <w:p>
            <w:pPr>
              <w:widowControl/>
              <w:snapToGrid w:val="0"/>
              <w:jc w:val="center"/>
              <w:rPr>
                <w:kern w:val="0"/>
                <w:sz w:val="22"/>
                <w:szCs w:val="22"/>
              </w:rPr>
            </w:pPr>
          </w:p>
        </w:tc>
        <w:tc>
          <w:tcPr>
            <w:tcW w:w="1769" w:type="dxa"/>
            <w:vMerge w:val="continue"/>
            <w:vAlign w:val="center"/>
          </w:tcPr>
          <w:p>
            <w:pPr>
              <w:widowControl/>
              <w:snapToGrid w:val="0"/>
              <w:jc w:val="center"/>
              <w:rPr>
                <w:kern w:val="0"/>
                <w:sz w:val="22"/>
                <w:szCs w:val="22"/>
              </w:rPr>
            </w:pPr>
          </w:p>
        </w:tc>
        <w:tc>
          <w:tcPr>
            <w:tcW w:w="1034" w:type="dxa"/>
            <w:vAlign w:val="center"/>
          </w:tcPr>
          <w:p>
            <w:pPr>
              <w:widowControl/>
              <w:snapToGrid w:val="0"/>
              <w:jc w:val="center"/>
              <w:rPr>
                <w:kern w:val="0"/>
                <w:sz w:val="22"/>
                <w:szCs w:val="22"/>
              </w:rPr>
            </w:pPr>
          </w:p>
        </w:tc>
        <w:tc>
          <w:tcPr>
            <w:tcW w:w="1221" w:type="dxa"/>
            <w:vAlign w:val="center"/>
          </w:tcPr>
          <w:p>
            <w:pPr>
              <w:widowControl/>
              <w:snapToGrid w:val="0"/>
              <w:jc w:val="center"/>
              <w:rPr>
                <w:kern w:val="0"/>
                <w:sz w:val="22"/>
                <w:szCs w:val="22"/>
              </w:rPr>
            </w:pPr>
          </w:p>
        </w:tc>
        <w:tc>
          <w:tcPr>
            <w:tcW w:w="1050" w:type="dxa"/>
            <w:vAlign w:val="center"/>
          </w:tcPr>
          <w:p>
            <w:pPr>
              <w:widowControl/>
              <w:snapToGrid w:val="0"/>
              <w:jc w:val="center"/>
              <w:rPr>
                <w:kern w:val="0"/>
                <w:sz w:val="22"/>
                <w:szCs w:val="22"/>
              </w:rPr>
            </w:pPr>
          </w:p>
        </w:tc>
        <w:tc>
          <w:tcPr>
            <w:tcW w:w="1505" w:type="dxa"/>
            <w:vAlign w:val="center"/>
          </w:tcPr>
          <w:p>
            <w:pPr>
              <w:widowControl/>
              <w:snapToGrid w:val="0"/>
              <w:jc w:val="center"/>
              <w:rPr>
                <w:kern w:val="0"/>
                <w:sz w:val="22"/>
                <w:szCs w:val="22"/>
              </w:rPr>
            </w:pPr>
          </w:p>
        </w:tc>
        <w:tc>
          <w:tcPr>
            <w:tcW w:w="1596" w:type="dxa"/>
            <w:vAlign w:val="center"/>
          </w:tcPr>
          <w:p>
            <w:pPr>
              <w:widowControl/>
              <w:snapToGrid w:val="0"/>
              <w:jc w:val="center"/>
              <w:rPr>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exact"/>
          <w:jc w:val="center"/>
        </w:trPr>
        <w:tc>
          <w:tcPr>
            <w:tcW w:w="783" w:type="dxa"/>
            <w:vMerge w:val="continue"/>
            <w:vAlign w:val="center"/>
          </w:tcPr>
          <w:p>
            <w:pPr>
              <w:widowControl/>
              <w:snapToGrid w:val="0"/>
              <w:jc w:val="center"/>
              <w:rPr>
                <w:kern w:val="0"/>
                <w:sz w:val="22"/>
                <w:szCs w:val="22"/>
              </w:rPr>
            </w:pPr>
          </w:p>
        </w:tc>
        <w:tc>
          <w:tcPr>
            <w:tcW w:w="1769" w:type="dxa"/>
            <w:vMerge w:val="continue"/>
            <w:vAlign w:val="center"/>
          </w:tcPr>
          <w:p>
            <w:pPr>
              <w:widowControl/>
              <w:snapToGrid w:val="0"/>
              <w:jc w:val="center"/>
              <w:rPr>
                <w:kern w:val="0"/>
                <w:sz w:val="22"/>
                <w:szCs w:val="22"/>
              </w:rPr>
            </w:pPr>
          </w:p>
        </w:tc>
        <w:tc>
          <w:tcPr>
            <w:tcW w:w="1034" w:type="dxa"/>
            <w:vAlign w:val="center"/>
          </w:tcPr>
          <w:p>
            <w:pPr>
              <w:widowControl/>
              <w:snapToGrid w:val="0"/>
              <w:jc w:val="center"/>
              <w:rPr>
                <w:kern w:val="0"/>
                <w:sz w:val="22"/>
                <w:szCs w:val="22"/>
              </w:rPr>
            </w:pPr>
          </w:p>
        </w:tc>
        <w:tc>
          <w:tcPr>
            <w:tcW w:w="1221" w:type="dxa"/>
            <w:vAlign w:val="center"/>
          </w:tcPr>
          <w:p>
            <w:pPr>
              <w:widowControl/>
              <w:snapToGrid w:val="0"/>
              <w:jc w:val="center"/>
              <w:rPr>
                <w:kern w:val="0"/>
                <w:sz w:val="22"/>
                <w:szCs w:val="22"/>
              </w:rPr>
            </w:pPr>
          </w:p>
        </w:tc>
        <w:tc>
          <w:tcPr>
            <w:tcW w:w="1050" w:type="dxa"/>
            <w:vAlign w:val="center"/>
          </w:tcPr>
          <w:p>
            <w:pPr>
              <w:widowControl/>
              <w:snapToGrid w:val="0"/>
              <w:jc w:val="center"/>
              <w:rPr>
                <w:kern w:val="0"/>
                <w:sz w:val="22"/>
                <w:szCs w:val="22"/>
              </w:rPr>
            </w:pPr>
          </w:p>
        </w:tc>
        <w:tc>
          <w:tcPr>
            <w:tcW w:w="1505" w:type="dxa"/>
            <w:vAlign w:val="center"/>
          </w:tcPr>
          <w:p>
            <w:pPr>
              <w:widowControl/>
              <w:snapToGrid w:val="0"/>
              <w:jc w:val="center"/>
              <w:rPr>
                <w:kern w:val="0"/>
                <w:sz w:val="22"/>
                <w:szCs w:val="22"/>
              </w:rPr>
            </w:pPr>
          </w:p>
        </w:tc>
        <w:tc>
          <w:tcPr>
            <w:tcW w:w="1596" w:type="dxa"/>
            <w:vAlign w:val="center"/>
          </w:tcPr>
          <w:p>
            <w:pPr>
              <w:widowControl/>
              <w:snapToGrid w:val="0"/>
              <w:jc w:val="center"/>
              <w:rPr>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exact"/>
          <w:jc w:val="center"/>
        </w:trPr>
        <w:tc>
          <w:tcPr>
            <w:tcW w:w="783" w:type="dxa"/>
            <w:vMerge w:val="restart"/>
            <w:vAlign w:val="center"/>
          </w:tcPr>
          <w:p>
            <w:pPr>
              <w:widowControl/>
              <w:snapToGrid w:val="0"/>
              <w:jc w:val="center"/>
              <w:rPr>
                <w:kern w:val="0"/>
                <w:sz w:val="22"/>
                <w:szCs w:val="22"/>
              </w:rPr>
            </w:pPr>
            <w:r>
              <w:rPr>
                <w:kern w:val="0"/>
                <w:sz w:val="22"/>
                <w:szCs w:val="22"/>
              </w:rPr>
              <w:t>4</w:t>
            </w:r>
          </w:p>
        </w:tc>
        <w:tc>
          <w:tcPr>
            <w:tcW w:w="1769" w:type="dxa"/>
            <w:vMerge w:val="restart"/>
            <w:vAlign w:val="center"/>
          </w:tcPr>
          <w:p>
            <w:pPr>
              <w:widowControl/>
              <w:snapToGrid w:val="0"/>
              <w:jc w:val="center"/>
              <w:rPr>
                <w:kern w:val="0"/>
                <w:sz w:val="22"/>
                <w:szCs w:val="22"/>
              </w:rPr>
            </w:pPr>
            <w:r>
              <w:rPr>
                <w:rFonts w:hint="eastAsia"/>
                <w:kern w:val="0"/>
                <w:sz w:val="22"/>
                <w:szCs w:val="22"/>
              </w:rPr>
              <w:t>技术服务要求</w:t>
            </w:r>
          </w:p>
        </w:tc>
        <w:tc>
          <w:tcPr>
            <w:tcW w:w="1034" w:type="dxa"/>
            <w:vAlign w:val="center"/>
          </w:tcPr>
          <w:p>
            <w:pPr>
              <w:widowControl/>
              <w:snapToGrid w:val="0"/>
              <w:jc w:val="center"/>
              <w:rPr>
                <w:kern w:val="0"/>
                <w:sz w:val="22"/>
                <w:szCs w:val="22"/>
              </w:rPr>
            </w:pPr>
          </w:p>
        </w:tc>
        <w:tc>
          <w:tcPr>
            <w:tcW w:w="1221" w:type="dxa"/>
            <w:vAlign w:val="center"/>
          </w:tcPr>
          <w:p>
            <w:pPr>
              <w:widowControl/>
              <w:snapToGrid w:val="0"/>
              <w:jc w:val="center"/>
              <w:rPr>
                <w:kern w:val="0"/>
                <w:sz w:val="22"/>
                <w:szCs w:val="22"/>
              </w:rPr>
            </w:pPr>
          </w:p>
        </w:tc>
        <w:tc>
          <w:tcPr>
            <w:tcW w:w="1050" w:type="dxa"/>
            <w:vAlign w:val="center"/>
          </w:tcPr>
          <w:p>
            <w:pPr>
              <w:widowControl/>
              <w:snapToGrid w:val="0"/>
              <w:jc w:val="center"/>
              <w:rPr>
                <w:kern w:val="0"/>
                <w:sz w:val="22"/>
                <w:szCs w:val="22"/>
              </w:rPr>
            </w:pPr>
          </w:p>
        </w:tc>
        <w:tc>
          <w:tcPr>
            <w:tcW w:w="1505" w:type="dxa"/>
            <w:vAlign w:val="center"/>
          </w:tcPr>
          <w:p>
            <w:pPr>
              <w:widowControl/>
              <w:snapToGrid w:val="0"/>
              <w:jc w:val="center"/>
              <w:rPr>
                <w:kern w:val="0"/>
                <w:sz w:val="22"/>
                <w:szCs w:val="22"/>
              </w:rPr>
            </w:pPr>
          </w:p>
        </w:tc>
        <w:tc>
          <w:tcPr>
            <w:tcW w:w="1596" w:type="dxa"/>
            <w:vAlign w:val="center"/>
          </w:tcPr>
          <w:p>
            <w:pPr>
              <w:widowControl/>
              <w:snapToGrid w:val="0"/>
              <w:jc w:val="center"/>
              <w:rPr>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exact"/>
          <w:jc w:val="center"/>
        </w:trPr>
        <w:tc>
          <w:tcPr>
            <w:tcW w:w="783" w:type="dxa"/>
            <w:vMerge w:val="continue"/>
            <w:vAlign w:val="center"/>
          </w:tcPr>
          <w:p>
            <w:pPr>
              <w:widowControl/>
              <w:snapToGrid w:val="0"/>
              <w:jc w:val="center"/>
              <w:rPr>
                <w:kern w:val="0"/>
                <w:sz w:val="22"/>
                <w:szCs w:val="22"/>
              </w:rPr>
            </w:pPr>
          </w:p>
        </w:tc>
        <w:tc>
          <w:tcPr>
            <w:tcW w:w="1769" w:type="dxa"/>
            <w:vMerge w:val="continue"/>
            <w:vAlign w:val="center"/>
          </w:tcPr>
          <w:p>
            <w:pPr>
              <w:widowControl/>
              <w:snapToGrid w:val="0"/>
              <w:jc w:val="center"/>
              <w:rPr>
                <w:kern w:val="0"/>
                <w:sz w:val="22"/>
                <w:szCs w:val="22"/>
              </w:rPr>
            </w:pPr>
          </w:p>
        </w:tc>
        <w:tc>
          <w:tcPr>
            <w:tcW w:w="1034" w:type="dxa"/>
            <w:vAlign w:val="center"/>
          </w:tcPr>
          <w:p>
            <w:pPr>
              <w:widowControl/>
              <w:snapToGrid w:val="0"/>
              <w:jc w:val="center"/>
              <w:rPr>
                <w:kern w:val="0"/>
                <w:sz w:val="22"/>
                <w:szCs w:val="22"/>
              </w:rPr>
            </w:pPr>
          </w:p>
        </w:tc>
        <w:tc>
          <w:tcPr>
            <w:tcW w:w="1221" w:type="dxa"/>
            <w:vAlign w:val="center"/>
          </w:tcPr>
          <w:p>
            <w:pPr>
              <w:widowControl/>
              <w:snapToGrid w:val="0"/>
              <w:jc w:val="center"/>
              <w:rPr>
                <w:kern w:val="0"/>
                <w:sz w:val="22"/>
                <w:szCs w:val="22"/>
              </w:rPr>
            </w:pPr>
          </w:p>
        </w:tc>
        <w:tc>
          <w:tcPr>
            <w:tcW w:w="1050" w:type="dxa"/>
            <w:vAlign w:val="center"/>
          </w:tcPr>
          <w:p>
            <w:pPr>
              <w:widowControl/>
              <w:snapToGrid w:val="0"/>
              <w:jc w:val="center"/>
              <w:rPr>
                <w:kern w:val="0"/>
                <w:sz w:val="22"/>
                <w:szCs w:val="22"/>
              </w:rPr>
            </w:pPr>
          </w:p>
        </w:tc>
        <w:tc>
          <w:tcPr>
            <w:tcW w:w="1505" w:type="dxa"/>
            <w:vAlign w:val="center"/>
          </w:tcPr>
          <w:p>
            <w:pPr>
              <w:widowControl/>
              <w:snapToGrid w:val="0"/>
              <w:jc w:val="center"/>
              <w:rPr>
                <w:kern w:val="0"/>
                <w:sz w:val="22"/>
                <w:szCs w:val="22"/>
              </w:rPr>
            </w:pPr>
          </w:p>
        </w:tc>
        <w:tc>
          <w:tcPr>
            <w:tcW w:w="1596" w:type="dxa"/>
            <w:vAlign w:val="center"/>
          </w:tcPr>
          <w:p>
            <w:pPr>
              <w:widowControl/>
              <w:snapToGrid w:val="0"/>
              <w:jc w:val="center"/>
              <w:rPr>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783" w:type="dxa"/>
            <w:vMerge w:val="continue"/>
            <w:vAlign w:val="center"/>
          </w:tcPr>
          <w:p>
            <w:pPr>
              <w:widowControl/>
              <w:snapToGrid w:val="0"/>
              <w:jc w:val="center"/>
              <w:rPr>
                <w:kern w:val="0"/>
                <w:sz w:val="22"/>
                <w:szCs w:val="22"/>
              </w:rPr>
            </w:pPr>
          </w:p>
        </w:tc>
        <w:tc>
          <w:tcPr>
            <w:tcW w:w="1769" w:type="dxa"/>
            <w:vMerge w:val="continue"/>
            <w:vAlign w:val="center"/>
          </w:tcPr>
          <w:p>
            <w:pPr>
              <w:widowControl/>
              <w:snapToGrid w:val="0"/>
              <w:jc w:val="center"/>
              <w:rPr>
                <w:kern w:val="0"/>
                <w:sz w:val="22"/>
                <w:szCs w:val="22"/>
              </w:rPr>
            </w:pPr>
          </w:p>
        </w:tc>
        <w:tc>
          <w:tcPr>
            <w:tcW w:w="1034" w:type="dxa"/>
            <w:vAlign w:val="center"/>
          </w:tcPr>
          <w:p>
            <w:pPr>
              <w:widowControl/>
              <w:snapToGrid w:val="0"/>
              <w:jc w:val="center"/>
              <w:rPr>
                <w:kern w:val="0"/>
                <w:sz w:val="22"/>
                <w:szCs w:val="22"/>
              </w:rPr>
            </w:pPr>
          </w:p>
        </w:tc>
        <w:tc>
          <w:tcPr>
            <w:tcW w:w="1221" w:type="dxa"/>
            <w:vAlign w:val="center"/>
          </w:tcPr>
          <w:p>
            <w:pPr>
              <w:widowControl/>
              <w:snapToGrid w:val="0"/>
              <w:jc w:val="center"/>
              <w:rPr>
                <w:kern w:val="0"/>
                <w:sz w:val="22"/>
                <w:szCs w:val="22"/>
              </w:rPr>
            </w:pPr>
          </w:p>
        </w:tc>
        <w:tc>
          <w:tcPr>
            <w:tcW w:w="1050" w:type="dxa"/>
            <w:vAlign w:val="center"/>
          </w:tcPr>
          <w:p>
            <w:pPr>
              <w:widowControl/>
              <w:snapToGrid w:val="0"/>
              <w:jc w:val="center"/>
              <w:rPr>
                <w:kern w:val="0"/>
                <w:sz w:val="22"/>
                <w:szCs w:val="22"/>
              </w:rPr>
            </w:pPr>
          </w:p>
        </w:tc>
        <w:tc>
          <w:tcPr>
            <w:tcW w:w="1505" w:type="dxa"/>
            <w:vAlign w:val="center"/>
          </w:tcPr>
          <w:p>
            <w:pPr>
              <w:widowControl/>
              <w:snapToGrid w:val="0"/>
              <w:jc w:val="center"/>
              <w:rPr>
                <w:kern w:val="0"/>
                <w:sz w:val="22"/>
                <w:szCs w:val="22"/>
              </w:rPr>
            </w:pPr>
          </w:p>
        </w:tc>
        <w:tc>
          <w:tcPr>
            <w:tcW w:w="1596" w:type="dxa"/>
            <w:vAlign w:val="center"/>
          </w:tcPr>
          <w:p>
            <w:pPr>
              <w:widowControl/>
              <w:snapToGrid w:val="0"/>
              <w:jc w:val="center"/>
              <w:rPr>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783" w:type="dxa"/>
            <w:vMerge w:val="restart"/>
            <w:vAlign w:val="center"/>
          </w:tcPr>
          <w:p>
            <w:pPr>
              <w:widowControl/>
              <w:snapToGrid w:val="0"/>
              <w:jc w:val="center"/>
              <w:rPr>
                <w:kern w:val="0"/>
                <w:sz w:val="22"/>
                <w:szCs w:val="22"/>
              </w:rPr>
            </w:pPr>
            <w:r>
              <w:rPr>
                <w:kern w:val="0"/>
                <w:sz w:val="22"/>
                <w:szCs w:val="22"/>
              </w:rPr>
              <w:t>……</w:t>
            </w:r>
          </w:p>
        </w:tc>
        <w:tc>
          <w:tcPr>
            <w:tcW w:w="1769" w:type="dxa"/>
            <w:vMerge w:val="restart"/>
            <w:vAlign w:val="center"/>
          </w:tcPr>
          <w:p>
            <w:pPr>
              <w:widowControl/>
              <w:snapToGrid w:val="0"/>
              <w:jc w:val="center"/>
              <w:rPr>
                <w:kern w:val="0"/>
                <w:sz w:val="22"/>
                <w:szCs w:val="22"/>
              </w:rPr>
            </w:pPr>
            <w:r>
              <w:rPr>
                <w:rFonts w:hint="eastAsia"/>
                <w:kern w:val="0"/>
                <w:sz w:val="22"/>
                <w:szCs w:val="22"/>
              </w:rPr>
              <w:t>其他要求</w:t>
            </w:r>
          </w:p>
        </w:tc>
        <w:tc>
          <w:tcPr>
            <w:tcW w:w="1034" w:type="dxa"/>
            <w:vAlign w:val="center"/>
          </w:tcPr>
          <w:p>
            <w:pPr>
              <w:widowControl/>
              <w:snapToGrid w:val="0"/>
              <w:jc w:val="center"/>
              <w:rPr>
                <w:kern w:val="0"/>
                <w:sz w:val="22"/>
                <w:szCs w:val="22"/>
              </w:rPr>
            </w:pPr>
          </w:p>
        </w:tc>
        <w:tc>
          <w:tcPr>
            <w:tcW w:w="1221" w:type="dxa"/>
            <w:vAlign w:val="center"/>
          </w:tcPr>
          <w:p>
            <w:pPr>
              <w:widowControl/>
              <w:snapToGrid w:val="0"/>
              <w:jc w:val="center"/>
              <w:rPr>
                <w:kern w:val="0"/>
                <w:sz w:val="22"/>
                <w:szCs w:val="22"/>
              </w:rPr>
            </w:pPr>
          </w:p>
        </w:tc>
        <w:tc>
          <w:tcPr>
            <w:tcW w:w="1050" w:type="dxa"/>
            <w:vAlign w:val="center"/>
          </w:tcPr>
          <w:p>
            <w:pPr>
              <w:widowControl/>
              <w:snapToGrid w:val="0"/>
              <w:jc w:val="center"/>
              <w:rPr>
                <w:kern w:val="0"/>
                <w:sz w:val="22"/>
                <w:szCs w:val="22"/>
              </w:rPr>
            </w:pPr>
          </w:p>
        </w:tc>
        <w:tc>
          <w:tcPr>
            <w:tcW w:w="1505" w:type="dxa"/>
            <w:vAlign w:val="center"/>
          </w:tcPr>
          <w:p>
            <w:pPr>
              <w:widowControl/>
              <w:snapToGrid w:val="0"/>
              <w:jc w:val="center"/>
              <w:rPr>
                <w:kern w:val="0"/>
                <w:sz w:val="22"/>
                <w:szCs w:val="22"/>
              </w:rPr>
            </w:pPr>
          </w:p>
        </w:tc>
        <w:tc>
          <w:tcPr>
            <w:tcW w:w="1596" w:type="dxa"/>
            <w:vAlign w:val="center"/>
          </w:tcPr>
          <w:p>
            <w:pPr>
              <w:widowControl/>
              <w:snapToGrid w:val="0"/>
              <w:jc w:val="center"/>
              <w:rPr>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exact"/>
          <w:jc w:val="center"/>
        </w:trPr>
        <w:tc>
          <w:tcPr>
            <w:tcW w:w="783" w:type="dxa"/>
            <w:vMerge w:val="continue"/>
            <w:vAlign w:val="center"/>
          </w:tcPr>
          <w:p>
            <w:pPr>
              <w:widowControl/>
              <w:snapToGrid w:val="0"/>
              <w:jc w:val="center"/>
              <w:rPr>
                <w:kern w:val="0"/>
                <w:sz w:val="22"/>
                <w:szCs w:val="22"/>
              </w:rPr>
            </w:pPr>
          </w:p>
        </w:tc>
        <w:tc>
          <w:tcPr>
            <w:tcW w:w="1769" w:type="dxa"/>
            <w:vMerge w:val="continue"/>
            <w:vAlign w:val="center"/>
          </w:tcPr>
          <w:p>
            <w:pPr>
              <w:widowControl/>
              <w:snapToGrid w:val="0"/>
              <w:jc w:val="center"/>
              <w:rPr>
                <w:kern w:val="0"/>
                <w:sz w:val="22"/>
                <w:szCs w:val="22"/>
              </w:rPr>
            </w:pPr>
          </w:p>
        </w:tc>
        <w:tc>
          <w:tcPr>
            <w:tcW w:w="1034" w:type="dxa"/>
            <w:vAlign w:val="center"/>
          </w:tcPr>
          <w:p>
            <w:pPr>
              <w:widowControl/>
              <w:snapToGrid w:val="0"/>
              <w:jc w:val="center"/>
              <w:rPr>
                <w:kern w:val="0"/>
                <w:sz w:val="22"/>
                <w:szCs w:val="22"/>
              </w:rPr>
            </w:pPr>
          </w:p>
        </w:tc>
        <w:tc>
          <w:tcPr>
            <w:tcW w:w="1221" w:type="dxa"/>
            <w:vAlign w:val="center"/>
          </w:tcPr>
          <w:p>
            <w:pPr>
              <w:widowControl/>
              <w:snapToGrid w:val="0"/>
              <w:jc w:val="center"/>
              <w:rPr>
                <w:kern w:val="0"/>
                <w:sz w:val="22"/>
                <w:szCs w:val="22"/>
              </w:rPr>
            </w:pPr>
          </w:p>
        </w:tc>
        <w:tc>
          <w:tcPr>
            <w:tcW w:w="1050" w:type="dxa"/>
            <w:vAlign w:val="center"/>
          </w:tcPr>
          <w:p>
            <w:pPr>
              <w:widowControl/>
              <w:snapToGrid w:val="0"/>
              <w:jc w:val="center"/>
              <w:rPr>
                <w:kern w:val="0"/>
                <w:sz w:val="22"/>
                <w:szCs w:val="22"/>
              </w:rPr>
            </w:pPr>
          </w:p>
        </w:tc>
        <w:tc>
          <w:tcPr>
            <w:tcW w:w="1505" w:type="dxa"/>
            <w:vAlign w:val="center"/>
          </w:tcPr>
          <w:p>
            <w:pPr>
              <w:widowControl/>
              <w:snapToGrid w:val="0"/>
              <w:jc w:val="center"/>
              <w:rPr>
                <w:kern w:val="0"/>
                <w:sz w:val="22"/>
                <w:szCs w:val="22"/>
              </w:rPr>
            </w:pPr>
          </w:p>
        </w:tc>
        <w:tc>
          <w:tcPr>
            <w:tcW w:w="1596" w:type="dxa"/>
            <w:vAlign w:val="center"/>
          </w:tcPr>
          <w:p>
            <w:pPr>
              <w:widowControl/>
              <w:snapToGrid w:val="0"/>
              <w:jc w:val="center"/>
              <w:rPr>
                <w:kern w:val="0"/>
                <w:sz w:val="22"/>
                <w:szCs w:val="22"/>
              </w:rPr>
            </w:pPr>
          </w:p>
        </w:tc>
      </w:tr>
    </w:tbl>
    <w:p>
      <w:pPr>
        <w:rPr>
          <w:rFonts w:hint="eastAsia"/>
        </w:rPr>
      </w:pPr>
    </w:p>
    <w:p>
      <w:pPr>
        <w:widowControl/>
        <w:jc w:val="left"/>
        <w:rPr>
          <w:sz w:val="22"/>
          <w:szCs w:val="28"/>
        </w:rPr>
      </w:pPr>
      <w:r>
        <w:rPr>
          <w:rFonts w:hint="eastAsia" w:ascii="宋体" w:hAnsi="宋体" w:cs="宋体"/>
          <w:color w:val="000000"/>
          <w:kern w:val="0"/>
          <w:sz w:val="22"/>
          <w:szCs w:val="22"/>
        </w:rPr>
        <w:t>（</w:t>
      </w:r>
      <w:r>
        <w:rPr>
          <w:color w:val="000000"/>
          <w:kern w:val="0"/>
          <w:sz w:val="22"/>
          <w:szCs w:val="22"/>
        </w:rPr>
        <w:t>1</w:t>
      </w:r>
      <w:r>
        <w:rPr>
          <w:rFonts w:hint="eastAsia" w:ascii="宋体" w:hAnsi="宋体" w:cs="宋体"/>
          <w:color w:val="000000"/>
          <w:kern w:val="0"/>
          <w:sz w:val="22"/>
          <w:szCs w:val="22"/>
        </w:rPr>
        <w:t xml:space="preserve">）投标人保证：除商务和技术偏差表列出的偏差外，投标人响应招标文件的全部要求。 </w:t>
      </w:r>
    </w:p>
    <w:p>
      <w:pPr>
        <w:widowControl/>
        <w:jc w:val="left"/>
        <w:rPr>
          <w:sz w:val="22"/>
          <w:szCs w:val="28"/>
        </w:rPr>
      </w:pPr>
      <w:r>
        <w:rPr>
          <w:rFonts w:hint="eastAsia" w:ascii="宋体" w:hAnsi="宋体" w:cs="宋体"/>
          <w:color w:val="000000"/>
          <w:kern w:val="0"/>
          <w:sz w:val="22"/>
          <w:szCs w:val="22"/>
        </w:rPr>
        <w:t>（</w:t>
      </w:r>
      <w:r>
        <w:rPr>
          <w:color w:val="000000"/>
          <w:kern w:val="0"/>
          <w:sz w:val="22"/>
          <w:szCs w:val="22"/>
        </w:rPr>
        <w:t>2</w:t>
      </w:r>
      <w:r>
        <w:rPr>
          <w:rFonts w:hint="eastAsia" w:ascii="宋体" w:hAnsi="宋体" w:cs="宋体"/>
          <w:color w:val="000000"/>
          <w:kern w:val="0"/>
          <w:sz w:val="22"/>
          <w:szCs w:val="22"/>
        </w:rPr>
        <w:t>）采用其他品牌（或型号）的应在上述《技术条款偏差表》中注明并提供有关技术性能指标证 明资料等供评标委员会评审，未注明且未提供有关技术性能指标证明资料，或经评标委员会评审未 通过的，中标后只能从招标人推荐（或参考）品牌中进行选择，合同价格不予调整。</w:t>
      </w:r>
    </w:p>
    <w:p>
      <w:pPr>
        <w:pStyle w:val="4"/>
        <w:jc w:val="center"/>
        <w:rPr>
          <w:rFonts w:hint="eastAsia" w:ascii="Times New Roman" w:hAnsi="Times New Roman"/>
        </w:rPr>
        <w:sectPr>
          <w:footnotePr>
            <w:numFmt w:val="decimalEnclosedCircleChinese"/>
            <w:numRestart w:val="eachPage"/>
          </w:footnotePr>
          <w:pgSz w:w="11907" w:h="16840"/>
          <w:pgMar w:top="1474" w:right="1474" w:bottom="1474" w:left="1474" w:header="799" w:footer="907" w:gutter="0"/>
          <w:cols w:space="720" w:num="1"/>
          <w:docGrid w:linePitch="271" w:charSpace="0"/>
        </w:sectPr>
      </w:pPr>
    </w:p>
    <w:p>
      <w:pPr>
        <w:pStyle w:val="4"/>
        <w:jc w:val="center"/>
        <w:rPr>
          <w:rFonts w:hint="eastAsia" w:ascii="Times New Roman" w:hAnsi="Times New Roman"/>
        </w:rPr>
      </w:pPr>
      <w:r>
        <w:rPr>
          <w:rFonts w:hint="eastAsia" w:ascii="Times New Roman" w:hAnsi="Times New Roman"/>
        </w:rPr>
        <w:t>五、资格审查资料</w:t>
      </w:r>
    </w:p>
    <w:p>
      <w:pPr>
        <w:pStyle w:val="4"/>
        <w:jc w:val="center"/>
        <w:rPr>
          <w:rFonts w:ascii="Times New Roman" w:hAnsi="Times New Roman"/>
          <w:szCs w:val="22"/>
        </w:rPr>
      </w:pPr>
      <w:r>
        <w:rPr>
          <w:rFonts w:hint="eastAsia" w:ascii="Times New Roman" w:hAnsi="Times New Roman"/>
        </w:rPr>
        <w:t>（一）投标人基本情况表</w:t>
      </w:r>
      <w:bookmarkEnd w:id="483"/>
      <w:bookmarkEnd w:id="484"/>
      <w:bookmarkEnd w:id="487"/>
      <w:bookmarkEnd w:id="488"/>
      <w:bookmarkEnd w:id="489"/>
    </w:p>
    <w:tbl>
      <w:tblPr>
        <w:tblStyle w:val="55"/>
        <w:tblW w:w="95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31"/>
        <w:gridCol w:w="1013"/>
        <w:gridCol w:w="2584"/>
        <w:gridCol w:w="1217"/>
        <w:gridCol w:w="24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331" w:type="dxa"/>
            <w:tcBorders>
              <w:top w:val="single" w:color="auto" w:sz="4" w:space="0"/>
              <w:left w:val="single" w:color="auto" w:sz="4" w:space="0"/>
              <w:bottom w:val="single" w:color="auto" w:sz="4" w:space="0"/>
              <w:right w:val="single" w:color="auto" w:sz="4" w:space="0"/>
            </w:tcBorders>
            <w:vAlign w:val="center"/>
          </w:tcPr>
          <w:p>
            <w:pPr>
              <w:topLinePunct/>
              <w:jc w:val="center"/>
              <w:rPr>
                <w:color w:val="000000"/>
                <w:sz w:val="22"/>
                <w:szCs w:val="22"/>
              </w:rPr>
            </w:pPr>
            <w:r>
              <w:rPr>
                <w:color w:val="000000"/>
                <w:sz w:val="22"/>
                <w:szCs w:val="22"/>
              </w:rPr>
              <w:t>投标人名称</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topLinePunct/>
              <w:jc w:val="center"/>
              <w:rPr>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331" w:type="dxa"/>
            <w:tcBorders>
              <w:top w:val="single" w:color="auto" w:sz="4" w:space="0"/>
              <w:left w:val="single" w:color="auto" w:sz="4" w:space="0"/>
              <w:bottom w:val="single" w:color="auto" w:sz="4" w:space="0"/>
              <w:right w:val="single" w:color="auto" w:sz="4" w:space="0"/>
            </w:tcBorders>
            <w:vAlign w:val="center"/>
          </w:tcPr>
          <w:p>
            <w:pPr>
              <w:topLinePunct/>
              <w:jc w:val="center"/>
              <w:rPr>
                <w:color w:val="000000"/>
                <w:sz w:val="22"/>
                <w:szCs w:val="22"/>
              </w:rPr>
            </w:pPr>
            <w:r>
              <w:rPr>
                <w:color w:val="000000"/>
                <w:sz w:val="22"/>
                <w:szCs w:val="22"/>
              </w:rPr>
              <w:t>注册</w:t>
            </w:r>
            <w:r>
              <w:rPr>
                <w:sz w:val="22"/>
                <w:szCs w:val="22"/>
              </w:rPr>
              <w:t>资金</w:t>
            </w:r>
          </w:p>
        </w:tc>
        <w:tc>
          <w:tcPr>
            <w:tcW w:w="3597"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color w:val="000000"/>
                <w:sz w:val="22"/>
                <w:szCs w:val="22"/>
              </w:rPr>
            </w:pPr>
          </w:p>
        </w:tc>
        <w:tc>
          <w:tcPr>
            <w:tcW w:w="1217" w:type="dxa"/>
            <w:tcBorders>
              <w:top w:val="single" w:color="auto" w:sz="4" w:space="0"/>
              <w:left w:val="single" w:color="auto" w:sz="4" w:space="0"/>
              <w:bottom w:val="single" w:color="auto" w:sz="4" w:space="0"/>
              <w:right w:val="single" w:color="auto" w:sz="4" w:space="0"/>
            </w:tcBorders>
            <w:vAlign w:val="center"/>
          </w:tcPr>
          <w:p>
            <w:pPr>
              <w:topLinePunct/>
              <w:jc w:val="center"/>
              <w:rPr>
                <w:color w:val="000000"/>
                <w:sz w:val="22"/>
                <w:szCs w:val="22"/>
              </w:rPr>
            </w:pPr>
            <w:r>
              <w:rPr>
                <w:sz w:val="22"/>
                <w:szCs w:val="22"/>
              </w:rPr>
              <w:t>成立时间</w:t>
            </w:r>
          </w:p>
        </w:tc>
        <w:tc>
          <w:tcPr>
            <w:tcW w:w="2434" w:type="dxa"/>
            <w:tcBorders>
              <w:top w:val="single" w:color="auto" w:sz="4" w:space="0"/>
              <w:left w:val="single" w:color="auto" w:sz="4" w:space="0"/>
              <w:bottom w:val="single" w:color="auto" w:sz="4" w:space="0"/>
              <w:right w:val="single" w:color="auto" w:sz="4" w:space="0"/>
            </w:tcBorders>
            <w:vAlign w:val="center"/>
          </w:tcPr>
          <w:p>
            <w:pPr>
              <w:topLinePunct/>
              <w:jc w:val="center"/>
              <w:rPr>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331" w:type="dxa"/>
            <w:tcBorders>
              <w:top w:val="single" w:color="auto" w:sz="4" w:space="0"/>
              <w:left w:val="single" w:color="auto" w:sz="4" w:space="0"/>
              <w:bottom w:val="single" w:color="auto" w:sz="4" w:space="0"/>
              <w:right w:val="single" w:color="auto" w:sz="4" w:space="0"/>
            </w:tcBorders>
            <w:vAlign w:val="center"/>
          </w:tcPr>
          <w:p>
            <w:pPr>
              <w:topLinePunct/>
              <w:jc w:val="center"/>
              <w:rPr>
                <w:sz w:val="22"/>
                <w:szCs w:val="22"/>
              </w:rPr>
            </w:pPr>
            <w:r>
              <w:rPr>
                <w:sz w:val="22"/>
                <w:szCs w:val="22"/>
              </w:rPr>
              <w:t>注册地址</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topLinePunct/>
              <w:jc w:val="center"/>
              <w:rPr>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331" w:type="dxa"/>
            <w:tcBorders>
              <w:top w:val="single" w:color="auto" w:sz="4" w:space="0"/>
              <w:left w:val="single" w:color="auto" w:sz="4" w:space="0"/>
              <w:bottom w:val="single" w:color="auto" w:sz="4" w:space="0"/>
              <w:right w:val="single" w:color="auto" w:sz="4" w:space="0"/>
            </w:tcBorders>
            <w:vAlign w:val="center"/>
          </w:tcPr>
          <w:p>
            <w:pPr>
              <w:topLinePunct/>
              <w:jc w:val="center"/>
              <w:rPr>
                <w:sz w:val="22"/>
                <w:szCs w:val="22"/>
              </w:rPr>
            </w:pPr>
            <w:r>
              <w:rPr>
                <w:sz w:val="22"/>
                <w:szCs w:val="22"/>
              </w:rPr>
              <w:t>邮政编码</w:t>
            </w:r>
          </w:p>
        </w:tc>
        <w:tc>
          <w:tcPr>
            <w:tcW w:w="3597"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sz w:val="22"/>
                <w:szCs w:val="22"/>
              </w:rPr>
            </w:pPr>
          </w:p>
        </w:tc>
        <w:tc>
          <w:tcPr>
            <w:tcW w:w="1217" w:type="dxa"/>
            <w:tcBorders>
              <w:top w:val="single" w:color="auto" w:sz="4" w:space="0"/>
              <w:left w:val="single" w:color="auto" w:sz="4" w:space="0"/>
              <w:bottom w:val="single" w:color="auto" w:sz="4" w:space="0"/>
              <w:right w:val="single" w:color="auto" w:sz="4" w:space="0"/>
            </w:tcBorders>
            <w:vAlign w:val="center"/>
          </w:tcPr>
          <w:p>
            <w:pPr>
              <w:topLinePunct/>
              <w:jc w:val="center"/>
              <w:rPr>
                <w:sz w:val="22"/>
                <w:szCs w:val="22"/>
              </w:rPr>
            </w:pPr>
            <w:r>
              <w:rPr>
                <w:sz w:val="22"/>
                <w:szCs w:val="22"/>
              </w:rPr>
              <w:t>员工总数</w:t>
            </w:r>
          </w:p>
        </w:tc>
        <w:tc>
          <w:tcPr>
            <w:tcW w:w="2434" w:type="dxa"/>
            <w:tcBorders>
              <w:top w:val="single" w:color="auto" w:sz="4" w:space="0"/>
              <w:left w:val="single" w:color="auto" w:sz="4" w:space="0"/>
              <w:bottom w:val="single" w:color="auto" w:sz="4" w:space="0"/>
              <w:right w:val="single" w:color="auto" w:sz="4" w:space="0"/>
            </w:tcBorders>
            <w:vAlign w:val="center"/>
          </w:tcPr>
          <w:p>
            <w:pPr>
              <w:topLinePunct/>
              <w:jc w:val="center"/>
              <w:rPr>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331" w:type="dxa"/>
            <w:vMerge w:val="restart"/>
            <w:tcBorders>
              <w:top w:val="single" w:color="auto" w:sz="4" w:space="0"/>
              <w:left w:val="single" w:color="auto" w:sz="4" w:space="0"/>
              <w:bottom w:val="single" w:color="auto" w:sz="4" w:space="0"/>
              <w:right w:val="single" w:color="auto" w:sz="4" w:space="0"/>
            </w:tcBorders>
            <w:vAlign w:val="center"/>
          </w:tcPr>
          <w:p>
            <w:pPr>
              <w:topLinePunct/>
              <w:jc w:val="center"/>
              <w:rPr>
                <w:sz w:val="22"/>
                <w:szCs w:val="22"/>
              </w:rPr>
            </w:pPr>
            <w:r>
              <w:rPr>
                <w:sz w:val="22"/>
                <w:szCs w:val="22"/>
              </w:rPr>
              <w:t>联系方式</w:t>
            </w:r>
          </w:p>
        </w:tc>
        <w:tc>
          <w:tcPr>
            <w:tcW w:w="1013" w:type="dxa"/>
            <w:tcBorders>
              <w:top w:val="single" w:color="auto" w:sz="4" w:space="0"/>
              <w:left w:val="single" w:color="auto" w:sz="4" w:space="0"/>
              <w:bottom w:val="single" w:color="auto" w:sz="4" w:space="0"/>
              <w:right w:val="single" w:color="auto" w:sz="4" w:space="0"/>
            </w:tcBorders>
            <w:vAlign w:val="center"/>
          </w:tcPr>
          <w:p>
            <w:pPr>
              <w:topLinePunct/>
              <w:jc w:val="center"/>
              <w:rPr>
                <w:sz w:val="22"/>
                <w:szCs w:val="22"/>
              </w:rPr>
            </w:pPr>
            <w:r>
              <w:rPr>
                <w:sz w:val="22"/>
                <w:szCs w:val="22"/>
              </w:rPr>
              <w:t>联系人</w:t>
            </w:r>
          </w:p>
        </w:tc>
        <w:tc>
          <w:tcPr>
            <w:tcW w:w="2584" w:type="dxa"/>
            <w:tcBorders>
              <w:top w:val="single" w:color="auto" w:sz="4" w:space="0"/>
              <w:left w:val="single" w:color="auto" w:sz="4" w:space="0"/>
              <w:bottom w:val="single" w:color="auto" w:sz="4" w:space="0"/>
              <w:right w:val="single" w:color="auto" w:sz="4" w:space="0"/>
            </w:tcBorders>
            <w:vAlign w:val="center"/>
          </w:tcPr>
          <w:p>
            <w:pPr>
              <w:topLinePunct/>
              <w:jc w:val="center"/>
              <w:rPr>
                <w:sz w:val="22"/>
                <w:szCs w:val="22"/>
              </w:rPr>
            </w:pPr>
          </w:p>
        </w:tc>
        <w:tc>
          <w:tcPr>
            <w:tcW w:w="1217" w:type="dxa"/>
            <w:tcBorders>
              <w:top w:val="single" w:color="auto" w:sz="4" w:space="0"/>
              <w:left w:val="single" w:color="auto" w:sz="4" w:space="0"/>
              <w:bottom w:val="single" w:color="auto" w:sz="4" w:space="0"/>
              <w:right w:val="single" w:color="auto" w:sz="4" w:space="0"/>
            </w:tcBorders>
            <w:vAlign w:val="center"/>
          </w:tcPr>
          <w:p>
            <w:pPr>
              <w:topLinePunct/>
              <w:jc w:val="center"/>
              <w:rPr>
                <w:sz w:val="22"/>
                <w:szCs w:val="22"/>
              </w:rPr>
            </w:pPr>
            <w:r>
              <w:rPr>
                <w:sz w:val="22"/>
                <w:szCs w:val="22"/>
              </w:rPr>
              <w:t>电话</w:t>
            </w:r>
          </w:p>
        </w:tc>
        <w:tc>
          <w:tcPr>
            <w:tcW w:w="2434" w:type="dxa"/>
            <w:tcBorders>
              <w:top w:val="single" w:color="auto" w:sz="4" w:space="0"/>
              <w:left w:val="single" w:color="auto" w:sz="4" w:space="0"/>
              <w:bottom w:val="single" w:color="auto" w:sz="4" w:space="0"/>
              <w:right w:val="single" w:color="auto" w:sz="4" w:space="0"/>
            </w:tcBorders>
            <w:vAlign w:val="center"/>
          </w:tcPr>
          <w:p>
            <w:pPr>
              <w:topLinePunct/>
              <w:jc w:val="center"/>
              <w:rPr>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331" w:type="dxa"/>
            <w:vMerge w:val="continue"/>
            <w:tcBorders>
              <w:top w:val="single" w:color="auto" w:sz="4" w:space="0"/>
              <w:left w:val="single" w:color="auto" w:sz="4" w:space="0"/>
              <w:bottom w:val="single" w:color="auto" w:sz="4" w:space="0"/>
              <w:right w:val="single" w:color="auto" w:sz="4" w:space="0"/>
            </w:tcBorders>
            <w:vAlign w:val="center"/>
          </w:tcPr>
          <w:p>
            <w:pPr>
              <w:rPr>
                <w:sz w:val="22"/>
                <w:szCs w:val="22"/>
              </w:rPr>
            </w:pPr>
          </w:p>
        </w:tc>
        <w:tc>
          <w:tcPr>
            <w:tcW w:w="1013" w:type="dxa"/>
            <w:tcBorders>
              <w:top w:val="single" w:color="auto" w:sz="4" w:space="0"/>
              <w:left w:val="single" w:color="auto" w:sz="4" w:space="0"/>
              <w:bottom w:val="single" w:color="auto" w:sz="4" w:space="0"/>
              <w:right w:val="single" w:color="auto" w:sz="4" w:space="0"/>
            </w:tcBorders>
            <w:vAlign w:val="center"/>
          </w:tcPr>
          <w:p>
            <w:pPr>
              <w:topLinePunct/>
              <w:jc w:val="center"/>
              <w:rPr>
                <w:sz w:val="22"/>
                <w:szCs w:val="22"/>
              </w:rPr>
            </w:pPr>
            <w:r>
              <w:rPr>
                <w:sz w:val="22"/>
                <w:szCs w:val="22"/>
              </w:rPr>
              <w:t>网址</w:t>
            </w:r>
          </w:p>
        </w:tc>
        <w:tc>
          <w:tcPr>
            <w:tcW w:w="2584" w:type="dxa"/>
            <w:tcBorders>
              <w:top w:val="single" w:color="auto" w:sz="4" w:space="0"/>
              <w:left w:val="single" w:color="auto" w:sz="4" w:space="0"/>
              <w:bottom w:val="single" w:color="auto" w:sz="4" w:space="0"/>
              <w:right w:val="single" w:color="auto" w:sz="4" w:space="0"/>
            </w:tcBorders>
            <w:vAlign w:val="center"/>
          </w:tcPr>
          <w:p>
            <w:pPr>
              <w:topLinePunct/>
              <w:jc w:val="center"/>
              <w:rPr>
                <w:sz w:val="22"/>
                <w:szCs w:val="22"/>
              </w:rPr>
            </w:pPr>
          </w:p>
        </w:tc>
        <w:tc>
          <w:tcPr>
            <w:tcW w:w="1217" w:type="dxa"/>
            <w:tcBorders>
              <w:top w:val="single" w:color="auto" w:sz="4" w:space="0"/>
              <w:left w:val="single" w:color="auto" w:sz="4" w:space="0"/>
              <w:bottom w:val="single" w:color="auto" w:sz="4" w:space="0"/>
              <w:right w:val="single" w:color="auto" w:sz="4" w:space="0"/>
            </w:tcBorders>
            <w:vAlign w:val="center"/>
          </w:tcPr>
          <w:p>
            <w:pPr>
              <w:topLinePunct/>
              <w:jc w:val="center"/>
              <w:rPr>
                <w:sz w:val="22"/>
                <w:szCs w:val="22"/>
              </w:rPr>
            </w:pPr>
            <w:r>
              <w:rPr>
                <w:sz w:val="22"/>
                <w:szCs w:val="22"/>
              </w:rPr>
              <w:t>传真</w:t>
            </w:r>
          </w:p>
        </w:tc>
        <w:tc>
          <w:tcPr>
            <w:tcW w:w="2434" w:type="dxa"/>
            <w:tcBorders>
              <w:top w:val="single" w:color="auto" w:sz="4" w:space="0"/>
              <w:left w:val="single" w:color="auto" w:sz="4" w:space="0"/>
              <w:bottom w:val="single" w:color="auto" w:sz="4" w:space="0"/>
              <w:right w:val="single" w:color="auto" w:sz="4" w:space="0"/>
            </w:tcBorders>
            <w:vAlign w:val="center"/>
          </w:tcPr>
          <w:p>
            <w:pPr>
              <w:topLinePunct/>
              <w:jc w:val="center"/>
              <w:rPr>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331" w:type="dxa"/>
            <w:tcBorders>
              <w:top w:val="single" w:color="auto" w:sz="4" w:space="0"/>
              <w:left w:val="single" w:color="auto" w:sz="4" w:space="0"/>
              <w:bottom w:val="single" w:color="auto" w:sz="4" w:space="0"/>
              <w:right w:val="single" w:color="auto" w:sz="4" w:space="0"/>
            </w:tcBorders>
            <w:vAlign w:val="center"/>
          </w:tcPr>
          <w:p>
            <w:pPr>
              <w:topLinePunct/>
              <w:jc w:val="center"/>
              <w:rPr>
                <w:sz w:val="22"/>
                <w:szCs w:val="22"/>
              </w:rPr>
            </w:pPr>
            <w:r>
              <w:rPr>
                <w:sz w:val="22"/>
                <w:szCs w:val="22"/>
              </w:rPr>
              <w:t>法定代表人</w:t>
            </w:r>
          </w:p>
          <w:p>
            <w:pPr>
              <w:topLinePunct/>
              <w:jc w:val="center"/>
              <w:rPr>
                <w:sz w:val="22"/>
                <w:szCs w:val="22"/>
              </w:rPr>
            </w:pPr>
            <w:r>
              <w:rPr>
                <w:color w:val="000000"/>
                <w:sz w:val="22"/>
                <w:szCs w:val="22"/>
              </w:rPr>
              <w:t>（单位负责人）</w:t>
            </w:r>
          </w:p>
        </w:tc>
        <w:tc>
          <w:tcPr>
            <w:tcW w:w="1013" w:type="dxa"/>
            <w:tcBorders>
              <w:top w:val="single" w:color="auto" w:sz="4" w:space="0"/>
              <w:left w:val="single" w:color="auto" w:sz="4" w:space="0"/>
              <w:bottom w:val="single" w:color="auto" w:sz="4" w:space="0"/>
              <w:right w:val="single" w:color="auto" w:sz="4" w:space="0"/>
            </w:tcBorders>
            <w:vAlign w:val="center"/>
          </w:tcPr>
          <w:p>
            <w:pPr>
              <w:topLinePunct/>
              <w:jc w:val="center"/>
              <w:rPr>
                <w:sz w:val="22"/>
                <w:szCs w:val="22"/>
              </w:rPr>
            </w:pPr>
            <w:r>
              <w:rPr>
                <w:sz w:val="22"/>
                <w:szCs w:val="22"/>
              </w:rPr>
              <w:t>姓名</w:t>
            </w:r>
          </w:p>
        </w:tc>
        <w:tc>
          <w:tcPr>
            <w:tcW w:w="2584" w:type="dxa"/>
            <w:tcBorders>
              <w:top w:val="single" w:color="auto" w:sz="4" w:space="0"/>
              <w:left w:val="single" w:color="auto" w:sz="4" w:space="0"/>
              <w:bottom w:val="single" w:color="auto" w:sz="4" w:space="0"/>
              <w:right w:val="single" w:color="auto" w:sz="4" w:space="0"/>
            </w:tcBorders>
            <w:vAlign w:val="center"/>
          </w:tcPr>
          <w:p>
            <w:pPr>
              <w:topLinePunct/>
              <w:jc w:val="center"/>
              <w:rPr>
                <w:sz w:val="22"/>
                <w:szCs w:val="22"/>
              </w:rPr>
            </w:pPr>
          </w:p>
        </w:tc>
        <w:tc>
          <w:tcPr>
            <w:tcW w:w="1217" w:type="dxa"/>
            <w:tcBorders>
              <w:top w:val="single" w:color="auto" w:sz="4" w:space="0"/>
              <w:left w:val="single" w:color="auto" w:sz="4" w:space="0"/>
              <w:bottom w:val="single" w:color="auto" w:sz="4" w:space="0"/>
              <w:right w:val="single" w:color="auto" w:sz="4" w:space="0"/>
            </w:tcBorders>
            <w:vAlign w:val="center"/>
          </w:tcPr>
          <w:p>
            <w:pPr>
              <w:topLinePunct/>
              <w:jc w:val="center"/>
              <w:rPr>
                <w:sz w:val="22"/>
                <w:szCs w:val="22"/>
              </w:rPr>
            </w:pPr>
            <w:r>
              <w:rPr>
                <w:sz w:val="22"/>
                <w:szCs w:val="22"/>
              </w:rPr>
              <w:t>电话</w:t>
            </w:r>
          </w:p>
        </w:tc>
        <w:tc>
          <w:tcPr>
            <w:tcW w:w="2434" w:type="dxa"/>
            <w:tcBorders>
              <w:top w:val="single" w:color="auto" w:sz="4" w:space="0"/>
              <w:left w:val="single" w:color="auto" w:sz="4" w:space="0"/>
              <w:bottom w:val="single" w:color="auto" w:sz="4" w:space="0"/>
              <w:right w:val="single" w:color="auto" w:sz="4" w:space="0"/>
            </w:tcBorders>
            <w:vAlign w:val="center"/>
          </w:tcPr>
          <w:p>
            <w:pPr>
              <w:topLinePunct/>
              <w:jc w:val="center"/>
              <w:rPr>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331" w:type="dxa"/>
            <w:tcBorders>
              <w:top w:val="single" w:color="auto" w:sz="4" w:space="0"/>
              <w:left w:val="single" w:color="auto" w:sz="4" w:space="0"/>
              <w:bottom w:val="single" w:color="auto" w:sz="4" w:space="0"/>
              <w:right w:val="single" w:color="auto" w:sz="4" w:space="0"/>
            </w:tcBorders>
            <w:vAlign w:val="center"/>
          </w:tcPr>
          <w:p>
            <w:pPr>
              <w:topLinePunct/>
              <w:jc w:val="center"/>
              <w:rPr>
                <w:color w:val="000000"/>
                <w:sz w:val="22"/>
                <w:szCs w:val="22"/>
              </w:rPr>
            </w:pPr>
            <w:r>
              <w:rPr>
                <w:sz w:val="22"/>
                <w:szCs w:val="22"/>
              </w:rPr>
              <w:t>投标人须知要求投标人需具有的各类资质证书</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topLinePunct/>
              <w:ind w:firstLine="110" w:firstLineChars="50"/>
              <w:rPr>
                <w:color w:val="000000"/>
                <w:sz w:val="22"/>
                <w:szCs w:val="22"/>
              </w:rPr>
            </w:pPr>
            <w:r>
              <w:rPr>
                <w:rFonts w:hint="eastAsia"/>
                <w:sz w:val="22"/>
                <w:szCs w:val="22"/>
              </w:rPr>
              <w:t>类型：           等级：            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331" w:type="dxa"/>
            <w:tcBorders>
              <w:top w:val="single" w:color="auto" w:sz="4" w:space="0"/>
              <w:left w:val="single" w:color="auto" w:sz="4" w:space="0"/>
              <w:bottom w:val="single" w:color="auto" w:sz="4" w:space="0"/>
              <w:right w:val="single" w:color="auto" w:sz="4" w:space="0"/>
            </w:tcBorders>
            <w:vAlign w:val="center"/>
          </w:tcPr>
          <w:p>
            <w:pPr>
              <w:topLinePunct/>
              <w:jc w:val="center"/>
              <w:rPr>
                <w:color w:val="000000"/>
                <w:sz w:val="22"/>
                <w:szCs w:val="22"/>
              </w:rPr>
            </w:pPr>
            <w:r>
              <w:rPr>
                <w:sz w:val="22"/>
                <w:szCs w:val="22"/>
              </w:rPr>
              <w:t>基本账户开户银行</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topLinePunct/>
              <w:ind w:firstLine="110" w:firstLineChars="50"/>
              <w:rPr>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331" w:type="dxa"/>
            <w:tcBorders>
              <w:top w:val="single" w:color="auto" w:sz="4" w:space="0"/>
              <w:left w:val="single" w:color="auto" w:sz="4" w:space="0"/>
              <w:right w:val="single" w:color="auto" w:sz="4" w:space="0"/>
            </w:tcBorders>
            <w:vAlign w:val="center"/>
          </w:tcPr>
          <w:p>
            <w:pPr>
              <w:topLinePunct/>
              <w:jc w:val="center"/>
              <w:rPr>
                <w:sz w:val="22"/>
                <w:szCs w:val="22"/>
              </w:rPr>
            </w:pPr>
            <w:r>
              <w:rPr>
                <w:sz w:val="22"/>
                <w:szCs w:val="22"/>
              </w:rPr>
              <w:t>基本账户银行账号</w:t>
            </w:r>
          </w:p>
        </w:tc>
        <w:tc>
          <w:tcPr>
            <w:tcW w:w="7248" w:type="dxa"/>
            <w:gridSpan w:val="4"/>
            <w:tcBorders>
              <w:top w:val="single" w:color="auto" w:sz="4" w:space="0"/>
              <w:left w:val="single" w:color="auto" w:sz="4" w:space="0"/>
              <w:right w:val="single" w:color="auto" w:sz="4" w:space="0"/>
            </w:tcBorders>
            <w:vAlign w:val="center"/>
          </w:tcPr>
          <w:p>
            <w:pPr>
              <w:topLinePunct/>
              <w:rPr>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331" w:type="dxa"/>
            <w:tcBorders>
              <w:top w:val="single" w:color="auto" w:sz="4" w:space="0"/>
              <w:left w:val="single" w:color="auto" w:sz="4" w:space="0"/>
              <w:right w:val="single" w:color="auto" w:sz="4" w:space="0"/>
            </w:tcBorders>
            <w:vAlign w:val="center"/>
          </w:tcPr>
          <w:p>
            <w:pPr>
              <w:topLinePunct/>
              <w:jc w:val="center"/>
              <w:rPr>
                <w:sz w:val="22"/>
                <w:szCs w:val="22"/>
              </w:rPr>
            </w:pPr>
            <w:r>
              <w:rPr>
                <w:sz w:val="22"/>
                <w:szCs w:val="22"/>
              </w:rPr>
              <w:t>近三年营业额</w:t>
            </w:r>
          </w:p>
        </w:tc>
        <w:tc>
          <w:tcPr>
            <w:tcW w:w="7248" w:type="dxa"/>
            <w:gridSpan w:val="4"/>
            <w:tcBorders>
              <w:top w:val="single" w:color="auto" w:sz="4" w:space="0"/>
              <w:left w:val="single" w:color="auto" w:sz="4" w:space="0"/>
              <w:right w:val="single" w:color="auto" w:sz="4" w:space="0"/>
            </w:tcBorders>
            <w:vAlign w:val="center"/>
          </w:tcPr>
          <w:p>
            <w:pPr>
              <w:topLinePunct/>
              <w:rPr>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331" w:type="dxa"/>
            <w:tcBorders>
              <w:top w:val="single" w:color="auto" w:sz="4" w:space="0"/>
              <w:left w:val="single" w:color="auto" w:sz="4" w:space="0"/>
              <w:right w:val="single" w:color="auto" w:sz="4" w:space="0"/>
            </w:tcBorders>
            <w:vAlign w:val="center"/>
          </w:tcPr>
          <w:p>
            <w:pPr>
              <w:topLinePunct/>
              <w:jc w:val="center"/>
              <w:rPr>
                <w:sz w:val="22"/>
                <w:szCs w:val="22"/>
              </w:rPr>
            </w:pPr>
            <w:r>
              <w:rPr>
                <w:sz w:val="22"/>
                <w:szCs w:val="22"/>
              </w:rPr>
              <w:t>投标人关联企业情况（包括但不限于与投标人法定代表人（单位负责人）为同一人或者存在控股、管理关系的不同单位）</w:t>
            </w:r>
          </w:p>
        </w:tc>
        <w:tc>
          <w:tcPr>
            <w:tcW w:w="7248" w:type="dxa"/>
            <w:gridSpan w:val="4"/>
            <w:tcBorders>
              <w:top w:val="single" w:color="auto" w:sz="4" w:space="0"/>
              <w:left w:val="single" w:color="auto" w:sz="4" w:space="0"/>
              <w:right w:val="single" w:color="auto" w:sz="4" w:space="0"/>
            </w:tcBorders>
            <w:vAlign w:val="center"/>
          </w:tcPr>
          <w:p>
            <w:pPr>
              <w:topLinePunct/>
              <w:rPr>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331" w:type="dxa"/>
            <w:tcBorders>
              <w:top w:val="single" w:color="auto" w:sz="4" w:space="0"/>
              <w:left w:val="single" w:color="auto" w:sz="4" w:space="0"/>
              <w:right w:val="single" w:color="auto" w:sz="4" w:space="0"/>
            </w:tcBorders>
            <w:vAlign w:val="center"/>
          </w:tcPr>
          <w:p>
            <w:pPr>
              <w:topLinePunct/>
              <w:jc w:val="center"/>
              <w:rPr>
                <w:sz w:val="22"/>
                <w:szCs w:val="22"/>
              </w:rPr>
            </w:pPr>
            <w:r>
              <w:rPr>
                <w:sz w:val="22"/>
                <w:szCs w:val="22"/>
              </w:rPr>
              <w:t>投标货物制造商名称</w:t>
            </w:r>
          </w:p>
        </w:tc>
        <w:tc>
          <w:tcPr>
            <w:tcW w:w="7248" w:type="dxa"/>
            <w:gridSpan w:val="4"/>
            <w:tcBorders>
              <w:top w:val="single" w:color="auto" w:sz="4" w:space="0"/>
              <w:left w:val="single" w:color="auto" w:sz="4" w:space="0"/>
              <w:right w:val="single" w:color="auto" w:sz="4" w:space="0"/>
            </w:tcBorders>
            <w:vAlign w:val="center"/>
          </w:tcPr>
          <w:p>
            <w:pPr>
              <w:topLinePunct/>
              <w:rPr>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331" w:type="dxa"/>
            <w:tcBorders>
              <w:top w:val="single" w:color="auto" w:sz="4" w:space="0"/>
              <w:left w:val="single" w:color="auto" w:sz="4" w:space="0"/>
              <w:right w:val="single" w:color="auto" w:sz="4" w:space="0"/>
            </w:tcBorders>
            <w:vAlign w:val="center"/>
          </w:tcPr>
          <w:p>
            <w:pPr>
              <w:topLinePunct/>
              <w:jc w:val="center"/>
              <w:rPr>
                <w:sz w:val="22"/>
                <w:szCs w:val="22"/>
              </w:rPr>
            </w:pPr>
            <w:r>
              <w:rPr>
                <w:sz w:val="22"/>
                <w:szCs w:val="22"/>
              </w:rPr>
              <w:t>投标人须知要求</w:t>
            </w:r>
          </w:p>
          <w:p>
            <w:pPr>
              <w:topLinePunct/>
              <w:jc w:val="center"/>
              <w:rPr>
                <w:sz w:val="22"/>
                <w:szCs w:val="22"/>
              </w:rPr>
            </w:pPr>
            <w:r>
              <w:rPr>
                <w:sz w:val="22"/>
                <w:szCs w:val="22"/>
              </w:rPr>
              <w:t>投标货物制造商需具有的资质证书</w:t>
            </w:r>
          </w:p>
        </w:tc>
        <w:tc>
          <w:tcPr>
            <w:tcW w:w="7248" w:type="dxa"/>
            <w:gridSpan w:val="4"/>
            <w:tcBorders>
              <w:top w:val="single" w:color="auto" w:sz="4" w:space="0"/>
              <w:left w:val="single" w:color="auto" w:sz="4" w:space="0"/>
              <w:right w:val="single" w:color="auto" w:sz="4" w:space="0"/>
            </w:tcBorders>
            <w:vAlign w:val="center"/>
          </w:tcPr>
          <w:p>
            <w:pPr>
              <w:topLinePunct/>
              <w:rPr>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331" w:type="dxa"/>
            <w:tcBorders>
              <w:top w:val="single" w:color="auto" w:sz="4" w:space="0"/>
              <w:left w:val="single" w:color="auto" w:sz="4" w:space="0"/>
              <w:bottom w:val="single" w:color="auto" w:sz="4" w:space="0"/>
              <w:right w:val="single" w:color="auto" w:sz="4" w:space="0"/>
            </w:tcBorders>
            <w:vAlign w:val="center"/>
          </w:tcPr>
          <w:p>
            <w:pPr>
              <w:topLinePunct/>
              <w:jc w:val="center"/>
              <w:rPr>
                <w:sz w:val="22"/>
                <w:szCs w:val="22"/>
              </w:rPr>
            </w:pPr>
            <w:r>
              <w:rPr>
                <w:sz w:val="22"/>
                <w:szCs w:val="22"/>
              </w:rPr>
              <w:t>备注</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topLinePunct/>
              <w:jc w:val="center"/>
              <w:rPr>
                <w:sz w:val="22"/>
                <w:szCs w:val="22"/>
              </w:rPr>
            </w:pPr>
          </w:p>
        </w:tc>
      </w:tr>
    </w:tbl>
    <w:p>
      <w:pPr>
        <w:spacing w:line="400" w:lineRule="exact"/>
        <w:rPr>
          <w:color w:val="000000"/>
          <w:sz w:val="22"/>
          <w:szCs w:val="28"/>
        </w:rPr>
      </w:pPr>
      <w:r>
        <w:rPr>
          <w:color w:val="000000"/>
          <w:sz w:val="22"/>
          <w:szCs w:val="28"/>
        </w:rPr>
        <w:t>注：</w:t>
      </w:r>
    </w:p>
    <w:p>
      <w:pPr>
        <w:spacing w:line="400" w:lineRule="exact"/>
        <w:ind w:firstLine="440" w:firstLineChars="200"/>
        <w:rPr>
          <w:color w:val="000000"/>
          <w:sz w:val="22"/>
          <w:szCs w:val="28"/>
        </w:rPr>
      </w:pPr>
      <w:r>
        <w:rPr>
          <w:color w:val="000000"/>
          <w:sz w:val="22"/>
          <w:szCs w:val="28"/>
        </w:rPr>
        <w:t>1. 投标人应根据投标人须知第3.5.1项的要求在本表后附相关证明材料。</w:t>
      </w:r>
      <w:r>
        <w:rPr>
          <w:rFonts w:hint="eastAsia"/>
          <w:color w:val="000000"/>
          <w:sz w:val="22"/>
          <w:szCs w:val="28"/>
        </w:rPr>
        <w:t>根据投标人</w:t>
      </w:r>
      <w:r>
        <w:rPr>
          <w:color w:val="000000"/>
          <w:sz w:val="22"/>
          <w:szCs w:val="28"/>
        </w:rPr>
        <w:t>须知前附表第</w:t>
      </w:r>
      <w:r>
        <w:rPr>
          <w:rFonts w:hint="eastAsia"/>
          <w:color w:val="000000"/>
          <w:sz w:val="22"/>
          <w:szCs w:val="28"/>
        </w:rPr>
        <w:t>3.4.1项</w:t>
      </w:r>
      <w:r>
        <w:rPr>
          <w:color w:val="000000"/>
          <w:sz w:val="22"/>
          <w:szCs w:val="28"/>
        </w:rPr>
        <w:t>的要求需要投标人提供基本账户开户证明的，还应附基本账户开户许可</w:t>
      </w:r>
      <w:r>
        <w:rPr>
          <w:rFonts w:hint="eastAsia"/>
          <w:color w:val="000000"/>
          <w:sz w:val="22"/>
          <w:szCs w:val="28"/>
        </w:rPr>
        <w:t>证明</w:t>
      </w:r>
      <w:r>
        <w:rPr>
          <w:color w:val="000000"/>
          <w:sz w:val="22"/>
          <w:szCs w:val="28"/>
        </w:rPr>
        <w:t>扫描件。</w:t>
      </w:r>
    </w:p>
    <w:p>
      <w:pPr>
        <w:spacing w:line="400" w:lineRule="exact"/>
        <w:ind w:firstLine="440" w:firstLineChars="200"/>
        <w:rPr>
          <w:rFonts w:hint="eastAsia"/>
          <w:sz w:val="22"/>
        </w:rPr>
      </w:pPr>
      <w:r>
        <w:rPr>
          <w:color w:val="000000"/>
          <w:sz w:val="22"/>
          <w:szCs w:val="28"/>
        </w:rPr>
        <w:t>2. 如</w:t>
      </w:r>
      <w:r>
        <w:rPr>
          <w:rFonts w:hint="eastAsia"/>
          <w:color w:val="000000"/>
          <w:sz w:val="22"/>
          <w:szCs w:val="28"/>
        </w:rPr>
        <w:t>果</w:t>
      </w:r>
      <w:r>
        <w:rPr>
          <w:color w:val="000000"/>
          <w:sz w:val="22"/>
          <w:szCs w:val="28"/>
        </w:rPr>
        <w:t>投标人须知第1.4.1项对投标货物制造商的资质提出了要求，投标人应根据投标人须知第3.5.1项的要求在本表后附相关资质证书</w:t>
      </w:r>
      <w:r>
        <w:rPr>
          <w:rFonts w:hint="eastAsia"/>
          <w:color w:val="000000"/>
          <w:sz w:val="22"/>
          <w:szCs w:val="28"/>
        </w:rPr>
        <w:t>扫描</w:t>
      </w:r>
      <w:r>
        <w:rPr>
          <w:color w:val="000000"/>
          <w:sz w:val="22"/>
          <w:szCs w:val="28"/>
        </w:rPr>
        <w:t>件。</w:t>
      </w:r>
    </w:p>
    <w:p>
      <w:pPr>
        <w:pStyle w:val="4"/>
        <w:jc w:val="center"/>
        <w:rPr>
          <w:rFonts w:hint="eastAsia" w:ascii="Times New Roman" w:hAnsi="Times New Roman"/>
        </w:rPr>
      </w:pPr>
      <w:r>
        <w:rPr>
          <w:rFonts w:ascii="Times New Roman" w:hAnsi="Times New Roman"/>
          <w:szCs w:val="22"/>
        </w:rPr>
        <w:br w:type="page"/>
      </w:r>
      <w:bookmarkStart w:id="490" w:name="_Toc535241230"/>
      <w:bookmarkStart w:id="491" w:name="_Toc535241133"/>
      <w:bookmarkStart w:id="492" w:name="_Toc535241087"/>
      <w:r>
        <w:rPr>
          <w:rFonts w:hint="eastAsia" w:ascii="Times New Roman" w:hAnsi="Times New Roman"/>
        </w:rPr>
        <w:t>（二）</w:t>
      </w:r>
      <w:bookmarkEnd w:id="490"/>
      <w:bookmarkEnd w:id="491"/>
      <w:bookmarkEnd w:id="492"/>
      <w:r>
        <w:rPr>
          <w:rFonts w:hint="eastAsia" w:ascii="Times New Roman" w:hAnsi="Times New Roman"/>
        </w:rPr>
        <w:t>近年完成的类似项目情况表</w:t>
      </w:r>
    </w:p>
    <w:tbl>
      <w:tblPr>
        <w:tblStyle w:val="55"/>
        <w:tblW w:w="8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0"/>
        <w:gridCol w:w="6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380" w:type="dxa"/>
            <w:vAlign w:val="center"/>
          </w:tcPr>
          <w:p>
            <w:pPr>
              <w:topLinePunct/>
              <w:jc w:val="center"/>
              <w:rPr>
                <w:sz w:val="22"/>
                <w:szCs w:val="22"/>
              </w:rPr>
            </w:pPr>
            <w:r>
              <w:rPr>
                <w:rFonts w:hint="eastAsia"/>
                <w:sz w:val="22"/>
                <w:szCs w:val="22"/>
              </w:rPr>
              <w:t>货物</w:t>
            </w:r>
            <w:r>
              <w:rPr>
                <w:sz w:val="22"/>
                <w:szCs w:val="22"/>
              </w:rPr>
              <w:t>名称</w:t>
            </w:r>
          </w:p>
        </w:tc>
        <w:tc>
          <w:tcPr>
            <w:tcW w:w="6559" w:type="dxa"/>
            <w:vAlign w:val="center"/>
          </w:tcPr>
          <w:p>
            <w:pPr>
              <w:topLinePun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380" w:type="dxa"/>
            <w:vAlign w:val="center"/>
          </w:tcPr>
          <w:p>
            <w:pPr>
              <w:topLinePunct/>
              <w:jc w:val="center"/>
              <w:rPr>
                <w:sz w:val="22"/>
                <w:szCs w:val="22"/>
              </w:rPr>
            </w:pPr>
            <w:r>
              <w:rPr>
                <w:sz w:val="22"/>
                <w:szCs w:val="22"/>
              </w:rPr>
              <w:t>规格和型号</w:t>
            </w:r>
          </w:p>
        </w:tc>
        <w:tc>
          <w:tcPr>
            <w:tcW w:w="6559" w:type="dxa"/>
            <w:vAlign w:val="center"/>
          </w:tcPr>
          <w:p>
            <w:pPr>
              <w:topLinePun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380" w:type="dxa"/>
            <w:vAlign w:val="center"/>
          </w:tcPr>
          <w:p>
            <w:pPr>
              <w:topLinePunct/>
              <w:jc w:val="center"/>
              <w:rPr>
                <w:sz w:val="22"/>
                <w:szCs w:val="22"/>
              </w:rPr>
            </w:pPr>
            <w:r>
              <w:rPr>
                <w:sz w:val="22"/>
                <w:szCs w:val="22"/>
              </w:rPr>
              <w:t>项目名称</w:t>
            </w:r>
          </w:p>
        </w:tc>
        <w:tc>
          <w:tcPr>
            <w:tcW w:w="6559" w:type="dxa"/>
            <w:vAlign w:val="center"/>
          </w:tcPr>
          <w:p>
            <w:pPr>
              <w:topLinePun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380" w:type="dxa"/>
            <w:vAlign w:val="center"/>
          </w:tcPr>
          <w:p>
            <w:pPr>
              <w:topLinePunct/>
              <w:jc w:val="center"/>
              <w:rPr>
                <w:sz w:val="22"/>
                <w:szCs w:val="22"/>
              </w:rPr>
            </w:pPr>
            <w:r>
              <w:rPr>
                <w:sz w:val="22"/>
                <w:szCs w:val="22"/>
              </w:rPr>
              <w:t>买方名称</w:t>
            </w:r>
          </w:p>
        </w:tc>
        <w:tc>
          <w:tcPr>
            <w:tcW w:w="6559" w:type="dxa"/>
            <w:vAlign w:val="center"/>
          </w:tcPr>
          <w:p>
            <w:pPr>
              <w:topLinePun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380" w:type="dxa"/>
            <w:vAlign w:val="center"/>
          </w:tcPr>
          <w:p>
            <w:pPr>
              <w:topLinePunct/>
              <w:jc w:val="center"/>
              <w:rPr>
                <w:sz w:val="22"/>
                <w:szCs w:val="22"/>
              </w:rPr>
            </w:pPr>
            <w:r>
              <w:rPr>
                <w:sz w:val="22"/>
                <w:szCs w:val="22"/>
              </w:rPr>
              <w:t>买方联系人及电话</w:t>
            </w:r>
          </w:p>
        </w:tc>
        <w:tc>
          <w:tcPr>
            <w:tcW w:w="6559" w:type="dxa"/>
            <w:vAlign w:val="center"/>
          </w:tcPr>
          <w:p>
            <w:pPr>
              <w:topLinePun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380" w:type="dxa"/>
            <w:vAlign w:val="center"/>
          </w:tcPr>
          <w:p>
            <w:pPr>
              <w:topLinePunct/>
              <w:jc w:val="center"/>
              <w:rPr>
                <w:sz w:val="22"/>
                <w:szCs w:val="22"/>
              </w:rPr>
            </w:pPr>
            <w:r>
              <w:rPr>
                <w:sz w:val="22"/>
                <w:szCs w:val="22"/>
              </w:rPr>
              <w:t>合同价格</w:t>
            </w:r>
          </w:p>
        </w:tc>
        <w:tc>
          <w:tcPr>
            <w:tcW w:w="6559" w:type="dxa"/>
            <w:vAlign w:val="center"/>
          </w:tcPr>
          <w:p>
            <w:pPr>
              <w:topLinePun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2380" w:type="dxa"/>
            <w:vAlign w:val="center"/>
          </w:tcPr>
          <w:p>
            <w:pPr>
              <w:topLinePunct/>
              <w:jc w:val="center"/>
              <w:rPr>
                <w:rFonts w:hint="eastAsia"/>
                <w:sz w:val="22"/>
                <w:szCs w:val="22"/>
              </w:rPr>
            </w:pPr>
            <w:r>
              <w:rPr>
                <w:rFonts w:hint="eastAsia"/>
                <w:sz w:val="22"/>
                <w:szCs w:val="22"/>
              </w:rPr>
              <w:t>合同项目负责人（如</w:t>
            </w:r>
          </w:p>
          <w:p>
            <w:pPr>
              <w:topLinePunct/>
              <w:jc w:val="center"/>
              <w:rPr>
                <w:sz w:val="22"/>
                <w:szCs w:val="22"/>
              </w:rPr>
            </w:pPr>
            <w:r>
              <w:rPr>
                <w:rFonts w:hint="eastAsia"/>
                <w:sz w:val="22"/>
                <w:szCs w:val="22"/>
              </w:rPr>
              <w:t>有）</w:t>
            </w:r>
          </w:p>
        </w:tc>
        <w:tc>
          <w:tcPr>
            <w:tcW w:w="6559" w:type="dxa"/>
            <w:vAlign w:val="center"/>
          </w:tcPr>
          <w:p>
            <w:pPr>
              <w:topLinePun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jc w:val="center"/>
        </w:trPr>
        <w:tc>
          <w:tcPr>
            <w:tcW w:w="2380" w:type="dxa"/>
            <w:vAlign w:val="center"/>
          </w:tcPr>
          <w:p>
            <w:pPr>
              <w:topLinePunct/>
              <w:jc w:val="center"/>
              <w:rPr>
                <w:sz w:val="22"/>
                <w:szCs w:val="22"/>
              </w:rPr>
            </w:pPr>
            <w:r>
              <w:rPr>
                <w:sz w:val="22"/>
                <w:szCs w:val="22"/>
              </w:rPr>
              <w:t>项目概况及投标人履约情况</w:t>
            </w:r>
          </w:p>
        </w:tc>
        <w:tc>
          <w:tcPr>
            <w:tcW w:w="6559" w:type="dxa"/>
            <w:vAlign w:val="center"/>
          </w:tcPr>
          <w:p>
            <w:pPr>
              <w:topLinePunct/>
              <w:rPr>
                <w:sz w:val="22"/>
                <w:szCs w:val="22"/>
              </w:rPr>
            </w:pPr>
          </w:p>
          <w:p>
            <w:pPr>
              <w:topLinePunct/>
              <w:rPr>
                <w:sz w:val="22"/>
                <w:szCs w:val="22"/>
              </w:rPr>
            </w:pPr>
          </w:p>
          <w:p>
            <w:pPr>
              <w:topLinePunct/>
              <w:rPr>
                <w:sz w:val="22"/>
                <w:szCs w:val="22"/>
              </w:rPr>
            </w:pPr>
          </w:p>
          <w:p>
            <w:pPr>
              <w:topLinePunct/>
              <w:rPr>
                <w:sz w:val="22"/>
                <w:szCs w:val="22"/>
              </w:rPr>
            </w:pPr>
          </w:p>
          <w:p>
            <w:pPr>
              <w:topLinePunct/>
              <w:rPr>
                <w:sz w:val="22"/>
                <w:szCs w:val="22"/>
              </w:rPr>
            </w:pPr>
          </w:p>
          <w:p>
            <w:pPr>
              <w:topLinePunct/>
              <w:rPr>
                <w:sz w:val="22"/>
                <w:szCs w:val="22"/>
              </w:rPr>
            </w:pPr>
          </w:p>
          <w:p>
            <w:pPr>
              <w:topLinePun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380" w:type="dxa"/>
            <w:vAlign w:val="center"/>
          </w:tcPr>
          <w:p>
            <w:pPr>
              <w:topLinePunct/>
              <w:jc w:val="center"/>
              <w:rPr>
                <w:sz w:val="22"/>
                <w:szCs w:val="22"/>
              </w:rPr>
            </w:pPr>
            <w:r>
              <w:rPr>
                <w:sz w:val="22"/>
                <w:szCs w:val="22"/>
              </w:rPr>
              <w:t>备注</w:t>
            </w:r>
          </w:p>
        </w:tc>
        <w:tc>
          <w:tcPr>
            <w:tcW w:w="6559" w:type="dxa"/>
            <w:vAlign w:val="center"/>
          </w:tcPr>
          <w:p>
            <w:pPr>
              <w:topLinePunct/>
              <w:rPr>
                <w:sz w:val="22"/>
                <w:szCs w:val="22"/>
              </w:rPr>
            </w:pPr>
          </w:p>
        </w:tc>
      </w:tr>
    </w:tbl>
    <w:p>
      <w:pPr>
        <w:ind w:firstLine="440" w:firstLineChars="200"/>
        <w:rPr>
          <w:sz w:val="22"/>
          <w:szCs w:val="28"/>
        </w:rPr>
      </w:pPr>
      <w:r>
        <w:rPr>
          <w:sz w:val="22"/>
          <w:szCs w:val="28"/>
        </w:rPr>
        <w:t>注：</w:t>
      </w:r>
      <w:r>
        <w:rPr>
          <w:rFonts w:hint="eastAsia"/>
          <w:sz w:val="22"/>
          <w:szCs w:val="28"/>
        </w:rPr>
        <w:t>投标人应根据招标文件及符合“评标办法”要求在本表后附相关证明材料。</w:t>
      </w:r>
    </w:p>
    <w:p>
      <w:pPr>
        <w:adjustRightInd w:val="0"/>
        <w:snapToGrid w:val="0"/>
        <w:spacing w:line="360" w:lineRule="auto"/>
        <w:jc w:val="center"/>
        <w:rPr>
          <w:rFonts w:hint="eastAsia"/>
          <w:b/>
          <w:bCs/>
          <w:sz w:val="24"/>
          <w:szCs w:val="32"/>
        </w:rPr>
      </w:pPr>
      <w:bookmarkStart w:id="493" w:name="_Toc460660227"/>
      <w:bookmarkStart w:id="494" w:name="_Toc390411625"/>
      <w:bookmarkStart w:id="495" w:name="_Toc421917005"/>
      <w:bookmarkStart w:id="496" w:name="_Toc460227112"/>
      <w:r>
        <w:rPr>
          <w:b/>
          <w:bCs/>
          <w:szCs w:val="21"/>
        </w:rPr>
        <w:br w:type="page"/>
      </w:r>
      <w:bookmarkEnd w:id="493"/>
      <w:bookmarkEnd w:id="494"/>
      <w:bookmarkEnd w:id="495"/>
      <w:bookmarkEnd w:id="496"/>
      <w:bookmarkStart w:id="497" w:name="_Toc460660230"/>
      <w:bookmarkStart w:id="498" w:name="_Toc421917009"/>
      <w:bookmarkStart w:id="499" w:name="_Toc459832202"/>
      <w:r>
        <w:rPr>
          <w:rFonts w:hint="eastAsia"/>
          <w:b/>
          <w:bCs/>
          <w:sz w:val="24"/>
          <w:szCs w:val="32"/>
        </w:rPr>
        <w:t>（三）</w:t>
      </w:r>
      <w:bookmarkEnd w:id="497"/>
      <w:r>
        <w:rPr>
          <w:rFonts w:hint="eastAsia"/>
          <w:b/>
          <w:bCs/>
          <w:sz w:val="24"/>
          <w:szCs w:val="32"/>
        </w:rPr>
        <w:t>制造商授权书</w:t>
      </w:r>
      <w:r>
        <w:rPr>
          <w:rStyle w:val="64"/>
          <w:b/>
          <w:bCs/>
          <w:sz w:val="24"/>
          <w:szCs w:val="32"/>
        </w:rPr>
        <w:footnoteReference w:id="1"/>
      </w:r>
    </w:p>
    <w:bookmarkEnd w:id="498"/>
    <w:bookmarkEnd w:id="499"/>
    <w:p>
      <w:pPr>
        <w:spacing w:line="360" w:lineRule="auto"/>
        <w:ind w:firstLine="440" w:firstLineChars="200"/>
        <w:rPr>
          <w:rFonts w:hint="eastAsia"/>
          <w:bCs/>
          <w:sz w:val="22"/>
          <w:szCs w:val="22"/>
        </w:rPr>
      </w:pPr>
      <w:r>
        <w:rPr>
          <w:rFonts w:hint="eastAsia"/>
          <w:bCs/>
          <w:sz w:val="22"/>
          <w:szCs w:val="22"/>
        </w:rPr>
        <w:t>致：</w:t>
      </w:r>
      <w:r>
        <w:rPr>
          <w:rFonts w:hint="eastAsia"/>
          <w:bCs/>
          <w:sz w:val="22"/>
          <w:szCs w:val="22"/>
          <w:u w:val="single"/>
        </w:rPr>
        <w:t xml:space="preserve">                  </w:t>
      </w:r>
      <w:r>
        <w:rPr>
          <w:rFonts w:hint="eastAsia"/>
          <w:bCs/>
          <w:sz w:val="22"/>
          <w:szCs w:val="22"/>
        </w:rPr>
        <w:t>（招标人）</w:t>
      </w:r>
    </w:p>
    <w:p>
      <w:pPr>
        <w:spacing w:line="360" w:lineRule="auto"/>
        <w:ind w:firstLine="440" w:firstLineChars="200"/>
        <w:rPr>
          <w:rFonts w:hint="eastAsia"/>
          <w:bCs/>
          <w:sz w:val="22"/>
          <w:szCs w:val="22"/>
        </w:rPr>
      </w:pPr>
      <w:r>
        <w:rPr>
          <w:rFonts w:hint="eastAsia"/>
          <w:bCs/>
          <w:sz w:val="22"/>
          <w:szCs w:val="22"/>
        </w:rPr>
        <w:t>我单位</w:t>
      </w:r>
      <w:r>
        <w:rPr>
          <w:rFonts w:hint="eastAsia"/>
          <w:bCs/>
          <w:sz w:val="22"/>
          <w:szCs w:val="22"/>
          <w:u w:val="single"/>
        </w:rPr>
        <w:t xml:space="preserve">                  </w:t>
      </w:r>
      <w:r>
        <w:rPr>
          <w:rFonts w:hint="eastAsia"/>
          <w:bCs/>
          <w:sz w:val="22"/>
          <w:szCs w:val="22"/>
        </w:rPr>
        <w:t>（制造商名称）是按</w:t>
      </w:r>
      <w:r>
        <w:rPr>
          <w:rFonts w:hint="eastAsia"/>
          <w:bCs/>
          <w:sz w:val="22"/>
          <w:szCs w:val="22"/>
          <w:u w:val="single"/>
        </w:rPr>
        <w:t xml:space="preserve">            </w:t>
      </w:r>
      <w:r>
        <w:rPr>
          <w:rFonts w:hint="eastAsia"/>
          <w:bCs/>
          <w:sz w:val="22"/>
          <w:szCs w:val="22"/>
        </w:rPr>
        <w:t>（国家／地区名称）法律成立的一家制造商，主要营业地点设在</w:t>
      </w:r>
      <w:r>
        <w:rPr>
          <w:rFonts w:hint="eastAsia"/>
          <w:bCs/>
          <w:sz w:val="22"/>
          <w:szCs w:val="22"/>
          <w:u w:val="single"/>
        </w:rPr>
        <w:t xml:space="preserve">             </w:t>
      </w:r>
      <w:r>
        <w:rPr>
          <w:rFonts w:hint="eastAsia"/>
          <w:bCs/>
          <w:sz w:val="22"/>
          <w:szCs w:val="22"/>
        </w:rPr>
        <w:t>（制造商地址）。兹授权按</w:t>
      </w:r>
      <w:r>
        <w:rPr>
          <w:rFonts w:hint="eastAsia"/>
          <w:bCs/>
          <w:sz w:val="22"/>
          <w:szCs w:val="22"/>
          <w:u w:val="single"/>
        </w:rPr>
        <w:t xml:space="preserve">           </w:t>
      </w:r>
      <w:r>
        <w:rPr>
          <w:rFonts w:hint="eastAsia"/>
          <w:bCs/>
          <w:sz w:val="22"/>
          <w:szCs w:val="22"/>
        </w:rPr>
        <w:t>（国家／地区名称）的法律正式成立的，主要营业地点设在</w:t>
      </w:r>
      <w:r>
        <w:rPr>
          <w:rFonts w:hint="eastAsia"/>
          <w:bCs/>
          <w:sz w:val="22"/>
          <w:szCs w:val="22"/>
          <w:u w:val="single"/>
        </w:rPr>
        <w:t xml:space="preserve">         </w:t>
      </w:r>
      <w:r>
        <w:rPr>
          <w:rFonts w:hint="eastAsia"/>
          <w:bCs/>
          <w:sz w:val="22"/>
          <w:szCs w:val="22"/>
        </w:rPr>
        <w:t>（投标人的单位地址）的</w:t>
      </w:r>
      <w:r>
        <w:rPr>
          <w:rFonts w:hint="eastAsia"/>
          <w:bCs/>
          <w:sz w:val="22"/>
          <w:szCs w:val="22"/>
          <w:u w:val="single"/>
        </w:rPr>
        <w:t xml:space="preserve">         </w:t>
      </w:r>
      <w:r>
        <w:rPr>
          <w:rFonts w:hint="eastAsia"/>
          <w:bCs/>
          <w:sz w:val="22"/>
          <w:szCs w:val="22"/>
        </w:rPr>
        <w:t>（投标人名称）以我单位制造的</w:t>
      </w:r>
      <w:r>
        <w:rPr>
          <w:rFonts w:hint="eastAsia"/>
          <w:bCs/>
          <w:sz w:val="22"/>
          <w:szCs w:val="22"/>
          <w:u w:val="single"/>
        </w:rPr>
        <w:t xml:space="preserve">                  </w:t>
      </w:r>
      <w:r>
        <w:rPr>
          <w:rFonts w:hint="eastAsia"/>
          <w:bCs/>
          <w:sz w:val="22"/>
          <w:szCs w:val="22"/>
        </w:rPr>
        <w:t>（</w:t>
      </w:r>
      <w:r>
        <w:rPr>
          <w:rFonts w:hint="eastAsia"/>
          <w:sz w:val="22"/>
          <w:szCs w:val="22"/>
        </w:rPr>
        <w:t>货物</w:t>
      </w:r>
      <w:r>
        <w:rPr>
          <w:rFonts w:hint="eastAsia"/>
          <w:bCs/>
          <w:sz w:val="22"/>
          <w:szCs w:val="22"/>
        </w:rPr>
        <w:t>名称）进行</w:t>
      </w:r>
      <w:r>
        <w:rPr>
          <w:rFonts w:hint="eastAsia"/>
          <w:bCs/>
          <w:sz w:val="22"/>
          <w:szCs w:val="22"/>
          <w:u w:val="single"/>
        </w:rPr>
        <w:t xml:space="preserve">                  </w:t>
      </w:r>
      <w:r>
        <w:rPr>
          <w:rFonts w:hint="eastAsia"/>
          <w:bCs/>
          <w:sz w:val="22"/>
          <w:szCs w:val="22"/>
        </w:rPr>
        <w:t>（招标项目名称）投标活动。我单位同意按照中标合同供货，并对产品质量承担责任。</w:t>
      </w:r>
    </w:p>
    <w:p>
      <w:pPr>
        <w:spacing w:line="360" w:lineRule="auto"/>
        <w:ind w:firstLine="440" w:firstLineChars="200"/>
        <w:rPr>
          <w:rFonts w:hint="eastAsia"/>
          <w:bCs/>
          <w:sz w:val="22"/>
          <w:szCs w:val="22"/>
        </w:rPr>
      </w:pPr>
      <w:r>
        <w:rPr>
          <w:rFonts w:hint="eastAsia"/>
          <w:bCs/>
          <w:sz w:val="22"/>
          <w:szCs w:val="22"/>
        </w:rPr>
        <w:t>授权期限：</w:t>
      </w:r>
      <w:r>
        <w:rPr>
          <w:rFonts w:hint="eastAsia"/>
          <w:bCs/>
          <w:sz w:val="22"/>
          <w:szCs w:val="22"/>
          <w:u w:val="single"/>
        </w:rPr>
        <w:t xml:space="preserve">                  </w:t>
      </w:r>
      <w:r>
        <w:rPr>
          <w:rFonts w:hint="eastAsia"/>
          <w:bCs/>
          <w:sz w:val="22"/>
          <w:szCs w:val="22"/>
        </w:rPr>
        <w:t>。</w:t>
      </w:r>
    </w:p>
    <w:p>
      <w:pPr>
        <w:spacing w:line="360" w:lineRule="auto"/>
        <w:ind w:firstLine="440" w:firstLineChars="200"/>
        <w:rPr>
          <w:bCs/>
          <w:sz w:val="22"/>
          <w:szCs w:val="22"/>
        </w:rPr>
      </w:pPr>
    </w:p>
    <w:p>
      <w:pPr>
        <w:spacing w:line="360" w:lineRule="auto"/>
        <w:ind w:firstLine="440" w:firstLineChars="200"/>
        <w:rPr>
          <w:bCs/>
          <w:sz w:val="22"/>
          <w:szCs w:val="22"/>
        </w:rPr>
      </w:pPr>
    </w:p>
    <w:p>
      <w:pPr>
        <w:spacing w:line="360" w:lineRule="auto"/>
        <w:ind w:firstLine="440" w:firstLineChars="200"/>
        <w:rPr>
          <w:rFonts w:hint="eastAsia"/>
          <w:bCs/>
          <w:sz w:val="22"/>
          <w:szCs w:val="22"/>
        </w:rPr>
      </w:pPr>
      <w:r>
        <w:rPr>
          <w:rFonts w:hint="eastAsia"/>
          <w:bCs/>
          <w:sz w:val="22"/>
          <w:szCs w:val="22"/>
        </w:rPr>
        <w:t>投标人名称：</w:t>
      </w:r>
      <w:r>
        <w:rPr>
          <w:rFonts w:hint="eastAsia"/>
          <w:bCs/>
          <w:sz w:val="22"/>
          <w:szCs w:val="22"/>
          <w:u w:val="single"/>
        </w:rPr>
        <w:t xml:space="preserve">                  </w:t>
      </w:r>
      <w:r>
        <w:rPr>
          <w:rFonts w:hint="eastAsia"/>
          <w:bCs/>
          <w:sz w:val="22"/>
          <w:szCs w:val="22"/>
        </w:rPr>
        <w:t>（盖单位章）  制造商名称：</w:t>
      </w:r>
      <w:r>
        <w:rPr>
          <w:rFonts w:hint="eastAsia"/>
          <w:bCs/>
          <w:sz w:val="22"/>
          <w:szCs w:val="22"/>
          <w:u w:val="single"/>
        </w:rPr>
        <w:t xml:space="preserve">              </w:t>
      </w:r>
      <w:r>
        <w:rPr>
          <w:rFonts w:hint="eastAsia"/>
          <w:bCs/>
          <w:sz w:val="22"/>
          <w:szCs w:val="22"/>
        </w:rPr>
        <w:t>（盖单位章）</w:t>
      </w:r>
    </w:p>
    <w:p>
      <w:pPr>
        <w:spacing w:line="360" w:lineRule="auto"/>
        <w:ind w:firstLine="440" w:firstLineChars="200"/>
        <w:rPr>
          <w:rFonts w:hint="eastAsia"/>
          <w:bCs/>
          <w:sz w:val="22"/>
          <w:szCs w:val="22"/>
        </w:rPr>
      </w:pPr>
    </w:p>
    <w:p>
      <w:pPr>
        <w:spacing w:line="360" w:lineRule="auto"/>
        <w:ind w:firstLine="440" w:firstLineChars="200"/>
        <w:rPr>
          <w:rFonts w:hint="eastAsia"/>
          <w:bCs/>
          <w:sz w:val="22"/>
          <w:szCs w:val="22"/>
        </w:rPr>
      </w:pPr>
      <w:r>
        <w:rPr>
          <w:rFonts w:hint="eastAsia"/>
          <w:bCs/>
          <w:sz w:val="22"/>
          <w:szCs w:val="22"/>
        </w:rPr>
        <w:t>签字人职务：</w:t>
      </w:r>
      <w:r>
        <w:rPr>
          <w:rFonts w:hint="eastAsia"/>
          <w:bCs/>
          <w:sz w:val="22"/>
          <w:szCs w:val="22"/>
          <w:u w:val="single"/>
        </w:rPr>
        <w:t xml:space="preserve">                             </w:t>
      </w:r>
      <w:r>
        <w:rPr>
          <w:rFonts w:hint="eastAsia"/>
          <w:bCs/>
          <w:sz w:val="22"/>
          <w:szCs w:val="22"/>
        </w:rPr>
        <w:t xml:space="preserve">   签字人职务：</w:t>
      </w:r>
      <w:r>
        <w:rPr>
          <w:rFonts w:hint="eastAsia"/>
          <w:bCs/>
          <w:sz w:val="22"/>
          <w:szCs w:val="22"/>
          <w:u w:val="single"/>
        </w:rPr>
        <w:t xml:space="preserve">                       </w:t>
      </w:r>
    </w:p>
    <w:p>
      <w:pPr>
        <w:spacing w:line="360" w:lineRule="auto"/>
        <w:ind w:firstLine="440" w:firstLineChars="200"/>
        <w:rPr>
          <w:rFonts w:hint="eastAsia"/>
          <w:bCs/>
          <w:sz w:val="22"/>
          <w:szCs w:val="22"/>
        </w:rPr>
      </w:pPr>
      <w:r>
        <w:rPr>
          <w:rFonts w:hint="eastAsia"/>
          <w:bCs/>
          <w:sz w:val="22"/>
          <w:szCs w:val="22"/>
        </w:rPr>
        <w:t>签字人姓名：</w:t>
      </w:r>
      <w:r>
        <w:rPr>
          <w:rFonts w:hint="eastAsia"/>
          <w:bCs/>
          <w:sz w:val="22"/>
          <w:szCs w:val="22"/>
          <w:u w:val="single"/>
        </w:rPr>
        <w:t xml:space="preserve">                             </w:t>
      </w:r>
      <w:r>
        <w:rPr>
          <w:rFonts w:hint="eastAsia"/>
          <w:bCs/>
          <w:sz w:val="22"/>
          <w:szCs w:val="22"/>
        </w:rPr>
        <w:t xml:space="preserve">   签字人姓名：</w:t>
      </w:r>
      <w:r>
        <w:rPr>
          <w:rFonts w:hint="eastAsia"/>
          <w:bCs/>
          <w:sz w:val="22"/>
          <w:szCs w:val="22"/>
          <w:u w:val="single"/>
        </w:rPr>
        <w:t xml:space="preserve">                       </w:t>
      </w:r>
    </w:p>
    <w:p>
      <w:pPr>
        <w:spacing w:line="360" w:lineRule="auto"/>
        <w:ind w:firstLine="440" w:firstLineChars="200"/>
        <w:rPr>
          <w:bCs/>
          <w:sz w:val="22"/>
          <w:szCs w:val="22"/>
        </w:rPr>
      </w:pPr>
      <w:r>
        <w:rPr>
          <w:rFonts w:hint="eastAsia"/>
          <w:bCs/>
          <w:sz w:val="22"/>
          <w:szCs w:val="22"/>
        </w:rPr>
        <w:t>签字人签名：</w:t>
      </w:r>
      <w:r>
        <w:rPr>
          <w:rFonts w:hint="eastAsia"/>
          <w:bCs/>
          <w:sz w:val="22"/>
          <w:szCs w:val="22"/>
          <w:u w:val="single"/>
        </w:rPr>
        <w:t xml:space="preserve">                             </w:t>
      </w:r>
      <w:r>
        <w:rPr>
          <w:rFonts w:hint="eastAsia"/>
          <w:bCs/>
          <w:sz w:val="22"/>
          <w:szCs w:val="22"/>
        </w:rPr>
        <w:t xml:space="preserve">   签字人签名：</w:t>
      </w:r>
      <w:r>
        <w:rPr>
          <w:rFonts w:hint="eastAsia"/>
          <w:bCs/>
          <w:sz w:val="22"/>
          <w:szCs w:val="22"/>
          <w:u w:val="single"/>
        </w:rPr>
        <w:t xml:space="preserve">                       </w:t>
      </w:r>
    </w:p>
    <w:p>
      <w:pPr>
        <w:pStyle w:val="4"/>
        <w:jc w:val="center"/>
        <w:rPr>
          <w:rFonts w:hint="eastAsia" w:ascii="Times New Roman" w:hAnsi="Times New Roman"/>
        </w:rPr>
      </w:pPr>
      <w:r>
        <w:rPr>
          <w:rFonts w:ascii="Times New Roman" w:hAnsi="Times New Roman"/>
          <w:sz w:val="22"/>
          <w:szCs w:val="22"/>
        </w:rPr>
        <w:br w:type="page"/>
      </w:r>
      <w:r>
        <w:rPr>
          <w:rFonts w:hint="eastAsia" w:ascii="Times New Roman" w:hAnsi="Times New Roman"/>
        </w:rPr>
        <w:t>（四）拟</w:t>
      </w:r>
      <w:r>
        <w:rPr>
          <w:rFonts w:hint="eastAsia" w:ascii="Times New Roman" w:hAnsi="Times New Roman"/>
          <w:lang w:eastAsia="zh-CN"/>
        </w:rPr>
        <w:t>委派</w:t>
      </w:r>
      <w:r>
        <w:rPr>
          <w:rFonts w:hint="eastAsia" w:ascii="Times New Roman" w:hAnsi="Times New Roman"/>
        </w:rPr>
        <w:t>的项目负责人简历</w:t>
      </w:r>
    </w:p>
    <w:tbl>
      <w:tblPr>
        <w:tblStyle w:val="5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8"/>
        <w:gridCol w:w="20"/>
        <w:gridCol w:w="1433"/>
        <w:gridCol w:w="1081"/>
        <w:gridCol w:w="209"/>
        <w:gridCol w:w="1474"/>
        <w:gridCol w:w="1268"/>
        <w:gridCol w:w="391"/>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2" w:type="pct"/>
            <w:vAlign w:val="center"/>
          </w:tcPr>
          <w:p>
            <w:pPr>
              <w:jc w:val="center"/>
              <w:rPr>
                <w:szCs w:val="21"/>
              </w:rPr>
            </w:pPr>
            <w:r>
              <w:rPr>
                <w:szCs w:val="21"/>
              </w:rPr>
              <w:t>姓  名</w:t>
            </w:r>
          </w:p>
        </w:tc>
        <w:tc>
          <w:tcPr>
            <w:tcW w:w="792" w:type="pct"/>
            <w:gridSpan w:val="2"/>
            <w:vAlign w:val="center"/>
          </w:tcPr>
          <w:p>
            <w:pPr>
              <w:jc w:val="center"/>
              <w:rPr>
                <w:szCs w:val="21"/>
              </w:rPr>
            </w:pPr>
          </w:p>
        </w:tc>
        <w:tc>
          <w:tcPr>
            <w:tcW w:w="703" w:type="pct"/>
            <w:gridSpan w:val="2"/>
            <w:vAlign w:val="center"/>
          </w:tcPr>
          <w:p>
            <w:pPr>
              <w:jc w:val="center"/>
              <w:rPr>
                <w:szCs w:val="21"/>
              </w:rPr>
            </w:pPr>
            <w:r>
              <w:rPr>
                <w:szCs w:val="21"/>
              </w:rPr>
              <w:t>年 龄</w:t>
            </w:r>
          </w:p>
        </w:tc>
        <w:tc>
          <w:tcPr>
            <w:tcW w:w="803" w:type="pct"/>
            <w:vAlign w:val="center"/>
          </w:tcPr>
          <w:p>
            <w:pPr>
              <w:jc w:val="center"/>
              <w:rPr>
                <w:szCs w:val="21"/>
              </w:rPr>
            </w:pPr>
          </w:p>
        </w:tc>
        <w:tc>
          <w:tcPr>
            <w:tcW w:w="904" w:type="pct"/>
            <w:gridSpan w:val="2"/>
            <w:vAlign w:val="center"/>
          </w:tcPr>
          <w:p>
            <w:pPr>
              <w:jc w:val="center"/>
              <w:rPr>
                <w:szCs w:val="21"/>
              </w:rPr>
            </w:pPr>
            <w:r>
              <w:rPr>
                <w:szCs w:val="21"/>
              </w:rPr>
              <w:t>学</w:t>
            </w:r>
            <w:r>
              <w:rPr>
                <w:rFonts w:hint="eastAsia"/>
                <w:szCs w:val="21"/>
              </w:rPr>
              <w:t xml:space="preserve"> </w:t>
            </w:r>
            <w:r>
              <w:rPr>
                <w:szCs w:val="21"/>
              </w:rPr>
              <w:t>历</w:t>
            </w:r>
          </w:p>
        </w:tc>
        <w:tc>
          <w:tcPr>
            <w:tcW w:w="1096" w:type="pct"/>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2" w:type="pct"/>
            <w:vAlign w:val="center"/>
          </w:tcPr>
          <w:p>
            <w:pPr>
              <w:jc w:val="center"/>
              <w:rPr>
                <w:szCs w:val="21"/>
              </w:rPr>
            </w:pPr>
            <w:r>
              <w:rPr>
                <w:szCs w:val="21"/>
              </w:rPr>
              <w:t>职  称</w:t>
            </w:r>
          </w:p>
        </w:tc>
        <w:tc>
          <w:tcPr>
            <w:tcW w:w="792" w:type="pct"/>
            <w:gridSpan w:val="2"/>
            <w:vAlign w:val="center"/>
          </w:tcPr>
          <w:p>
            <w:pPr>
              <w:jc w:val="center"/>
              <w:rPr>
                <w:szCs w:val="21"/>
              </w:rPr>
            </w:pPr>
          </w:p>
        </w:tc>
        <w:tc>
          <w:tcPr>
            <w:tcW w:w="703" w:type="pct"/>
            <w:gridSpan w:val="2"/>
            <w:vAlign w:val="center"/>
          </w:tcPr>
          <w:p>
            <w:pPr>
              <w:jc w:val="center"/>
              <w:rPr>
                <w:szCs w:val="21"/>
              </w:rPr>
            </w:pPr>
            <w:r>
              <w:rPr>
                <w:rFonts w:hint="eastAsia"/>
                <w:szCs w:val="21"/>
              </w:rPr>
              <w:t>单位</w:t>
            </w:r>
          </w:p>
          <w:p>
            <w:pPr>
              <w:jc w:val="center"/>
              <w:rPr>
                <w:szCs w:val="21"/>
              </w:rPr>
            </w:pPr>
            <w:r>
              <w:rPr>
                <w:szCs w:val="21"/>
              </w:rPr>
              <w:t>职务</w:t>
            </w:r>
          </w:p>
        </w:tc>
        <w:tc>
          <w:tcPr>
            <w:tcW w:w="803" w:type="pct"/>
            <w:vAlign w:val="center"/>
          </w:tcPr>
          <w:p>
            <w:pPr>
              <w:jc w:val="center"/>
              <w:rPr>
                <w:szCs w:val="21"/>
              </w:rPr>
            </w:pPr>
          </w:p>
        </w:tc>
        <w:tc>
          <w:tcPr>
            <w:tcW w:w="904" w:type="pct"/>
            <w:gridSpan w:val="2"/>
            <w:vAlign w:val="center"/>
          </w:tcPr>
          <w:p>
            <w:pPr>
              <w:jc w:val="center"/>
              <w:rPr>
                <w:szCs w:val="21"/>
              </w:rPr>
            </w:pPr>
            <w:r>
              <w:rPr>
                <w:szCs w:val="21"/>
              </w:rPr>
              <w:t>拟在本</w:t>
            </w:r>
            <w:r>
              <w:rPr>
                <w:rFonts w:hint="eastAsia"/>
                <w:szCs w:val="21"/>
              </w:rPr>
              <w:t>标段</w:t>
            </w:r>
          </w:p>
          <w:p>
            <w:pPr>
              <w:jc w:val="center"/>
              <w:rPr>
                <w:szCs w:val="21"/>
              </w:rPr>
            </w:pPr>
            <w:r>
              <w:rPr>
                <w:rFonts w:hint="eastAsia"/>
                <w:szCs w:val="21"/>
              </w:rPr>
              <w:t>项目担任职务</w:t>
            </w:r>
          </w:p>
        </w:tc>
        <w:tc>
          <w:tcPr>
            <w:tcW w:w="1096" w:type="pct"/>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2" w:type="pct"/>
            <w:vAlign w:val="center"/>
          </w:tcPr>
          <w:p>
            <w:pPr>
              <w:jc w:val="center"/>
              <w:rPr>
                <w:szCs w:val="21"/>
              </w:rPr>
            </w:pPr>
            <w:r>
              <w:rPr>
                <w:szCs w:val="21"/>
              </w:rPr>
              <w:t>毕业学校</w:t>
            </w:r>
          </w:p>
        </w:tc>
        <w:tc>
          <w:tcPr>
            <w:tcW w:w="4298" w:type="pct"/>
            <w:gridSpan w:val="8"/>
            <w:vAlign w:val="center"/>
          </w:tcPr>
          <w:p>
            <w:pPr>
              <w:rPr>
                <w:szCs w:val="21"/>
              </w:rPr>
            </w:pPr>
            <w:r>
              <w:rPr>
                <w:szCs w:val="21"/>
                <w:u w:val="single"/>
              </w:rPr>
              <w:t xml:space="preserve">    </w:t>
            </w:r>
            <w:r>
              <w:rPr>
                <w:szCs w:val="21"/>
              </w:rPr>
              <w:t>年</w:t>
            </w:r>
            <w:r>
              <w:rPr>
                <w:rFonts w:hint="eastAsia"/>
                <w:szCs w:val="21"/>
                <w:u w:val="single"/>
              </w:rPr>
              <w:t xml:space="preserve">  </w:t>
            </w:r>
            <w:r>
              <w:rPr>
                <w:rFonts w:hint="eastAsia"/>
                <w:szCs w:val="21"/>
              </w:rPr>
              <w:t>月</w:t>
            </w:r>
            <w:r>
              <w:rPr>
                <w:szCs w:val="21"/>
              </w:rPr>
              <w:t>毕业于</w:t>
            </w:r>
            <w:r>
              <w:rPr>
                <w:szCs w:val="21"/>
                <w:u w:val="single"/>
              </w:rPr>
              <w:t xml:space="preserve">            </w:t>
            </w:r>
            <w:r>
              <w:rPr>
                <w:szCs w:val="21"/>
              </w:rPr>
              <w:t>学校</w:t>
            </w:r>
            <w:r>
              <w:rPr>
                <w:szCs w:val="21"/>
                <w:u w:val="single"/>
              </w:rPr>
              <w:t xml:space="preserve">        </w:t>
            </w:r>
            <w:r>
              <w:rPr>
                <w:szCs w:val="21"/>
              </w:rPr>
              <w:t>专业</w:t>
            </w:r>
            <w:r>
              <w:rPr>
                <w:rFonts w:hint="eastAsia"/>
                <w:szCs w:val="21"/>
              </w:rPr>
              <w:t>，学制</w:t>
            </w:r>
            <w:r>
              <w:rPr>
                <w:rFonts w:hint="eastAsia"/>
                <w:szCs w:val="21"/>
                <w:u w:val="single"/>
              </w:rPr>
              <w:t xml:space="preserve">   </w:t>
            </w:r>
            <w:r>
              <w:rPr>
                <w:rFonts w:hint="eastAsia"/>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9"/>
            <w:vAlign w:val="center"/>
          </w:tcPr>
          <w:p>
            <w:pPr>
              <w:jc w:val="center"/>
            </w:pPr>
            <w:r>
              <w:rPr>
                <w:szCs w:val="21"/>
              </w:rPr>
              <w:t>经</w:t>
            </w:r>
            <w:r>
              <w:rPr>
                <w:rFonts w:hint="eastAsia"/>
                <w:szCs w:val="21"/>
              </w:rPr>
              <w:t xml:space="preserve">    </w:t>
            </w:r>
            <w:r>
              <w:rPr>
                <w:szCs w:val="21"/>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3" w:type="pct"/>
            <w:gridSpan w:val="2"/>
            <w:vAlign w:val="center"/>
          </w:tcPr>
          <w:p>
            <w:pPr>
              <w:jc w:val="center"/>
              <w:rPr>
                <w:szCs w:val="21"/>
              </w:rPr>
            </w:pPr>
            <w:r>
              <w:rPr>
                <w:rFonts w:hint="eastAsia"/>
                <w:szCs w:val="21"/>
              </w:rPr>
              <w:t>时间</w:t>
            </w:r>
          </w:p>
        </w:tc>
        <w:tc>
          <w:tcPr>
            <w:tcW w:w="1370" w:type="pct"/>
            <w:gridSpan w:val="2"/>
            <w:vAlign w:val="center"/>
          </w:tcPr>
          <w:p>
            <w:pPr>
              <w:jc w:val="center"/>
              <w:rPr>
                <w:szCs w:val="21"/>
              </w:rPr>
            </w:pPr>
            <w:r>
              <w:rPr>
                <w:szCs w:val="21"/>
              </w:rPr>
              <w:t>参加过的项目</w:t>
            </w:r>
            <w:r>
              <w:rPr>
                <w:rFonts w:hint="eastAsia"/>
                <w:szCs w:val="21"/>
              </w:rPr>
              <w:t>名称</w:t>
            </w:r>
          </w:p>
        </w:tc>
        <w:tc>
          <w:tcPr>
            <w:tcW w:w="917" w:type="pct"/>
            <w:gridSpan w:val="2"/>
            <w:vAlign w:val="center"/>
          </w:tcPr>
          <w:p>
            <w:pPr>
              <w:jc w:val="center"/>
              <w:rPr>
                <w:szCs w:val="21"/>
              </w:rPr>
            </w:pPr>
            <w:r>
              <w:rPr>
                <w:rFonts w:hint="eastAsia"/>
                <w:szCs w:val="21"/>
              </w:rPr>
              <w:t>签约合同价金额（万元）</w:t>
            </w:r>
          </w:p>
        </w:tc>
        <w:tc>
          <w:tcPr>
            <w:tcW w:w="691" w:type="pct"/>
            <w:vAlign w:val="center"/>
          </w:tcPr>
          <w:p>
            <w:pPr>
              <w:jc w:val="center"/>
              <w:rPr>
                <w:szCs w:val="21"/>
              </w:rPr>
            </w:pPr>
            <w:r>
              <w:rPr>
                <w:szCs w:val="21"/>
              </w:rPr>
              <w:t>担任职务</w:t>
            </w:r>
          </w:p>
        </w:tc>
        <w:tc>
          <w:tcPr>
            <w:tcW w:w="1309" w:type="pct"/>
            <w:gridSpan w:val="2"/>
            <w:vAlign w:val="center"/>
          </w:tcPr>
          <w:p>
            <w:pPr>
              <w:rPr>
                <w:szCs w:val="21"/>
              </w:rPr>
            </w:pPr>
            <w:r>
              <w:rPr>
                <w:rFonts w:hint="eastAsia"/>
                <w:szCs w:val="21"/>
              </w:rPr>
              <w:t>买方</w:t>
            </w:r>
            <w:r>
              <w:rPr>
                <w:szCs w:val="21"/>
              </w:rPr>
              <w:t>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3" w:type="pct"/>
            <w:gridSpan w:val="2"/>
          </w:tcPr>
          <w:p>
            <w:pPr>
              <w:rPr>
                <w:szCs w:val="21"/>
              </w:rPr>
            </w:pPr>
          </w:p>
        </w:tc>
        <w:tc>
          <w:tcPr>
            <w:tcW w:w="1370" w:type="pct"/>
            <w:gridSpan w:val="2"/>
          </w:tcPr>
          <w:p>
            <w:pPr>
              <w:rPr>
                <w:szCs w:val="21"/>
              </w:rPr>
            </w:pPr>
          </w:p>
        </w:tc>
        <w:tc>
          <w:tcPr>
            <w:tcW w:w="917" w:type="pct"/>
            <w:gridSpan w:val="2"/>
          </w:tcPr>
          <w:p>
            <w:pPr>
              <w:rPr>
                <w:szCs w:val="21"/>
              </w:rPr>
            </w:pPr>
          </w:p>
        </w:tc>
        <w:tc>
          <w:tcPr>
            <w:tcW w:w="691" w:type="pct"/>
          </w:tcPr>
          <w:p>
            <w:pPr>
              <w:rPr>
                <w:szCs w:val="21"/>
              </w:rPr>
            </w:pPr>
          </w:p>
        </w:tc>
        <w:tc>
          <w:tcPr>
            <w:tcW w:w="1309" w:type="pct"/>
            <w:gridSpan w:val="2"/>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3" w:type="pct"/>
            <w:gridSpan w:val="2"/>
          </w:tcPr>
          <w:p>
            <w:pPr>
              <w:rPr>
                <w:rFonts w:eastAsia="黑体"/>
                <w:szCs w:val="21"/>
              </w:rPr>
            </w:pPr>
          </w:p>
        </w:tc>
        <w:tc>
          <w:tcPr>
            <w:tcW w:w="1370" w:type="pct"/>
            <w:gridSpan w:val="2"/>
          </w:tcPr>
          <w:p>
            <w:pPr>
              <w:pStyle w:val="35"/>
              <w:rPr>
                <w:rFonts w:ascii="Times New Roman" w:hAnsi="Times New Roman"/>
              </w:rPr>
            </w:pPr>
          </w:p>
        </w:tc>
        <w:tc>
          <w:tcPr>
            <w:tcW w:w="917" w:type="pct"/>
            <w:gridSpan w:val="2"/>
          </w:tcPr>
          <w:p>
            <w:pPr>
              <w:pStyle w:val="35"/>
              <w:rPr>
                <w:rFonts w:ascii="Times New Roman" w:hAnsi="Times New Roman"/>
              </w:rPr>
            </w:pPr>
          </w:p>
        </w:tc>
        <w:tc>
          <w:tcPr>
            <w:tcW w:w="691" w:type="pct"/>
          </w:tcPr>
          <w:p>
            <w:pPr>
              <w:pStyle w:val="35"/>
              <w:rPr>
                <w:rFonts w:ascii="Times New Roman" w:hAnsi="Times New Roman"/>
              </w:rPr>
            </w:pPr>
          </w:p>
        </w:tc>
        <w:tc>
          <w:tcPr>
            <w:tcW w:w="1309" w:type="pct"/>
            <w:gridSpan w:val="2"/>
          </w:tcPr>
          <w:p>
            <w:pPr>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3" w:type="pct"/>
            <w:gridSpan w:val="2"/>
          </w:tcPr>
          <w:p>
            <w:pPr>
              <w:rPr>
                <w:rFonts w:eastAsia="黑体"/>
                <w:szCs w:val="21"/>
              </w:rPr>
            </w:pPr>
          </w:p>
        </w:tc>
        <w:tc>
          <w:tcPr>
            <w:tcW w:w="1370" w:type="pct"/>
            <w:gridSpan w:val="2"/>
          </w:tcPr>
          <w:p>
            <w:pPr>
              <w:rPr>
                <w:rFonts w:eastAsia="黑体"/>
                <w:szCs w:val="21"/>
              </w:rPr>
            </w:pPr>
          </w:p>
        </w:tc>
        <w:tc>
          <w:tcPr>
            <w:tcW w:w="917" w:type="pct"/>
            <w:gridSpan w:val="2"/>
          </w:tcPr>
          <w:p>
            <w:pPr>
              <w:rPr>
                <w:rFonts w:eastAsia="黑体"/>
                <w:szCs w:val="21"/>
              </w:rPr>
            </w:pPr>
          </w:p>
        </w:tc>
        <w:tc>
          <w:tcPr>
            <w:tcW w:w="691" w:type="pct"/>
          </w:tcPr>
          <w:p>
            <w:pPr>
              <w:rPr>
                <w:rFonts w:eastAsia="黑体"/>
                <w:szCs w:val="21"/>
              </w:rPr>
            </w:pPr>
          </w:p>
        </w:tc>
        <w:tc>
          <w:tcPr>
            <w:tcW w:w="1309" w:type="pct"/>
            <w:gridSpan w:val="2"/>
          </w:tcPr>
          <w:p>
            <w:pPr>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3" w:type="pct"/>
            <w:gridSpan w:val="2"/>
            <w:vAlign w:val="center"/>
          </w:tcPr>
          <w:p>
            <w:pPr>
              <w:rPr>
                <w:rFonts w:eastAsia="黑体"/>
                <w:szCs w:val="21"/>
              </w:rPr>
            </w:pPr>
          </w:p>
        </w:tc>
        <w:tc>
          <w:tcPr>
            <w:tcW w:w="1370" w:type="pct"/>
            <w:gridSpan w:val="2"/>
            <w:vAlign w:val="center"/>
          </w:tcPr>
          <w:p>
            <w:pPr>
              <w:rPr>
                <w:rFonts w:eastAsia="黑体"/>
                <w:szCs w:val="21"/>
              </w:rPr>
            </w:pPr>
          </w:p>
        </w:tc>
        <w:tc>
          <w:tcPr>
            <w:tcW w:w="917" w:type="pct"/>
            <w:gridSpan w:val="2"/>
            <w:vAlign w:val="center"/>
          </w:tcPr>
          <w:p>
            <w:pPr>
              <w:rPr>
                <w:rFonts w:eastAsia="黑体"/>
                <w:szCs w:val="21"/>
              </w:rPr>
            </w:pPr>
          </w:p>
        </w:tc>
        <w:tc>
          <w:tcPr>
            <w:tcW w:w="691" w:type="pct"/>
            <w:vAlign w:val="center"/>
          </w:tcPr>
          <w:p>
            <w:pPr>
              <w:rPr>
                <w:rFonts w:eastAsia="黑体"/>
                <w:szCs w:val="21"/>
              </w:rPr>
            </w:pPr>
          </w:p>
        </w:tc>
        <w:tc>
          <w:tcPr>
            <w:tcW w:w="1309" w:type="pct"/>
            <w:gridSpan w:val="2"/>
            <w:vAlign w:val="center"/>
          </w:tcPr>
          <w:p>
            <w:pPr>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3" w:type="pct"/>
            <w:gridSpan w:val="2"/>
            <w:vAlign w:val="center"/>
          </w:tcPr>
          <w:p>
            <w:pPr>
              <w:rPr>
                <w:rFonts w:eastAsia="黑体"/>
                <w:szCs w:val="21"/>
              </w:rPr>
            </w:pPr>
          </w:p>
        </w:tc>
        <w:tc>
          <w:tcPr>
            <w:tcW w:w="1370" w:type="pct"/>
            <w:gridSpan w:val="2"/>
            <w:vAlign w:val="center"/>
          </w:tcPr>
          <w:p>
            <w:pPr>
              <w:rPr>
                <w:rFonts w:eastAsia="黑体"/>
                <w:szCs w:val="21"/>
              </w:rPr>
            </w:pPr>
          </w:p>
        </w:tc>
        <w:tc>
          <w:tcPr>
            <w:tcW w:w="917" w:type="pct"/>
            <w:gridSpan w:val="2"/>
            <w:vAlign w:val="center"/>
          </w:tcPr>
          <w:p>
            <w:pPr>
              <w:rPr>
                <w:rFonts w:eastAsia="黑体"/>
                <w:szCs w:val="21"/>
              </w:rPr>
            </w:pPr>
          </w:p>
        </w:tc>
        <w:tc>
          <w:tcPr>
            <w:tcW w:w="691" w:type="pct"/>
            <w:vAlign w:val="center"/>
          </w:tcPr>
          <w:p>
            <w:pPr>
              <w:rPr>
                <w:rFonts w:eastAsia="黑体"/>
                <w:szCs w:val="21"/>
              </w:rPr>
            </w:pPr>
          </w:p>
        </w:tc>
        <w:tc>
          <w:tcPr>
            <w:tcW w:w="1309" w:type="pct"/>
            <w:gridSpan w:val="2"/>
            <w:vAlign w:val="center"/>
          </w:tcPr>
          <w:p>
            <w:pPr>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3" w:type="pct"/>
            <w:gridSpan w:val="2"/>
            <w:vAlign w:val="center"/>
          </w:tcPr>
          <w:p>
            <w:pPr>
              <w:rPr>
                <w:rFonts w:eastAsia="黑体"/>
                <w:szCs w:val="21"/>
              </w:rPr>
            </w:pPr>
          </w:p>
        </w:tc>
        <w:tc>
          <w:tcPr>
            <w:tcW w:w="1370" w:type="pct"/>
            <w:gridSpan w:val="2"/>
            <w:vAlign w:val="center"/>
          </w:tcPr>
          <w:p>
            <w:pPr>
              <w:rPr>
                <w:rFonts w:eastAsia="黑体"/>
                <w:szCs w:val="21"/>
              </w:rPr>
            </w:pPr>
          </w:p>
        </w:tc>
        <w:tc>
          <w:tcPr>
            <w:tcW w:w="917" w:type="pct"/>
            <w:gridSpan w:val="2"/>
            <w:vAlign w:val="center"/>
          </w:tcPr>
          <w:p>
            <w:pPr>
              <w:rPr>
                <w:rFonts w:eastAsia="黑体"/>
                <w:szCs w:val="21"/>
              </w:rPr>
            </w:pPr>
          </w:p>
        </w:tc>
        <w:tc>
          <w:tcPr>
            <w:tcW w:w="691" w:type="pct"/>
            <w:vAlign w:val="center"/>
          </w:tcPr>
          <w:p>
            <w:pPr>
              <w:rPr>
                <w:rFonts w:eastAsia="黑体"/>
                <w:szCs w:val="21"/>
              </w:rPr>
            </w:pPr>
          </w:p>
        </w:tc>
        <w:tc>
          <w:tcPr>
            <w:tcW w:w="1309" w:type="pct"/>
            <w:gridSpan w:val="2"/>
            <w:vAlign w:val="center"/>
          </w:tcPr>
          <w:p>
            <w:pPr>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3" w:type="pct"/>
            <w:gridSpan w:val="2"/>
            <w:vAlign w:val="center"/>
          </w:tcPr>
          <w:p>
            <w:pPr>
              <w:rPr>
                <w:rFonts w:eastAsia="黑体"/>
                <w:szCs w:val="21"/>
              </w:rPr>
            </w:pPr>
          </w:p>
        </w:tc>
        <w:tc>
          <w:tcPr>
            <w:tcW w:w="1370" w:type="pct"/>
            <w:gridSpan w:val="2"/>
            <w:vAlign w:val="center"/>
          </w:tcPr>
          <w:p>
            <w:pPr>
              <w:rPr>
                <w:rFonts w:eastAsia="黑体"/>
                <w:szCs w:val="21"/>
              </w:rPr>
            </w:pPr>
          </w:p>
        </w:tc>
        <w:tc>
          <w:tcPr>
            <w:tcW w:w="917" w:type="pct"/>
            <w:gridSpan w:val="2"/>
            <w:tcBorders>
              <w:right w:val="single" w:color="auto" w:sz="8" w:space="0"/>
            </w:tcBorders>
            <w:vAlign w:val="center"/>
          </w:tcPr>
          <w:p>
            <w:pPr>
              <w:rPr>
                <w:rFonts w:eastAsia="黑体"/>
                <w:szCs w:val="21"/>
              </w:rPr>
            </w:pPr>
          </w:p>
        </w:tc>
        <w:tc>
          <w:tcPr>
            <w:tcW w:w="691" w:type="pct"/>
            <w:tcBorders>
              <w:left w:val="single" w:color="auto" w:sz="8" w:space="0"/>
            </w:tcBorders>
            <w:vAlign w:val="center"/>
          </w:tcPr>
          <w:p>
            <w:pPr>
              <w:rPr>
                <w:rFonts w:eastAsia="黑体"/>
                <w:szCs w:val="21"/>
              </w:rPr>
            </w:pPr>
          </w:p>
        </w:tc>
        <w:tc>
          <w:tcPr>
            <w:tcW w:w="1309" w:type="pct"/>
            <w:gridSpan w:val="2"/>
            <w:vAlign w:val="center"/>
          </w:tcPr>
          <w:p>
            <w:pPr>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3" w:type="pct"/>
            <w:gridSpan w:val="2"/>
            <w:vAlign w:val="center"/>
          </w:tcPr>
          <w:p>
            <w:pPr>
              <w:rPr>
                <w:szCs w:val="21"/>
              </w:rPr>
            </w:pPr>
            <w:r>
              <w:rPr>
                <w:rFonts w:hint="eastAsia"/>
                <w:szCs w:val="21"/>
              </w:rPr>
              <w:t>获奖情况</w:t>
            </w:r>
          </w:p>
        </w:tc>
        <w:tc>
          <w:tcPr>
            <w:tcW w:w="4287" w:type="pct"/>
            <w:gridSpan w:val="7"/>
            <w:vAlign w:val="center"/>
          </w:tcPr>
          <w:p>
            <w:pPr>
              <w:rPr>
                <w:rFonts w:eastAsia="黑体"/>
                <w:szCs w:val="21"/>
              </w:rPr>
            </w:pPr>
          </w:p>
        </w:tc>
      </w:tr>
    </w:tbl>
    <w:p>
      <w:pPr>
        <w:tabs>
          <w:tab w:val="left" w:pos="2580"/>
          <w:tab w:val="left" w:pos="5940"/>
        </w:tabs>
        <w:autoSpaceDE w:val="0"/>
        <w:autoSpaceDN w:val="0"/>
        <w:adjustRightInd w:val="0"/>
        <w:snapToGrid w:val="0"/>
        <w:spacing w:line="400" w:lineRule="exact"/>
        <w:jc w:val="left"/>
        <w:rPr>
          <w:rFonts w:hint="eastAsia"/>
          <w:spacing w:val="-6"/>
          <w:sz w:val="22"/>
          <w:szCs w:val="22"/>
        </w:rPr>
      </w:pPr>
      <w:r>
        <w:rPr>
          <w:rFonts w:hint="eastAsia"/>
          <w:spacing w:val="-6"/>
          <w:sz w:val="22"/>
          <w:szCs w:val="22"/>
        </w:rPr>
        <w:t>注：1. 本表应填写项目负责人相关情况。</w:t>
      </w:r>
    </w:p>
    <w:p>
      <w:pPr>
        <w:tabs>
          <w:tab w:val="left" w:pos="2580"/>
          <w:tab w:val="left" w:pos="5940"/>
        </w:tabs>
        <w:autoSpaceDE w:val="0"/>
        <w:autoSpaceDN w:val="0"/>
        <w:adjustRightInd w:val="0"/>
        <w:snapToGrid w:val="0"/>
        <w:spacing w:line="400" w:lineRule="exact"/>
        <w:jc w:val="left"/>
        <w:rPr>
          <w:rFonts w:hint="eastAsia"/>
          <w:spacing w:val="-6"/>
          <w:sz w:val="22"/>
          <w:szCs w:val="22"/>
        </w:rPr>
      </w:pPr>
      <w:r>
        <w:rPr>
          <w:rFonts w:hint="eastAsia"/>
          <w:spacing w:val="-6"/>
          <w:sz w:val="22"/>
          <w:szCs w:val="22"/>
        </w:rPr>
        <w:t xml:space="preserve">    2. 投标人应根据招标文件的要求在本表后附相关证明材料。</w:t>
      </w:r>
    </w:p>
    <w:p>
      <w:pPr>
        <w:pStyle w:val="4"/>
        <w:jc w:val="center"/>
        <w:rPr>
          <w:rFonts w:hint="eastAsia" w:ascii="Times New Roman" w:hAnsi="Times New Roman"/>
        </w:rPr>
      </w:pPr>
      <w:r>
        <w:rPr>
          <w:rFonts w:ascii="Times New Roman" w:hAnsi="Times New Roman"/>
          <w:sz w:val="22"/>
          <w:szCs w:val="22"/>
        </w:rPr>
        <w:br w:type="page"/>
      </w:r>
      <w:bookmarkStart w:id="500" w:name="_Toc535241148"/>
      <w:bookmarkStart w:id="501" w:name="_Toc460227145"/>
      <w:bookmarkStart w:id="502" w:name="_Toc390411639"/>
      <w:bookmarkStart w:id="503" w:name="_Toc421917020"/>
      <w:bookmarkStart w:id="504" w:name="_Toc460660260"/>
      <w:bookmarkStart w:id="505" w:name="_Toc460660233"/>
      <w:bookmarkStart w:id="506" w:name="_Toc390411629"/>
      <w:bookmarkStart w:id="507" w:name="_Toc460227118"/>
      <w:bookmarkStart w:id="508" w:name="_Toc421917010"/>
      <w:r>
        <w:rPr>
          <w:rFonts w:hint="eastAsia" w:ascii="Times New Roman" w:hAnsi="Times New Roman"/>
          <w:sz w:val="28"/>
          <w:szCs w:val="28"/>
        </w:rPr>
        <w:t>六、</w:t>
      </w:r>
      <w:bookmarkEnd w:id="500"/>
      <w:bookmarkEnd w:id="501"/>
      <w:bookmarkEnd w:id="502"/>
      <w:bookmarkEnd w:id="503"/>
      <w:bookmarkEnd w:id="504"/>
      <w:r>
        <w:rPr>
          <w:rFonts w:hint="eastAsia" w:ascii="Times New Roman" w:hAnsi="Times New Roman"/>
          <w:sz w:val="28"/>
          <w:szCs w:val="28"/>
        </w:rPr>
        <w:t>投标货物技术性能指标的详细描述</w:t>
      </w:r>
      <w:r>
        <w:rPr>
          <w:rFonts w:hint="eastAsia" w:ascii="Times New Roman" w:hAnsi="Times New Roman"/>
        </w:rPr>
        <w:t>（内容自拟）</w:t>
      </w:r>
    </w:p>
    <w:p>
      <w:pPr>
        <w:pStyle w:val="4"/>
        <w:jc w:val="center"/>
        <w:rPr>
          <w:rFonts w:hint="eastAsia" w:ascii="Times New Roman" w:hAnsi="Times New Roman"/>
          <w:sz w:val="28"/>
          <w:szCs w:val="28"/>
        </w:rPr>
      </w:pPr>
    </w:p>
    <w:p>
      <w:pPr>
        <w:tabs>
          <w:tab w:val="left" w:pos="2580"/>
          <w:tab w:val="left" w:pos="5940"/>
        </w:tabs>
        <w:autoSpaceDE w:val="0"/>
        <w:autoSpaceDN w:val="0"/>
        <w:adjustRightInd w:val="0"/>
        <w:snapToGrid w:val="0"/>
        <w:spacing w:line="400" w:lineRule="exact"/>
        <w:rPr>
          <w:rFonts w:hint="eastAsia" w:eastAsia="黑体"/>
          <w:b/>
          <w:bCs/>
          <w:sz w:val="32"/>
          <w:szCs w:val="32"/>
        </w:rPr>
      </w:pPr>
    </w:p>
    <w:p>
      <w:pPr>
        <w:tabs>
          <w:tab w:val="left" w:pos="2580"/>
          <w:tab w:val="left" w:pos="5940"/>
        </w:tabs>
        <w:autoSpaceDE w:val="0"/>
        <w:autoSpaceDN w:val="0"/>
        <w:adjustRightInd w:val="0"/>
        <w:snapToGrid w:val="0"/>
        <w:spacing w:line="400" w:lineRule="exact"/>
        <w:jc w:val="center"/>
        <w:rPr>
          <w:rFonts w:hint="eastAsia"/>
          <w:b/>
          <w:bCs/>
          <w:sz w:val="28"/>
          <w:szCs w:val="22"/>
        </w:rPr>
      </w:pPr>
    </w:p>
    <w:p>
      <w:pPr>
        <w:tabs>
          <w:tab w:val="left" w:pos="2580"/>
          <w:tab w:val="left" w:pos="5940"/>
        </w:tabs>
        <w:autoSpaceDE w:val="0"/>
        <w:autoSpaceDN w:val="0"/>
        <w:adjustRightInd w:val="0"/>
        <w:snapToGrid w:val="0"/>
        <w:spacing w:line="400" w:lineRule="exact"/>
        <w:jc w:val="center"/>
        <w:rPr>
          <w:rFonts w:hint="eastAsia"/>
          <w:b/>
          <w:bCs/>
          <w:sz w:val="28"/>
          <w:szCs w:val="22"/>
        </w:rPr>
      </w:pPr>
    </w:p>
    <w:p>
      <w:pPr>
        <w:tabs>
          <w:tab w:val="left" w:pos="2580"/>
          <w:tab w:val="left" w:pos="5940"/>
        </w:tabs>
        <w:autoSpaceDE w:val="0"/>
        <w:autoSpaceDN w:val="0"/>
        <w:adjustRightInd w:val="0"/>
        <w:snapToGrid w:val="0"/>
        <w:spacing w:line="400" w:lineRule="exact"/>
        <w:jc w:val="center"/>
        <w:rPr>
          <w:rFonts w:hint="eastAsia"/>
          <w:b/>
          <w:bCs/>
          <w:sz w:val="28"/>
          <w:szCs w:val="22"/>
        </w:rPr>
      </w:pPr>
    </w:p>
    <w:p>
      <w:pPr>
        <w:tabs>
          <w:tab w:val="left" w:pos="2580"/>
          <w:tab w:val="left" w:pos="5940"/>
        </w:tabs>
        <w:autoSpaceDE w:val="0"/>
        <w:autoSpaceDN w:val="0"/>
        <w:adjustRightInd w:val="0"/>
        <w:snapToGrid w:val="0"/>
        <w:spacing w:line="400" w:lineRule="exact"/>
        <w:jc w:val="center"/>
        <w:rPr>
          <w:rFonts w:hint="eastAsia"/>
          <w:b/>
          <w:bCs/>
          <w:sz w:val="28"/>
          <w:szCs w:val="22"/>
        </w:rPr>
      </w:pPr>
    </w:p>
    <w:p>
      <w:pPr>
        <w:tabs>
          <w:tab w:val="left" w:pos="2580"/>
          <w:tab w:val="left" w:pos="5940"/>
        </w:tabs>
        <w:autoSpaceDE w:val="0"/>
        <w:autoSpaceDN w:val="0"/>
        <w:adjustRightInd w:val="0"/>
        <w:snapToGrid w:val="0"/>
        <w:spacing w:line="400" w:lineRule="exact"/>
        <w:jc w:val="center"/>
        <w:rPr>
          <w:rFonts w:hint="eastAsia"/>
          <w:b/>
          <w:bCs/>
          <w:sz w:val="28"/>
          <w:szCs w:val="22"/>
        </w:rPr>
      </w:pPr>
    </w:p>
    <w:p>
      <w:pPr>
        <w:tabs>
          <w:tab w:val="left" w:pos="2580"/>
          <w:tab w:val="left" w:pos="5940"/>
        </w:tabs>
        <w:autoSpaceDE w:val="0"/>
        <w:autoSpaceDN w:val="0"/>
        <w:adjustRightInd w:val="0"/>
        <w:snapToGrid w:val="0"/>
        <w:spacing w:line="400" w:lineRule="exact"/>
        <w:jc w:val="center"/>
        <w:rPr>
          <w:rFonts w:hint="eastAsia"/>
          <w:b/>
          <w:bCs/>
          <w:sz w:val="28"/>
          <w:szCs w:val="22"/>
        </w:rPr>
      </w:pPr>
    </w:p>
    <w:p>
      <w:pPr>
        <w:tabs>
          <w:tab w:val="left" w:pos="2580"/>
          <w:tab w:val="left" w:pos="5940"/>
        </w:tabs>
        <w:autoSpaceDE w:val="0"/>
        <w:autoSpaceDN w:val="0"/>
        <w:adjustRightInd w:val="0"/>
        <w:snapToGrid w:val="0"/>
        <w:spacing w:line="400" w:lineRule="exact"/>
        <w:jc w:val="center"/>
        <w:rPr>
          <w:rFonts w:hint="eastAsia"/>
          <w:b/>
          <w:bCs/>
          <w:sz w:val="28"/>
          <w:szCs w:val="22"/>
        </w:rPr>
      </w:pPr>
    </w:p>
    <w:p>
      <w:pPr>
        <w:tabs>
          <w:tab w:val="left" w:pos="2580"/>
          <w:tab w:val="left" w:pos="5940"/>
        </w:tabs>
        <w:autoSpaceDE w:val="0"/>
        <w:autoSpaceDN w:val="0"/>
        <w:adjustRightInd w:val="0"/>
        <w:snapToGrid w:val="0"/>
        <w:spacing w:line="400" w:lineRule="exact"/>
        <w:jc w:val="center"/>
        <w:rPr>
          <w:rFonts w:hint="eastAsia"/>
          <w:b/>
          <w:bCs/>
          <w:sz w:val="28"/>
          <w:szCs w:val="22"/>
        </w:rPr>
      </w:pPr>
    </w:p>
    <w:p>
      <w:pPr>
        <w:tabs>
          <w:tab w:val="left" w:pos="2580"/>
          <w:tab w:val="left" w:pos="5940"/>
        </w:tabs>
        <w:autoSpaceDE w:val="0"/>
        <w:autoSpaceDN w:val="0"/>
        <w:adjustRightInd w:val="0"/>
        <w:snapToGrid w:val="0"/>
        <w:spacing w:line="400" w:lineRule="exact"/>
        <w:jc w:val="center"/>
        <w:rPr>
          <w:rFonts w:hint="eastAsia"/>
          <w:b/>
          <w:bCs/>
          <w:sz w:val="28"/>
          <w:szCs w:val="22"/>
        </w:rPr>
      </w:pPr>
    </w:p>
    <w:p>
      <w:pPr>
        <w:tabs>
          <w:tab w:val="left" w:pos="2580"/>
          <w:tab w:val="left" w:pos="5940"/>
        </w:tabs>
        <w:autoSpaceDE w:val="0"/>
        <w:autoSpaceDN w:val="0"/>
        <w:adjustRightInd w:val="0"/>
        <w:snapToGrid w:val="0"/>
        <w:spacing w:line="400" w:lineRule="exact"/>
        <w:jc w:val="center"/>
        <w:rPr>
          <w:rFonts w:hint="eastAsia"/>
          <w:b/>
          <w:bCs/>
          <w:sz w:val="28"/>
          <w:szCs w:val="22"/>
        </w:rPr>
      </w:pPr>
    </w:p>
    <w:p>
      <w:pPr>
        <w:tabs>
          <w:tab w:val="left" w:pos="2580"/>
          <w:tab w:val="left" w:pos="5940"/>
        </w:tabs>
        <w:autoSpaceDE w:val="0"/>
        <w:autoSpaceDN w:val="0"/>
        <w:adjustRightInd w:val="0"/>
        <w:snapToGrid w:val="0"/>
        <w:spacing w:line="400" w:lineRule="exact"/>
        <w:jc w:val="center"/>
        <w:rPr>
          <w:rFonts w:hint="eastAsia"/>
          <w:b/>
          <w:bCs/>
          <w:sz w:val="28"/>
          <w:szCs w:val="22"/>
        </w:rPr>
      </w:pPr>
    </w:p>
    <w:p>
      <w:pPr>
        <w:tabs>
          <w:tab w:val="left" w:pos="2580"/>
          <w:tab w:val="left" w:pos="5940"/>
        </w:tabs>
        <w:autoSpaceDE w:val="0"/>
        <w:autoSpaceDN w:val="0"/>
        <w:adjustRightInd w:val="0"/>
        <w:snapToGrid w:val="0"/>
        <w:spacing w:line="400" w:lineRule="exact"/>
        <w:jc w:val="center"/>
        <w:rPr>
          <w:rFonts w:hint="eastAsia"/>
          <w:b/>
          <w:bCs/>
          <w:sz w:val="28"/>
          <w:szCs w:val="22"/>
        </w:rPr>
      </w:pPr>
    </w:p>
    <w:p>
      <w:pPr>
        <w:tabs>
          <w:tab w:val="left" w:pos="2580"/>
          <w:tab w:val="left" w:pos="5940"/>
        </w:tabs>
        <w:autoSpaceDE w:val="0"/>
        <w:autoSpaceDN w:val="0"/>
        <w:adjustRightInd w:val="0"/>
        <w:snapToGrid w:val="0"/>
        <w:spacing w:line="400" w:lineRule="exact"/>
        <w:jc w:val="center"/>
        <w:rPr>
          <w:rFonts w:hint="eastAsia"/>
          <w:b/>
          <w:bCs/>
          <w:sz w:val="28"/>
          <w:szCs w:val="22"/>
        </w:rPr>
      </w:pPr>
    </w:p>
    <w:p>
      <w:pPr>
        <w:tabs>
          <w:tab w:val="left" w:pos="2580"/>
          <w:tab w:val="left" w:pos="5940"/>
        </w:tabs>
        <w:autoSpaceDE w:val="0"/>
        <w:autoSpaceDN w:val="0"/>
        <w:adjustRightInd w:val="0"/>
        <w:snapToGrid w:val="0"/>
        <w:spacing w:line="400" w:lineRule="exact"/>
        <w:jc w:val="center"/>
        <w:rPr>
          <w:rFonts w:hint="eastAsia"/>
          <w:b/>
          <w:bCs/>
          <w:sz w:val="28"/>
          <w:szCs w:val="22"/>
        </w:rPr>
      </w:pPr>
    </w:p>
    <w:p>
      <w:pPr>
        <w:tabs>
          <w:tab w:val="left" w:pos="2580"/>
          <w:tab w:val="left" w:pos="5940"/>
        </w:tabs>
        <w:autoSpaceDE w:val="0"/>
        <w:autoSpaceDN w:val="0"/>
        <w:adjustRightInd w:val="0"/>
        <w:snapToGrid w:val="0"/>
        <w:spacing w:line="400" w:lineRule="exact"/>
        <w:jc w:val="center"/>
        <w:rPr>
          <w:rFonts w:hint="eastAsia"/>
          <w:b/>
          <w:bCs/>
          <w:sz w:val="28"/>
          <w:szCs w:val="22"/>
        </w:rPr>
      </w:pPr>
    </w:p>
    <w:p>
      <w:pPr>
        <w:tabs>
          <w:tab w:val="left" w:pos="2580"/>
          <w:tab w:val="left" w:pos="5940"/>
        </w:tabs>
        <w:autoSpaceDE w:val="0"/>
        <w:autoSpaceDN w:val="0"/>
        <w:adjustRightInd w:val="0"/>
        <w:snapToGrid w:val="0"/>
        <w:spacing w:line="400" w:lineRule="exact"/>
        <w:jc w:val="center"/>
        <w:rPr>
          <w:rFonts w:hint="eastAsia"/>
          <w:b/>
          <w:bCs/>
          <w:sz w:val="28"/>
          <w:szCs w:val="22"/>
        </w:rPr>
      </w:pPr>
    </w:p>
    <w:p>
      <w:pPr>
        <w:tabs>
          <w:tab w:val="left" w:pos="2580"/>
          <w:tab w:val="left" w:pos="5940"/>
        </w:tabs>
        <w:autoSpaceDE w:val="0"/>
        <w:autoSpaceDN w:val="0"/>
        <w:adjustRightInd w:val="0"/>
        <w:snapToGrid w:val="0"/>
        <w:spacing w:line="400" w:lineRule="exact"/>
        <w:jc w:val="center"/>
        <w:rPr>
          <w:rFonts w:hint="eastAsia"/>
          <w:b/>
          <w:bCs/>
          <w:sz w:val="28"/>
          <w:szCs w:val="22"/>
        </w:rPr>
      </w:pPr>
    </w:p>
    <w:p>
      <w:pPr>
        <w:tabs>
          <w:tab w:val="left" w:pos="2580"/>
          <w:tab w:val="left" w:pos="5940"/>
        </w:tabs>
        <w:autoSpaceDE w:val="0"/>
        <w:autoSpaceDN w:val="0"/>
        <w:adjustRightInd w:val="0"/>
        <w:snapToGrid w:val="0"/>
        <w:spacing w:line="400" w:lineRule="exact"/>
        <w:jc w:val="center"/>
        <w:rPr>
          <w:rFonts w:hint="eastAsia"/>
          <w:b/>
          <w:bCs/>
          <w:sz w:val="28"/>
          <w:szCs w:val="22"/>
        </w:rPr>
      </w:pPr>
    </w:p>
    <w:p>
      <w:pPr>
        <w:tabs>
          <w:tab w:val="left" w:pos="2580"/>
          <w:tab w:val="left" w:pos="5940"/>
        </w:tabs>
        <w:autoSpaceDE w:val="0"/>
        <w:autoSpaceDN w:val="0"/>
        <w:adjustRightInd w:val="0"/>
        <w:snapToGrid w:val="0"/>
        <w:spacing w:line="400" w:lineRule="exact"/>
        <w:jc w:val="center"/>
        <w:rPr>
          <w:rFonts w:hint="eastAsia"/>
          <w:b/>
          <w:bCs/>
          <w:sz w:val="28"/>
          <w:szCs w:val="22"/>
        </w:rPr>
      </w:pPr>
    </w:p>
    <w:p>
      <w:pPr>
        <w:tabs>
          <w:tab w:val="left" w:pos="2580"/>
          <w:tab w:val="left" w:pos="5940"/>
        </w:tabs>
        <w:autoSpaceDE w:val="0"/>
        <w:autoSpaceDN w:val="0"/>
        <w:adjustRightInd w:val="0"/>
        <w:snapToGrid w:val="0"/>
        <w:spacing w:line="400" w:lineRule="exact"/>
        <w:jc w:val="center"/>
        <w:rPr>
          <w:rFonts w:hint="eastAsia"/>
          <w:b/>
          <w:bCs/>
          <w:sz w:val="28"/>
          <w:szCs w:val="22"/>
        </w:rPr>
      </w:pPr>
    </w:p>
    <w:p>
      <w:pPr>
        <w:tabs>
          <w:tab w:val="left" w:pos="2580"/>
          <w:tab w:val="left" w:pos="5940"/>
        </w:tabs>
        <w:autoSpaceDE w:val="0"/>
        <w:autoSpaceDN w:val="0"/>
        <w:adjustRightInd w:val="0"/>
        <w:snapToGrid w:val="0"/>
        <w:spacing w:line="400" w:lineRule="exact"/>
        <w:jc w:val="center"/>
        <w:rPr>
          <w:rFonts w:hint="eastAsia"/>
          <w:b/>
          <w:bCs/>
          <w:sz w:val="28"/>
          <w:szCs w:val="22"/>
        </w:rPr>
      </w:pPr>
    </w:p>
    <w:p>
      <w:pPr>
        <w:tabs>
          <w:tab w:val="left" w:pos="2580"/>
          <w:tab w:val="left" w:pos="5940"/>
        </w:tabs>
        <w:autoSpaceDE w:val="0"/>
        <w:autoSpaceDN w:val="0"/>
        <w:adjustRightInd w:val="0"/>
        <w:snapToGrid w:val="0"/>
        <w:spacing w:line="400" w:lineRule="exact"/>
        <w:jc w:val="center"/>
        <w:rPr>
          <w:rFonts w:hint="eastAsia"/>
          <w:b/>
          <w:bCs/>
          <w:sz w:val="28"/>
          <w:szCs w:val="22"/>
        </w:rPr>
      </w:pPr>
    </w:p>
    <w:p>
      <w:pPr>
        <w:tabs>
          <w:tab w:val="left" w:pos="2580"/>
          <w:tab w:val="left" w:pos="5940"/>
        </w:tabs>
        <w:autoSpaceDE w:val="0"/>
        <w:autoSpaceDN w:val="0"/>
        <w:adjustRightInd w:val="0"/>
        <w:snapToGrid w:val="0"/>
        <w:spacing w:line="400" w:lineRule="exact"/>
        <w:jc w:val="center"/>
        <w:rPr>
          <w:rFonts w:hint="eastAsia"/>
          <w:b/>
          <w:bCs/>
          <w:sz w:val="28"/>
          <w:szCs w:val="22"/>
        </w:rPr>
      </w:pPr>
    </w:p>
    <w:p>
      <w:pPr>
        <w:tabs>
          <w:tab w:val="left" w:pos="2580"/>
          <w:tab w:val="left" w:pos="5940"/>
        </w:tabs>
        <w:autoSpaceDE w:val="0"/>
        <w:autoSpaceDN w:val="0"/>
        <w:adjustRightInd w:val="0"/>
        <w:snapToGrid w:val="0"/>
        <w:spacing w:line="400" w:lineRule="exact"/>
        <w:jc w:val="center"/>
        <w:rPr>
          <w:rFonts w:hint="eastAsia"/>
          <w:b/>
          <w:bCs/>
          <w:sz w:val="28"/>
          <w:szCs w:val="22"/>
        </w:rPr>
      </w:pPr>
    </w:p>
    <w:p>
      <w:pPr>
        <w:tabs>
          <w:tab w:val="left" w:pos="2580"/>
          <w:tab w:val="left" w:pos="5940"/>
        </w:tabs>
        <w:autoSpaceDE w:val="0"/>
        <w:autoSpaceDN w:val="0"/>
        <w:adjustRightInd w:val="0"/>
        <w:snapToGrid w:val="0"/>
        <w:spacing w:line="400" w:lineRule="exact"/>
        <w:jc w:val="center"/>
        <w:rPr>
          <w:rFonts w:hint="eastAsia"/>
          <w:sz w:val="28"/>
          <w:szCs w:val="28"/>
        </w:rPr>
      </w:pPr>
      <w:r>
        <w:rPr>
          <w:b/>
          <w:bCs/>
          <w:sz w:val="28"/>
          <w:szCs w:val="22"/>
        </w:rPr>
        <w:br w:type="page"/>
      </w:r>
      <w:bookmarkStart w:id="509" w:name="_Toc535241233"/>
      <w:bookmarkStart w:id="510" w:name="_Toc535241090"/>
      <w:bookmarkStart w:id="511" w:name="_Toc535241156"/>
      <w:bookmarkStart w:id="512" w:name="_Toc460660268"/>
      <w:bookmarkStart w:id="513" w:name="_Toc390411641"/>
      <w:bookmarkStart w:id="514" w:name="_Toc421917022"/>
      <w:bookmarkStart w:id="515" w:name="_Toc460227153"/>
      <w:r>
        <w:rPr>
          <w:rFonts w:hint="eastAsia"/>
          <w:sz w:val="28"/>
          <w:szCs w:val="28"/>
        </w:rPr>
        <w:t>七、</w:t>
      </w:r>
      <w:bookmarkEnd w:id="509"/>
      <w:bookmarkEnd w:id="510"/>
      <w:bookmarkEnd w:id="511"/>
      <w:bookmarkEnd w:id="512"/>
      <w:bookmarkEnd w:id="513"/>
      <w:bookmarkEnd w:id="514"/>
      <w:bookmarkEnd w:id="515"/>
      <w:r>
        <w:rPr>
          <w:rFonts w:hint="eastAsia"/>
          <w:sz w:val="28"/>
          <w:szCs w:val="28"/>
        </w:rPr>
        <w:t>技术支持资料</w:t>
      </w:r>
    </w:p>
    <w:p>
      <w:pPr>
        <w:pStyle w:val="4"/>
        <w:jc w:val="center"/>
        <w:rPr>
          <w:rFonts w:hint="eastAsia" w:ascii="Times New Roman" w:hAnsi="Times New Roman"/>
          <w:szCs w:val="22"/>
        </w:rPr>
      </w:pPr>
      <w:r>
        <w:rPr>
          <w:rFonts w:hint="eastAsia" w:ascii="Times New Roman" w:hAnsi="Times New Roman"/>
          <w:szCs w:val="22"/>
        </w:rPr>
        <w:t>（投标人对照评标办法要求提供相关证明资料）</w:t>
      </w:r>
    </w:p>
    <w:p>
      <w:pPr>
        <w:pStyle w:val="4"/>
        <w:jc w:val="center"/>
        <w:rPr>
          <w:rFonts w:ascii="Times New Roman" w:hAnsi="Times New Roman"/>
          <w:sz w:val="28"/>
          <w:szCs w:val="28"/>
        </w:rPr>
      </w:pPr>
      <w:r>
        <w:rPr>
          <w:rFonts w:ascii="Times New Roman" w:hAnsi="Times New Roman"/>
          <w:szCs w:val="22"/>
        </w:rPr>
        <w:br w:type="page"/>
      </w:r>
      <w:bookmarkStart w:id="516" w:name="_Toc535241232"/>
      <w:bookmarkStart w:id="517" w:name="_Toc535241089"/>
      <w:bookmarkStart w:id="518" w:name="_Toc535241135"/>
      <w:r>
        <w:rPr>
          <w:rFonts w:hint="eastAsia" w:ascii="Times New Roman" w:hAnsi="Times New Roman"/>
          <w:sz w:val="28"/>
          <w:szCs w:val="28"/>
        </w:rPr>
        <w:t>八、</w:t>
      </w:r>
      <w:bookmarkEnd w:id="516"/>
      <w:bookmarkEnd w:id="517"/>
      <w:bookmarkEnd w:id="518"/>
      <w:r>
        <w:rPr>
          <w:rFonts w:hint="eastAsia" w:ascii="Times New Roman" w:hAnsi="Times New Roman"/>
          <w:sz w:val="28"/>
          <w:szCs w:val="28"/>
        </w:rPr>
        <w:t>技术服务和质保期服务计划</w:t>
      </w:r>
    </w:p>
    <w:p>
      <w:pPr>
        <w:pStyle w:val="4"/>
        <w:jc w:val="center"/>
        <w:rPr>
          <w:rFonts w:hint="eastAsia" w:ascii="Times New Roman" w:hAnsi="Times New Roman"/>
        </w:rPr>
      </w:pPr>
      <w:r>
        <w:rPr>
          <w:rFonts w:hint="eastAsia"/>
        </w:rPr>
        <w:tab/>
      </w:r>
      <w:r>
        <w:rPr>
          <w:rFonts w:hint="eastAsia"/>
          <w:lang w:eastAsia="zh-CN"/>
        </w:rPr>
        <w:t>（</w:t>
      </w:r>
      <w:r>
        <w:rPr>
          <w:rFonts w:hint="eastAsia" w:ascii="Times New Roman" w:hAnsi="Times New Roman"/>
        </w:rPr>
        <w:t>投标人自行制作，格式自拟</w:t>
      </w:r>
      <w:r>
        <w:rPr>
          <w:rFonts w:hint="eastAsia" w:ascii="Times New Roman" w:hAnsi="Times New Roman"/>
          <w:lang w:eastAsia="zh-CN"/>
        </w:rPr>
        <w:t>）</w:t>
      </w:r>
    </w:p>
    <w:p>
      <w:pPr>
        <w:tabs>
          <w:tab w:val="center" w:pos="4479"/>
        </w:tabs>
        <w:jc w:val="left"/>
        <w:rPr>
          <w:rFonts w:hint="eastAsia"/>
        </w:rPr>
        <w:sectPr>
          <w:footnotePr>
            <w:numFmt w:val="decimalEnclosedCircleChinese"/>
            <w:numRestart w:val="eachPage"/>
          </w:footnotePr>
          <w:pgSz w:w="11907" w:h="16840"/>
          <w:pgMar w:top="1474" w:right="1474" w:bottom="1474" w:left="1474" w:header="799" w:footer="907" w:gutter="0"/>
          <w:cols w:space="720" w:num="1"/>
          <w:docGrid w:linePitch="271" w:charSpace="0"/>
        </w:sectPr>
      </w:pPr>
    </w:p>
    <w:p>
      <w:pPr>
        <w:pStyle w:val="4"/>
        <w:jc w:val="center"/>
        <w:rPr>
          <w:rFonts w:hint="eastAsia" w:ascii="Times New Roman" w:hAnsi="Times New Roman"/>
          <w:sz w:val="28"/>
          <w:szCs w:val="28"/>
        </w:rPr>
      </w:pPr>
      <w:r>
        <w:rPr>
          <w:rFonts w:hint="eastAsia" w:ascii="Times New Roman" w:hAnsi="Times New Roman"/>
          <w:sz w:val="28"/>
          <w:szCs w:val="28"/>
        </w:rPr>
        <w:t>九、安装、调试方案</w:t>
      </w:r>
    </w:p>
    <w:p>
      <w:pPr>
        <w:pStyle w:val="4"/>
        <w:jc w:val="center"/>
        <w:rPr>
          <w:rFonts w:hint="eastAsia" w:ascii="Times New Roman" w:hAnsi="Times New Roman"/>
        </w:rPr>
      </w:pPr>
      <w:r>
        <w:rPr>
          <w:rFonts w:hint="eastAsia"/>
        </w:rPr>
        <w:tab/>
      </w:r>
      <w:r>
        <w:rPr>
          <w:rFonts w:hint="eastAsia"/>
          <w:lang w:eastAsia="zh-CN"/>
        </w:rPr>
        <w:t>（投标</w:t>
      </w:r>
      <w:r>
        <w:rPr>
          <w:rFonts w:hint="eastAsia" w:ascii="Times New Roman" w:hAnsi="Times New Roman"/>
        </w:rPr>
        <w:t>人自行制作，格式自拟</w:t>
      </w:r>
      <w:r>
        <w:rPr>
          <w:rFonts w:hint="eastAsia" w:ascii="Times New Roman" w:hAnsi="Times New Roman"/>
          <w:lang w:eastAsia="zh-CN"/>
        </w:rPr>
        <w:t>）</w:t>
      </w:r>
    </w:p>
    <w:p>
      <w:pPr>
        <w:tabs>
          <w:tab w:val="center" w:pos="4479"/>
        </w:tabs>
        <w:jc w:val="left"/>
        <w:sectPr>
          <w:footnotePr>
            <w:numFmt w:val="decimalEnclosedCircleChinese"/>
            <w:numRestart w:val="eachPage"/>
          </w:footnotePr>
          <w:pgSz w:w="11907" w:h="16840"/>
          <w:pgMar w:top="1474" w:right="1474" w:bottom="1474" w:left="1474" w:header="799" w:footer="907" w:gutter="0"/>
          <w:cols w:space="720" w:num="1"/>
          <w:docGrid w:linePitch="271" w:charSpace="0"/>
        </w:sectPr>
      </w:pPr>
    </w:p>
    <w:p>
      <w:pPr>
        <w:pStyle w:val="4"/>
        <w:jc w:val="center"/>
        <w:rPr>
          <w:rFonts w:hint="eastAsia" w:ascii="Times New Roman" w:hAnsi="Times New Roman"/>
          <w:sz w:val="28"/>
          <w:szCs w:val="28"/>
        </w:rPr>
      </w:pPr>
      <w:r>
        <w:rPr>
          <w:rFonts w:hint="eastAsia" w:ascii="Times New Roman" w:hAnsi="Times New Roman"/>
          <w:sz w:val="28"/>
          <w:szCs w:val="28"/>
        </w:rPr>
        <w:t>十、其他资料</w:t>
      </w:r>
      <w:bookmarkEnd w:id="505"/>
      <w:bookmarkEnd w:id="506"/>
      <w:bookmarkEnd w:id="507"/>
      <w:bookmarkEnd w:id="508"/>
    </w:p>
    <w:p>
      <w:pPr>
        <w:tabs>
          <w:tab w:val="left" w:pos="5760"/>
        </w:tabs>
        <w:autoSpaceDE w:val="0"/>
        <w:autoSpaceDN w:val="0"/>
        <w:adjustRightInd w:val="0"/>
        <w:spacing w:line="300" w:lineRule="exact"/>
        <w:ind w:right="11" w:firstLine="420" w:firstLineChars="200"/>
        <w:jc w:val="left"/>
        <w:rPr>
          <w:rFonts w:hint="eastAsia"/>
          <w:szCs w:val="22"/>
          <w:highlight w:val="yellow"/>
        </w:rPr>
      </w:pPr>
      <w:r>
        <w:rPr>
          <w:rFonts w:hint="eastAsia"/>
          <w:szCs w:val="22"/>
        </w:rPr>
        <w:t>投标人对照评标办法要求，自行提供其他相关资料</w:t>
      </w:r>
      <w:r>
        <w:rPr>
          <w:rFonts w:hint="eastAsia"/>
          <w:szCs w:val="22"/>
          <w:highlight w:val="yellow"/>
        </w:rPr>
        <w:t>（如：管理体系、本细化服务、制造厂家配套的售后承诺及质保期等）</w:t>
      </w:r>
    </w:p>
    <w:p>
      <w:pPr>
        <w:spacing w:line="440" w:lineRule="exact"/>
        <w:ind w:firstLine="2158" w:firstLineChars="1028"/>
        <w:rPr>
          <w:color w:val="000000"/>
          <w:szCs w:val="22"/>
        </w:rPr>
      </w:pPr>
    </w:p>
    <w:p>
      <w:pPr>
        <w:spacing w:line="440" w:lineRule="exact"/>
        <w:ind w:firstLine="440" w:firstLineChars="200"/>
        <w:rPr>
          <w:rFonts w:cs="楷体"/>
          <w:bCs/>
          <w:snapToGrid w:val="0"/>
          <w:color w:val="000000"/>
          <w:kern w:val="0"/>
          <w:sz w:val="22"/>
          <w:szCs w:val="22"/>
        </w:rPr>
      </w:pPr>
      <w:r>
        <w:rPr>
          <w:rFonts w:hint="eastAsia"/>
          <w:sz w:val="22"/>
          <w:szCs w:val="22"/>
        </w:rPr>
        <w:t>注：对照评标办法要求，由投标人自行提供相关证明。如证明或声明与实际不符，将被取消投标或中标资格，其投标保证金按规定予以处理。</w:t>
      </w:r>
    </w:p>
    <w:p>
      <w:pPr>
        <w:autoSpaceDE w:val="0"/>
        <w:autoSpaceDN w:val="0"/>
        <w:adjustRightInd w:val="0"/>
        <w:snapToGrid w:val="0"/>
        <w:spacing w:line="360" w:lineRule="auto"/>
        <w:jc w:val="left"/>
        <w:rPr>
          <w:rFonts w:hint="eastAsia"/>
          <w:snapToGrid w:val="0"/>
          <w:kern w:val="0"/>
          <w:sz w:val="22"/>
          <w:szCs w:val="22"/>
        </w:rPr>
      </w:pPr>
    </w:p>
    <w:p>
      <w:pPr>
        <w:tabs>
          <w:tab w:val="left" w:pos="5760"/>
        </w:tabs>
        <w:autoSpaceDE w:val="0"/>
        <w:autoSpaceDN w:val="0"/>
        <w:adjustRightInd w:val="0"/>
        <w:spacing w:line="300" w:lineRule="exact"/>
        <w:ind w:right="11"/>
        <w:rPr>
          <w:szCs w:val="22"/>
        </w:rPr>
      </w:pPr>
    </w:p>
    <w:p>
      <w:pPr>
        <w:tabs>
          <w:tab w:val="left" w:pos="5760"/>
        </w:tabs>
        <w:autoSpaceDE w:val="0"/>
        <w:autoSpaceDN w:val="0"/>
        <w:adjustRightInd w:val="0"/>
        <w:spacing w:line="300" w:lineRule="exact"/>
        <w:ind w:right="11"/>
        <w:rPr>
          <w:szCs w:val="22"/>
        </w:rPr>
      </w:pPr>
    </w:p>
    <w:p>
      <w:pPr>
        <w:tabs>
          <w:tab w:val="left" w:pos="5760"/>
        </w:tabs>
        <w:autoSpaceDE w:val="0"/>
        <w:autoSpaceDN w:val="0"/>
        <w:adjustRightInd w:val="0"/>
        <w:spacing w:line="300" w:lineRule="exact"/>
        <w:ind w:right="11"/>
        <w:rPr>
          <w:rFonts w:hint="eastAsia"/>
          <w:b/>
          <w:sz w:val="28"/>
          <w:szCs w:val="22"/>
        </w:rPr>
      </w:pPr>
    </w:p>
    <w:p>
      <w:pPr>
        <w:rPr>
          <w:rFonts w:hint="eastAsia"/>
          <w:u w:val="single"/>
        </w:rPr>
      </w:pPr>
      <w:r>
        <w:rPr>
          <w:rFonts w:hint="eastAsia"/>
        </w:rPr>
        <w:br w:type="page"/>
      </w:r>
    </w:p>
    <w:p>
      <w:pPr>
        <w:tabs>
          <w:tab w:val="left" w:pos="2580"/>
          <w:tab w:val="left" w:pos="5940"/>
        </w:tabs>
        <w:autoSpaceDE w:val="0"/>
        <w:autoSpaceDN w:val="0"/>
        <w:adjustRightInd w:val="0"/>
        <w:snapToGrid w:val="0"/>
        <w:spacing w:line="360" w:lineRule="auto"/>
        <w:jc w:val="left"/>
        <w:rPr>
          <w:rFonts w:hint="eastAsia"/>
          <w:kern w:val="0"/>
          <w:sz w:val="28"/>
          <w:u w:val="single"/>
        </w:rPr>
      </w:pPr>
    </w:p>
    <w:p>
      <w:pPr>
        <w:tabs>
          <w:tab w:val="left" w:pos="3395"/>
          <w:tab w:val="left" w:pos="5940"/>
        </w:tabs>
        <w:autoSpaceDE w:val="0"/>
        <w:autoSpaceDN w:val="0"/>
        <w:adjustRightInd w:val="0"/>
        <w:snapToGrid w:val="0"/>
        <w:spacing w:line="360" w:lineRule="auto"/>
        <w:ind w:firstLine="1280" w:firstLineChars="400"/>
        <w:jc w:val="left"/>
        <w:rPr>
          <w:rFonts w:hint="eastAsia" w:eastAsia="黑体"/>
          <w:b/>
          <w:bCs/>
          <w:kern w:val="0"/>
          <w:sz w:val="28"/>
          <w:szCs w:val="22"/>
        </w:rPr>
      </w:pPr>
      <w:r>
        <w:rPr>
          <w:rFonts w:hint="eastAsia" w:eastAsia="黑体"/>
          <w:sz w:val="32"/>
          <w:szCs w:val="32"/>
          <w:u w:val="single"/>
        </w:rPr>
        <w:t xml:space="preserve">                </w:t>
      </w:r>
      <w:r>
        <w:rPr>
          <w:rFonts w:hint="eastAsia" w:eastAsia="黑体"/>
          <w:sz w:val="28"/>
          <w:szCs w:val="28"/>
        </w:rPr>
        <w:t>（项目名称）招标项目</w:t>
      </w:r>
    </w:p>
    <w:p>
      <w:pPr>
        <w:tabs>
          <w:tab w:val="left" w:pos="3600"/>
          <w:tab w:val="left" w:pos="4480"/>
          <w:tab w:val="left" w:pos="5360"/>
        </w:tabs>
        <w:autoSpaceDE w:val="0"/>
        <w:autoSpaceDN w:val="0"/>
        <w:adjustRightInd w:val="0"/>
        <w:snapToGrid w:val="0"/>
        <w:spacing w:line="360" w:lineRule="auto"/>
        <w:jc w:val="left"/>
        <w:rPr>
          <w:rFonts w:hint="eastAsia"/>
          <w:kern w:val="0"/>
          <w:sz w:val="44"/>
          <w:szCs w:val="22"/>
        </w:rPr>
      </w:pPr>
    </w:p>
    <w:p>
      <w:pPr>
        <w:tabs>
          <w:tab w:val="left" w:pos="3600"/>
          <w:tab w:val="left" w:pos="4480"/>
          <w:tab w:val="left" w:pos="5360"/>
        </w:tabs>
        <w:autoSpaceDE w:val="0"/>
        <w:autoSpaceDN w:val="0"/>
        <w:adjustRightInd w:val="0"/>
        <w:snapToGrid w:val="0"/>
        <w:spacing w:line="360" w:lineRule="auto"/>
        <w:jc w:val="left"/>
        <w:rPr>
          <w:rFonts w:hint="eastAsia"/>
          <w:kern w:val="0"/>
          <w:sz w:val="44"/>
          <w:szCs w:val="22"/>
        </w:rPr>
      </w:pPr>
    </w:p>
    <w:p>
      <w:pPr>
        <w:pStyle w:val="3"/>
        <w:jc w:val="center"/>
        <w:rPr>
          <w:rFonts w:hint="eastAsia" w:ascii="Times New Roman" w:hAnsi="Times New Roman" w:eastAsia="黑体"/>
          <w:b w:val="0"/>
          <w:sz w:val="44"/>
          <w:szCs w:val="44"/>
        </w:rPr>
      </w:pPr>
      <w:bookmarkStart w:id="519" w:name="_Toc26781120"/>
      <w:r>
        <w:rPr>
          <w:rFonts w:hint="eastAsia" w:ascii="Times New Roman" w:hAnsi="Times New Roman" w:eastAsia="黑体"/>
          <w:b w:val="0"/>
          <w:sz w:val="44"/>
          <w:szCs w:val="44"/>
        </w:rPr>
        <w:t>投标文件</w:t>
      </w:r>
    </w:p>
    <w:p>
      <w:pPr>
        <w:pStyle w:val="3"/>
        <w:jc w:val="center"/>
        <w:rPr>
          <w:rFonts w:hint="eastAsia" w:ascii="Times New Roman" w:hAnsi="Times New Roman" w:eastAsia="黑体"/>
          <w:b w:val="0"/>
        </w:rPr>
      </w:pPr>
      <w:r>
        <w:rPr>
          <w:rFonts w:hint="eastAsia" w:ascii="Times New Roman" w:hAnsi="Times New Roman" w:eastAsia="黑体"/>
          <w:b w:val="0"/>
        </w:rPr>
        <w:t>（报价文件）</w:t>
      </w:r>
      <w:bookmarkEnd w:id="519"/>
    </w:p>
    <w:p>
      <w:pPr>
        <w:autoSpaceDE w:val="0"/>
        <w:autoSpaceDN w:val="0"/>
        <w:adjustRightInd w:val="0"/>
        <w:snapToGrid w:val="0"/>
        <w:spacing w:line="360" w:lineRule="auto"/>
        <w:jc w:val="left"/>
        <w:rPr>
          <w:rFonts w:hint="eastAsia"/>
          <w:b/>
          <w:bCs/>
          <w:kern w:val="0"/>
          <w:sz w:val="20"/>
          <w:szCs w:val="22"/>
        </w:rPr>
      </w:pPr>
    </w:p>
    <w:p>
      <w:pPr>
        <w:autoSpaceDE w:val="0"/>
        <w:autoSpaceDN w:val="0"/>
        <w:adjustRightInd w:val="0"/>
        <w:snapToGrid w:val="0"/>
        <w:spacing w:line="360" w:lineRule="auto"/>
        <w:jc w:val="left"/>
        <w:rPr>
          <w:rFonts w:hint="eastAsia"/>
          <w:b/>
          <w:bCs/>
          <w:kern w:val="0"/>
          <w:sz w:val="20"/>
          <w:szCs w:val="22"/>
        </w:rPr>
      </w:pPr>
    </w:p>
    <w:p>
      <w:pPr>
        <w:autoSpaceDE w:val="0"/>
        <w:autoSpaceDN w:val="0"/>
        <w:adjustRightInd w:val="0"/>
        <w:snapToGrid w:val="0"/>
        <w:spacing w:line="360" w:lineRule="auto"/>
        <w:jc w:val="left"/>
        <w:rPr>
          <w:rFonts w:hint="eastAsia"/>
          <w:b/>
          <w:bCs/>
          <w:kern w:val="0"/>
          <w:sz w:val="20"/>
          <w:szCs w:val="22"/>
        </w:rPr>
      </w:pPr>
    </w:p>
    <w:p>
      <w:pPr>
        <w:autoSpaceDE w:val="0"/>
        <w:autoSpaceDN w:val="0"/>
        <w:adjustRightInd w:val="0"/>
        <w:snapToGrid w:val="0"/>
        <w:spacing w:line="360" w:lineRule="auto"/>
        <w:jc w:val="left"/>
        <w:rPr>
          <w:rFonts w:hint="eastAsia"/>
          <w:b/>
          <w:bCs/>
          <w:kern w:val="0"/>
          <w:sz w:val="20"/>
          <w:szCs w:val="22"/>
        </w:rPr>
      </w:pPr>
    </w:p>
    <w:p>
      <w:pPr>
        <w:autoSpaceDE w:val="0"/>
        <w:autoSpaceDN w:val="0"/>
        <w:adjustRightInd w:val="0"/>
        <w:snapToGrid w:val="0"/>
        <w:spacing w:line="360" w:lineRule="auto"/>
        <w:jc w:val="left"/>
        <w:rPr>
          <w:rFonts w:hint="eastAsia"/>
          <w:b/>
          <w:bCs/>
          <w:kern w:val="0"/>
          <w:sz w:val="20"/>
          <w:szCs w:val="22"/>
        </w:rPr>
      </w:pPr>
    </w:p>
    <w:p>
      <w:pPr>
        <w:autoSpaceDE w:val="0"/>
        <w:autoSpaceDN w:val="0"/>
        <w:adjustRightInd w:val="0"/>
        <w:snapToGrid w:val="0"/>
        <w:spacing w:line="360" w:lineRule="auto"/>
        <w:jc w:val="left"/>
        <w:rPr>
          <w:rFonts w:hint="eastAsia"/>
          <w:b/>
          <w:bCs/>
          <w:kern w:val="0"/>
          <w:sz w:val="20"/>
          <w:szCs w:val="22"/>
        </w:rPr>
      </w:pPr>
    </w:p>
    <w:p>
      <w:pPr>
        <w:autoSpaceDE w:val="0"/>
        <w:autoSpaceDN w:val="0"/>
        <w:adjustRightInd w:val="0"/>
        <w:snapToGrid w:val="0"/>
        <w:spacing w:line="360" w:lineRule="auto"/>
        <w:jc w:val="left"/>
        <w:rPr>
          <w:rFonts w:hint="eastAsia"/>
          <w:b/>
          <w:bCs/>
          <w:kern w:val="0"/>
          <w:sz w:val="20"/>
          <w:szCs w:val="22"/>
        </w:rPr>
      </w:pPr>
    </w:p>
    <w:p>
      <w:pPr>
        <w:autoSpaceDE w:val="0"/>
        <w:autoSpaceDN w:val="0"/>
        <w:adjustRightInd w:val="0"/>
        <w:snapToGrid w:val="0"/>
        <w:spacing w:line="360" w:lineRule="auto"/>
        <w:jc w:val="left"/>
        <w:rPr>
          <w:rFonts w:hint="eastAsia"/>
          <w:b/>
          <w:bCs/>
          <w:kern w:val="0"/>
          <w:sz w:val="20"/>
          <w:szCs w:val="22"/>
        </w:rPr>
      </w:pPr>
    </w:p>
    <w:p>
      <w:pPr>
        <w:autoSpaceDE w:val="0"/>
        <w:autoSpaceDN w:val="0"/>
        <w:adjustRightInd w:val="0"/>
        <w:snapToGrid w:val="0"/>
        <w:spacing w:line="360" w:lineRule="auto"/>
        <w:jc w:val="left"/>
        <w:rPr>
          <w:rFonts w:hint="eastAsia"/>
          <w:b/>
          <w:bCs/>
          <w:kern w:val="0"/>
          <w:sz w:val="20"/>
          <w:szCs w:val="22"/>
        </w:rPr>
      </w:pPr>
    </w:p>
    <w:p>
      <w:pPr>
        <w:autoSpaceDE w:val="0"/>
        <w:autoSpaceDN w:val="0"/>
        <w:adjustRightInd w:val="0"/>
        <w:snapToGrid w:val="0"/>
        <w:spacing w:line="360" w:lineRule="auto"/>
        <w:jc w:val="left"/>
        <w:rPr>
          <w:rFonts w:hint="eastAsia"/>
          <w:b/>
          <w:bCs/>
          <w:kern w:val="0"/>
          <w:sz w:val="20"/>
          <w:szCs w:val="22"/>
        </w:rPr>
      </w:pPr>
    </w:p>
    <w:p>
      <w:pPr>
        <w:autoSpaceDE w:val="0"/>
        <w:autoSpaceDN w:val="0"/>
        <w:adjustRightInd w:val="0"/>
        <w:snapToGrid w:val="0"/>
        <w:spacing w:line="360" w:lineRule="auto"/>
        <w:jc w:val="left"/>
        <w:rPr>
          <w:rFonts w:hint="eastAsia"/>
          <w:b/>
          <w:bCs/>
          <w:kern w:val="0"/>
          <w:sz w:val="20"/>
          <w:szCs w:val="22"/>
        </w:rPr>
      </w:pPr>
    </w:p>
    <w:p>
      <w:pPr>
        <w:autoSpaceDE w:val="0"/>
        <w:autoSpaceDN w:val="0"/>
        <w:adjustRightInd w:val="0"/>
        <w:snapToGrid w:val="0"/>
        <w:spacing w:line="360" w:lineRule="auto"/>
        <w:jc w:val="left"/>
        <w:rPr>
          <w:rFonts w:hint="eastAsia"/>
          <w:b/>
          <w:bCs/>
          <w:kern w:val="0"/>
          <w:sz w:val="20"/>
          <w:szCs w:val="22"/>
        </w:rPr>
      </w:pPr>
    </w:p>
    <w:p>
      <w:pPr>
        <w:autoSpaceDE w:val="0"/>
        <w:autoSpaceDN w:val="0"/>
        <w:adjustRightInd w:val="0"/>
        <w:snapToGrid w:val="0"/>
        <w:spacing w:line="360" w:lineRule="auto"/>
        <w:jc w:val="left"/>
        <w:rPr>
          <w:rFonts w:hint="eastAsia"/>
          <w:b/>
          <w:bCs/>
          <w:kern w:val="0"/>
          <w:sz w:val="20"/>
          <w:szCs w:val="22"/>
        </w:rPr>
      </w:pPr>
    </w:p>
    <w:p>
      <w:pPr>
        <w:autoSpaceDE w:val="0"/>
        <w:autoSpaceDN w:val="0"/>
        <w:adjustRightInd w:val="0"/>
        <w:snapToGrid w:val="0"/>
        <w:spacing w:line="360" w:lineRule="auto"/>
        <w:jc w:val="left"/>
        <w:rPr>
          <w:rFonts w:hint="eastAsia"/>
          <w:b/>
          <w:bCs/>
          <w:kern w:val="0"/>
          <w:sz w:val="20"/>
          <w:szCs w:val="22"/>
        </w:rPr>
      </w:pPr>
    </w:p>
    <w:p>
      <w:pPr>
        <w:autoSpaceDE w:val="0"/>
        <w:autoSpaceDN w:val="0"/>
        <w:adjustRightInd w:val="0"/>
        <w:snapToGrid w:val="0"/>
        <w:spacing w:line="360" w:lineRule="auto"/>
        <w:jc w:val="left"/>
        <w:rPr>
          <w:rFonts w:hint="eastAsia"/>
          <w:b/>
          <w:bCs/>
          <w:kern w:val="0"/>
          <w:sz w:val="20"/>
          <w:szCs w:val="22"/>
        </w:rPr>
      </w:pPr>
    </w:p>
    <w:p>
      <w:pPr>
        <w:autoSpaceDE w:val="0"/>
        <w:autoSpaceDN w:val="0"/>
        <w:adjustRightInd w:val="0"/>
        <w:snapToGrid w:val="0"/>
        <w:spacing w:line="360" w:lineRule="auto"/>
        <w:jc w:val="left"/>
        <w:rPr>
          <w:rFonts w:hint="eastAsia"/>
          <w:b/>
          <w:bCs/>
          <w:kern w:val="0"/>
          <w:sz w:val="20"/>
          <w:szCs w:val="22"/>
        </w:rPr>
      </w:pPr>
    </w:p>
    <w:p>
      <w:pPr>
        <w:autoSpaceDE w:val="0"/>
        <w:autoSpaceDN w:val="0"/>
        <w:adjustRightInd w:val="0"/>
        <w:snapToGrid w:val="0"/>
        <w:spacing w:line="360" w:lineRule="auto"/>
        <w:jc w:val="left"/>
        <w:rPr>
          <w:rFonts w:hint="eastAsia"/>
          <w:b/>
          <w:bCs/>
          <w:kern w:val="0"/>
          <w:sz w:val="20"/>
          <w:szCs w:val="22"/>
        </w:rPr>
      </w:pPr>
    </w:p>
    <w:p>
      <w:pPr>
        <w:autoSpaceDE w:val="0"/>
        <w:autoSpaceDN w:val="0"/>
        <w:adjustRightInd w:val="0"/>
        <w:snapToGrid w:val="0"/>
        <w:spacing w:line="360" w:lineRule="auto"/>
        <w:jc w:val="left"/>
        <w:rPr>
          <w:rFonts w:hint="eastAsia"/>
          <w:b/>
          <w:bCs/>
          <w:kern w:val="0"/>
          <w:sz w:val="20"/>
          <w:szCs w:val="22"/>
        </w:rPr>
      </w:pPr>
    </w:p>
    <w:p>
      <w:pPr>
        <w:autoSpaceDE w:val="0"/>
        <w:autoSpaceDN w:val="0"/>
        <w:adjustRightInd w:val="0"/>
        <w:snapToGrid w:val="0"/>
        <w:spacing w:line="360" w:lineRule="auto"/>
        <w:jc w:val="left"/>
        <w:rPr>
          <w:rFonts w:hint="eastAsia"/>
          <w:b/>
          <w:bCs/>
          <w:kern w:val="0"/>
          <w:sz w:val="20"/>
          <w:szCs w:val="22"/>
        </w:rPr>
      </w:pPr>
    </w:p>
    <w:p>
      <w:pPr>
        <w:spacing w:line="360" w:lineRule="auto"/>
        <w:jc w:val="center"/>
        <w:rPr>
          <w:rFonts w:hint="eastAsia" w:eastAsia="黑体"/>
          <w:sz w:val="28"/>
          <w:szCs w:val="28"/>
        </w:rPr>
      </w:pPr>
      <w:r>
        <w:rPr>
          <w:rFonts w:hint="eastAsia" w:eastAsia="黑体"/>
          <w:sz w:val="28"/>
          <w:szCs w:val="28"/>
        </w:rPr>
        <w:t>投标人：</w:t>
      </w:r>
      <w:r>
        <w:rPr>
          <w:rFonts w:hint="eastAsia" w:eastAsia="黑体"/>
          <w:sz w:val="28"/>
          <w:szCs w:val="28"/>
          <w:u w:val="single"/>
        </w:rPr>
        <w:t xml:space="preserve">                               </w:t>
      </w:r>
      <w:r>
        <w:rPr>
          <w:rFonts w:hint="eastAsia" w:eastAsia="黑体"/>
          <w:sz w:val="28"/>
          <w:szCs w:val="28"/>
        </w:rPr>
        <w:t>（盖单位章）</w:t>
      </w:r>
    </w:p>
    <w:p>
      <w:pPr>
        <w:jc w:val="center"/>
        <w:rPr>
          <w:rFonts w:hint="eastAsia" w:eastAsia="黑体"/>
          <w:sz w:val="28"/>
          <w:szCs w:val="28"/>
        </w:rPr>
      </w:pPr>
    </w:p>
    <w:p>
      <w:pPr>
        <w:tabs>
          <w:tab w:val="left" w:pos="3280"/>
          <w:tab w:val="left" w:pos="4680"/>
          <w:tab w:val="left" w:pos="6080"/>
        </w:tabs>
        <w:autoSpaceDE w:val="0"/>
        <w:autoSpaceDN w:val="0"/>
        <w:adjustRightInd w:val="0"/>
        <w:snapToGrid w:val="0"/>
        <w:spacing w:line="360" w:lineRule="auto"/>
        <w:jc w:val="center"/>
        <w:rPr>
          <w:rFonts w:hint="eastAsia"/>
          <w:b/>
          <w:bCs/>
          <w:kern w:val="0"/>
          <w:sz w:val="28"/>
          <w:szCs w:val="22"/>
        </w:rPr>
      </w:pPr>
      <w:r>
        <w:rPr>
          <w:rFonts w:hint="eastAsia" w:eastAsia="黑体"/>
          <w:sz w:val="28"/>
          <w:szCs w:val="28"/>
          <w:u w:val="single"/>
        </w:rPr>
        <w:t xml:space="preserve">         </w:t>
      </w:r>
      <w:r>
        <w:rPr>
          <w:rFonts w:hint="eastAsia" w:eastAsia="黑体"/>
          <w:sz w:val="28"/>
          <w:szCs w:val="28"/>
        </w:rPr>
        <w:t>年</w:t>
      </w:r>
      <w:r>
        <w:rPr>
          <w:rFonts w:hint="eastAsia" w:eastAsia="黑体"/>
          <w:sz w:val="28"/>
          <w:szCs w:val="28"/>
          <w:u w:val="single"/>
        </w:rPr>
        <w:t xml:space="preserve">         </w:t>
      </w:r>
      <w:r>
        <w:rPr>
          <w:rFonts w:hint="eastAsia" w:eastAsia="黑体"/>
          <w:sz w:val="28"/>
          <w:szCs w:val="28"/>
        </w:rPr>
        <w:t>月</w:t>
      </w:r>
      <w:r>
        <w:rPr>
          <w:rFonts w:hint="eastAsia" w:eastAsia="黑体"/>
          <w:sz w:val="28"/>
          <w:szCs w:val="28"/>
          <w:u w:val="single"/>
        </w:rPr>
        <w:t xml:space="preserve">         </w:t>
      </w:r>
      <w:r>
        <w:rPr>
          <w:rFonts w:hint="eastAsia" w:eastAsia="黑体"/>
          <w:sz w:val="28"/>
          <w:szCs w:val="28"/>
        </w:rPr>
        <w:t>日</w:t>
      </w:r>
    </w:p>
    <w:p>
      <w:pPr>
        <w:autoSpaceDE w:val="0"/>
        <w:autoSpaceDN w:val="0"/>
        <w:adjustRightInd w:val="0"/>
        <w:snapToGrid w:val="0"/>
        <w:spacing w:line="360" w:lineRule="auto"/>
        <w:jc w:val="left"/>
        <w:rPr>
          <w:rFonts w:hint="eastAsia"/>
          <w:kern w:val="0"/>
          <w:sz w:val="24"/>
          <w:szCs w:val="22"/>
        </w:rPr>
      </w:pPr>
      <w:r>
        <w:rPr>
          <w:rFonts w:hint="eastAsia"/>
          <w:bCs/>
          <w:kern w:val="0"/>
          <w:sz w:val="24"/>
          <w:szCs w:val="22"/>
        </w:rPr>
        <w:br w:type="page"/>
      </w:r>
    </w:p>
    <w:p>
      <w:pPr>
        <w:autoSpaceDE w:val="0"/>
        <w:autoSpaceDN w:val="0"/>
        <w:adjustRightInd w:val="0"/>
        <w:snapToGrid w:val="0"/>
        <w:spacing w:line="360" w:lineRule="auto"/>
        <w:jc w:val="center"/>
        <w:rPr>
          <w:rFonts w:hint="eastAsia" w:eastAsia="黑体"/>
          <w:b/>
          <w:bCs/>
          <w:kern w:val="0"/>
          <w:sz w:val="32"/>
          <w:szCs w:val="22"/>
        </w:rPr>
      </w:pPr>
      <w:r>
        <w:rPr>
          <w:rFonts w:hint="eastAsia" w:eastAsia="黑体"/>
          <w:b/>
          <w:bCs/>
          <w:kern w:val="0"/>
          <w:sz w:val="32"/>
          <w:szCs w:val="22"/>
        </w:rPr>
        <w:t>目  录</w:t>
      </w:r>
    </w:p>
    <w:p>
      <w:pPr>
        <w:autoSpaceDE w:val="0"/>
        <w:autoSpaceDN w:val="0"/>
        <w:adjustRightInd w:val="0"/>
        <w:spacing w:line="360" w:lineRule="auto"/>
        <w:ind w:right="-20" w:firstLine="105" w:firstLineChars="50"/>
        <w:jc w:val="left"/>
        <w:rPr>
          <w:rFonts w:hint="eastAsia"/>
          <w:szCs w:val="21"/>
        </w:rPr>
      </w:pPr>
    </w:p>
    <w:p>
      <w:pPr>
        <w:autoSpaceDE w:val="0"/>
        <w:autoSpaceDN w:val="0"/>
        <w:adjustRightInd w:val="0"/>
        <w:spacing w:line="360" w:lineRule="auto"/>
        <w:ind w:right="-20" w:firstLine="110" w:firstLineChars="50"/>
        <w:jc w:val="left"/>
        <w:rPr>
          <w:rFonts w:hint="eastAsia"/>
          <w:sz w:val="22"/>
          <w:szCs w:val="22"/>
        </w:rPr>
      </w:pPr>
      <w:r>
        <w:rPr>
          <w:rFonts w:hint="eastAsia"/>
          <w:sz w:val="22"/>
          <w:szCs w:val="22"/>
        </w:rPr>
        <w:t>一、投标函</w:t>
      </w:r>
    </w:p>
    <w:p>
      <w:pPr>
        <w:autoSpaceDE w:val="0"/>
        <w:autoSpaceDN w:val="0"/>
        <w:adjustRightInd w:val="0"/>
        <w:spacing w:line="360" w:lineRule="auto"/>
        <w:ind w:right="-20" w:firstLine="110" w:firstLineChars="50"/>
        <w:jc w:val="left"/>
        <w:rPr>
          <w:rFonts w:hint="eastAsia"/>
          <w:sz w:val="22"/>
          <w:szCs w:val="22"/>
        </w:rPr>
      </w:pPr>
      <w:r>
        <w:rPr>
          <w:rFonts w:hint="eastAsia"/>
          <w:sz w:val="22"/>
          <w:szCs w:val="22"/>
        </w:rPr>
        <w:t>二、</w:t>
      </w:r>
      <w:r>
        <w:rPr>
          <w:sz w:val="22"/>
          <w:szCs w:val="22"/>
        </w:rPr>
        <w:t>分项报价表</w:t>
      </w:r>
    </w:p>
    <w:p>
      <w:pPr>
        <w:autoSpaceDE w:val="0"/>
        <w:autoSpaceDN w:val="0"/>
        <w:adjustRightInd w:val="0"/>
        <w:spacing w:line="360" w:lineRule="auto"/>
        <w:ind w:right="-20" w:firstLine="110" w:firstLineChars="50"/>
        <w:jc w:val="left"/>
        <w:rPr>
          <w:rFonts w:hint="eastAsia"/>
          <w:sz w:val="22"/>
          <w:szCs w:val="22"/>
        </w:rPr>
      </w:pPr>
    </w:p>
    <w:p>
      <w:pPr>
        <w:autoSpaceDE w:val="0"/>
        <w:autoSpaceDN w:val="0"/>
        <w:adjustRightInd w:val="0"/>
        <w:spacing w:line="360" w:lineRule="auto"/>
        <w:ind w:right="-20" w:firstLine="105" w:firstLineChars="50"/>
        <w:jc w:val="left"/>
        <w:rPr>
          <w:rFonts w:hint="eastAsia"/>
          <w:szCs w:val="21"/>
        </w:rPr>
      </w:pPr>
    </w:p>
    <w:p>
      <w:pPr>
        <w:autoSpaceDE w:val="0"/>
        <w:autoSpaceDN w:val="0"/>
        <w:adjustRightInd w:val="0"/>
        <w:spacing w:line="360" w:lineRule="auto"/>
        <w:ind w:right="-20" w:firstLine="160" w:firstLineChars="50"/>
        <w:jc w:val="left"/>
        <w:rPr>
          <w:rFonts w:hint="eastAsia"/>
          <w:sz w:val="32"/>
          <w:szCs w:val="22"/>
        </w:rPr>
      </w:pPr>
    </w:p>
    <w:p>
      <w:pPr>
        <w:autoSpaceDE w:val="0"/>
        <w:autoSpaceDN w:val="0"/>
        <w:adjustRightInd w:val="0"/>
        <w:spacing w:line="360" w:lineRule="auto"/>
        <w:ind w:right="-20" w:firstLine="160" w:firstLineChars="50"/>
        <w:jc w:val="left"/>
        <w:rPr>
          <w:sz w:val="32"/>
          <w:szCs w:val="22"/>
        </w:rPr>
        <w:sectPr>
          <w:footnotePr>
            <w:numFmt w:val="decimalEnclosedCircleChinese"/>
            <w:numRestart w:val="eachPage"/>
          </w:footnotePr>
          <w:pgSz w:w="11907" w:h="16840"/>
          <w:pgMar w:top="1474" w:right="1474" w:bottom="1474" w:left="1474" w:header="799" w:footer="907" w:gutter="0"/>
          <w:cols w:space="720" w:num="1"/>
          <w:docGrid w:linePitch="271" w:charSpace="0"/>
        </w:sectPr>
      </w:pPr>
    </w:p>
    <w:p>
      <w:pPr>
        <w:pStyle w:val="4"/>
        <w:jc w:val="center"/>
        <w:rPr>
          <w:rFonts w:hint="eastAsia" w:ascii="Times New Roman" w:hAnsi="Times New Roman"/>
        </w:rPr>
      </w:pPr>
      <w:bookmarkStart w:id="520" w:name="_Toc460227120"/>
      <w:bookmarkStart w:id="521" w:name="_Toc421917012"/>
      <w:bookmarkStart w:id="522" w:name="_Toc390411631"/>
      <w:bookmarkStart w:id="523" w:name="_Toc460660235"/>
      <w:r>
        <w:rPr>
          <w:rFonts w:hint="eastAsia" w:ascii="Times New Roman" w:hAnsi="Times New Roman"/>
        </w:rPr>
        <w:t>一、投标函</w:t>
      </w:r>
      <w:bookmarkEnd w:id="520"/>
      <w:bookmarkEnd w:id="521"/>
      <w:bookmarkEnd w:id="522"/>
      <w:bookmarkEnd w:id="523"/>
    </w:p>
    <w:p>
      <w:pPr>
        <w:adjustRightInd w:val="0"/>
        <w:snapToGrid w:val="0"/>
        <w:spacing w:beforeLines="20" w:afterLines="20" w:line="400" w:lineRule="exact"/>
        <w:rPr>
          <w:rFonts w:hint="eastAsia"/>
          <w:sz w:val="22"/>
          <w:szCs w:val="22"/>
          <w:u w:val="single"/>
        </w:rPr>
      </w:pPr>
      <w:r>
        <w:rPr>
          <w:rFonts w:hint="eastAsia"/>
          <w:sz w:val="22"/>
          <w:szCs w:val="22"/>
        </w:rPr>
        <w:t>致：</w:t>
      </w:r>
      <w:r>
        <w:rPr>
          <w:rFonts w:hint="eastAsia"/>
          <w:sz w:val="22"/>
          <w:szCs w:val="22"/>
          <w:u w:val="single"/>
        </w:rPr>
        <w:t xml:space="preserve">   招标人名称   </w:t>
      </w:r>
    </w:p>
    <w:p>
      <w:pPr>
        <w:tabs>
          <w:tab w:val="left" w:pos="7560"/>
        </w:tabs>
        <w:adjustRightInd w:val="0"/>
        <w:snapToGrid w:val="0"/>
        <w:spacing w:beforeLines="20" w:afterLines="20" w:line="400" w:lineRule="exact"/>
        <w:ind w:firstLine="440" w:firstLineChars="200"/>
        <w:jc w:val="left"/>
        <w:rPr>
          <w:rFonts w:hint="eastAsia"/>
          <w:sz w:val="22"/>
          <w:szCs w:val="22"/>
          <w:u w:val="single"/>
        </w:rPr>
      </w:pPr>
      <w:r>
        <w:rPr>
          <w:rFonts w:hint="eastAsia"/>
          <w:sz w:val="22"/>
          <w:szCs w:val="22"/>
        </w:rPr>
        <w:t>1．我方已仔细研究了</w:t>
      </w:r>
      <w:r>
        <w:rPr>
          <w:rFonts w:hint="eastAsia"/>
          <w:sz w:val="22"/>
          <w:szCs w:val="22"/>
          <w:u w:val="single"/>
        </w:rPr>
        <w:t xml:space="preserve">                 </w:t>
      </w:r>
      <w:r>
        <w:rPr>
          <w:rFonts w:hint="eastAsia"/>
          <w:sz w:val="22"/>
          <w:szCs w:val="22"/>
        </w:rPr>
        <w:t>（招标项目名称）招标项目招标文件的全部内容，愿意以</w:t>
      </w:r>
      <w:r>
        <w:rPr>
          <w:sz w:val="22"/>
          <w:szCs w:val="22"/>
        </w:rPr>
        <w:t>人民币（大写）</w:t>
      </w:r>
      <w:r>
        <w:rPr>
          <w:rFonts w:hint="eastAsia"/>
          <w:sz w:val="22"/>
          <w:szCs w:val="22"/>
          <w:u w:val="single"/>
        </w:rPr>
        <w:t xml:space="preserve">         </w:t>
      </w:r>
      <w:r>
        <w:rPr>
          <w:sz w:val="22"/>
          <w:szCs w:val="22"/>
        </w:rPr>
        <w:t>（¥</w:t>
      </w:r>
      <w:r>
        <w:rPr>
          <w:rFonts w:hint="eastAsia"/>
          <w:sz w:val="22"/>
          <w:szCs w:val="22"/>
          <w:u w:val="single"/>
        </w:rPr>
        <w:t xml:space="preserve">       </w:t>
      </w:r>
      <w:r>
        <w:rPr>
          <w:sz w:val="22"/>
          <w:szCs w:val="22"/>
        </w:rPr>
        <w:t>）</w:t>
      </w:r>
      <w:r>
        <w:rPr>
          <w:rFonts w:hint="eastAsia"/>
          <w:sz w:val="22"/>
          <w:szCs w:val="22"/>
        </w:rPr>
        <w:t>的投标总报价提供招标文件要求的货物、安装及技术服务和质保售后服务等，并按合同约定履行义务。</w:t>
      </w:r>
    </w:p>
    <w:p>
      <w:pPr>
        <w:adjustRightInd w:val="0"/>
        <w:snapToGrid w:val="0"/>
        <w:spacing w:beforeLines="20" w:afterLines="20" w:line="400" w:lineRule="exact"/>
        <w:ind w:firstLine="385" w:firstLineChars="175"/>
        <w:rPr>
          <w:rFonts w:hint="eastAsia"/>
          <w:bCs/>
          <w:sz w:val="22"/>
          <w:szCs w:val="22"/>
        </w:rPr>
      </w:pPr>
      <w:r>
        <w:rPr>
          <w:rFonts w:hint="eastAsia"/>
          <w:bCs/>
          <w:sz w:val="22"/>
          <w:szCs w:val="22"/>
        </w:rPr>
        <w:t>2. 我方已按招标文件要求详细审核并确认全部招标文件及有关附件，充分理解投标价格不得低于企业个别成本有关规定。我方经成本核算，所填报的投标报价不低于企业个别成本。</w:t>
      </w:r>
    </w:p>
    <w:p>
      <w:pPr>
        <w:adjustRightInd w:val="0"/>
        <w:snapToGrid w:val="0"/>
        <w:spacing w:beforeLines="20" w:afterLines="20" w:line="400" w:lineRule="exact"/>
        <w:ind w:firstLine="385" w:firstLineChars="175"/>
        <w:rPr>
          <w:rFonts w:hint="eastAsia"/>
          <w:bCs/>
          <w:sz w:val="22"/>
          <w:szCs w:val="22"/>
        </w:rPr>
      </w:pPr>
      <w:r>
        <w:rPr>
          <w:rFonts w:hint="eastAsia"/>
          <w:bCs/>
          <w:sz w:val="22"/>
          <w:szCs w:val="22"/>
        </w:rPr>
        <w:t>3. 除非另外达成协议并生效，你方的中标通知书和本投标文件以及招标文件、招标文件澄清、修改、补充文件将成为约束双方的合同文件的组成部分。</w:t>
      </w:r>
    </w:p>
    <w:p>
      <w:pPr>
        <w:adjustRightInd w:val="0"/>
        <w:snapToGrid w:val="0"/>
        <w:spacing w:beforeLines="20" w:afterLines="20" w:line="400" w:lineRule="exact"/>
        <w:ind w:firstLine="385" w:firstLineChars="175"/>
        <w:rPr>
          <w:rFonts w:hint="eastAsia"/>
          <w:bCs/>
          <w:sz w:val="22"/>
          <w:szCs w:val="22"/>
        </w:rPr>
      </w:pPr>
      <w:r>
        <w:rPr>
          <w:rFonts w:hint="eastAsia"/>
          <w:bCs/>
          <w:sz w:val="22"/>
          <w:szCs w:val="22"/>
        </w:rPr>
        <w:t>4. 其他补充说明：</w:t>
      </w:r>
      <w:r>
        <w:rPr>
          <w:rFonts w:hint="eastAsia"/>
          <w:bCs/>
          <w:sz w:val="22"/>
          <w:szCs w:val="22"/>
          <w:u w:val="single"/>
        </w:rPr>
        <w:t xml:space="preserve">                                   </w:t>
      </w:r>
      <w:r>
        <w:rPr>
          <w:rFonts w:hint="eastAsia"/>
          <w:bCs/>
          <w:sz w:val="22"/>
          <w:szCs w:val="22"/>
        </w:rPr>
        <w:t>（补充说明事项）</w:t>
      </w:r>
    </w:p>
    <w:p>
      <w:pPr>
        <w:adjustRightInd w:val="0"/>
        <w:snapToGrid w:val="0"/>
        <w:spacing w:beforeLines="20" w:afterLines="20" w:line="400" w:lineRule="exact"/>
        <w:ind w:firstLine="385" w:firstLineChars="175"/>
        <w:rPr>
          <w:rFonts w:hint="eastAsia"/>
          <w:bCs/>
          <w:sz w:val="22"/>
          <w:szCs w:val="22"/>
        </w:rPr>
      </w:pPr>
    </w:p>
    <w:p>
      <w:pPr>
        <w:adjustRightInd w:val="0"/>
        <w:snapToGrid w:val="0"/>
        <w:spacing w:beforeLines="20" w:afterLines="20" w:line="400" w:lineRule="exact"/>
        <w:ind w:firstLine="440" w:firstLineChars="200"/>
        <w:rPr>
          <w:rFonts w:hint="eastAsia"/>
          <w:bCs/>
          <w:sz w:val="22"/>
          <w:szCs w:val="22"/>
          <w:u w:val="single"/>
        </w:rPr>
      </w:pPr>
      <w:r>
        <w:rPr>
          <w:rFonts w:hint="eastAsia"/>
          <w:bCs/>
          <w:sz w:val="22"/>
          <w:szCs w:val="22"/>
        </w:rPr>
        <w:t>投 标 人：</w:t>
      </w:r>
      <w:r>
        <w:rPr>
          <w:rFonts w:hint="eastAsia"/>
          <w:bCs/>
          <w:sz w:val="22"/>
          <w:szCs w:val="22"/>
          <w:u w:val="single"/>
        </w:rPr>
        <w:t xml:space="preserve">                                             </w:t>
      </w:r>
      <w:r>
        <w:rPr>
          <w:rFonts w:hint="eastAsia"/>
          <w:bCs/>
          <w:sz w:val="22"/>
          <w:szCs w:val="22"/>
        </w:rPr>
        <w:t>（盖单位章）</w:t>
      </w:r>
    </w:p>
    <w:p>
      <w:pPr>
        <w:adjustRightInd w:val="0"/>
        <w:snapToGrid w:val="0"/>
        <w:spacing w:beforeLines="20" w:afterLines="20" w:line="400" w:lineRule="exact"/>
        <w:ind w:firstLine="440" w:firstLineChars="200"/>
        <w:rPr>
          <w:rFonts w:hint="eastAsia"/>
          <w:sz w:val="22"/>
          <w:szCs w:val="22"/>
          <w:u w:val="single"/>
        </w:rPr>
      </w:pPr>
      <w:r>
        <w:rPr>
          <w:rFonts w:hint="eastAsia"/>
          <w:sz w:val="22"/>
          <w:szCs w:val="22"/>
        </w:rPr>
        <w:t>法定代表人（单位负责人）：</w:t>
      </w:r>
      <w:r>
        <w:rPr>
          <w:rFonts w:hint="eastAsia"/>
          <w:sz w:val="22"/>
          <w:szCs w:val="22"/>
          <w:u w:val="single"/>
        </w:rPr>
        <w:t xml:space="preserve">               </w:t>
      </w:r>
      <w:r>
        <w:rPr>
          <w:rFonts w:hint="eastAsia"/>
          <w:sz w:val="22"/>
          <w:szCs w:val="22"/>
        </w:rPr>
        <w:t>（签字或加盖其个人电子印章/电子签名章）</w:t>
      </w:r>
    </w:p>
    <w:p>
      <w:pPr>
        <w:adjustRightInd w:val="0"/>
        <w:snapToGrid w:val="0"/>
        <w:spacing w:beforeLines="20" w:afterLines="20" w:line="400" w:lineRule="exact"/>
        <w:ind w:left="109" w:leftChars="52" w:firstLine="330" w:firstLineChars="150"/>
        <w:rPr>
          <w:rFonts w:hint="eastAsia"/>
          <w:sz w:val="22"/>
          <w:szCs w:val="22"/>
          <w:u w:val="single"/>
        </w:rPr>
      </w:pPr>
      <w:r>
        <w:rPr>
          <w:rFonts w:hint="eastAsia"/>
          <w:sz w:val="22"/>
          <w:szCs w:val="22"/>
        </w:rPr>
        <w:t>单位地址：</w:t>
      </w:r>
      <w:r>
        <w:rPr>
          <w:rFonts w:hint="eastAsia"/>
          <w:sz w:val="22"/>
          <w:szCs w:val="22"/>
          <w:u w:val="single"/>
        </w:rPr>
        <w:t xml:space="preserve">                                                       </w:t>
      </w:r>
    </w:p>
    <w:p>
      <w:pPr>
        <w:adjustRightInd w:val="0"/>
        <w:snapToGrid w:val="0"/>
        <w:spacing w:beforeLines="20" w:afterLines="20" w:line="400" w:lineRule="exact"/>
        <w:ind w:firstLine="440" w:firstLineChars="200"/>
        <w:rPr>
          <w:rFonts w:hint="eastAsia"/>
          <w:sz w:val="22"/>
          <w:szCs w:val="22"/>
        </w:rPr>
      </w:pPr>
      <w:r>
        <w:rPr>
          <w:rFonts w:hint="eastAsia"/>
          <w:sz w:val="22"/>
          <w:szCs w:val="22"/>
        </w:rPr>
        <w:t>邮政编码：</w:t>
      </w:r>
      <w:r>
        <w:rPr>
          <w:rFonts w:hint="eastAsia"/>
          <w:bCs/>
          <w:sz w:val="22"/>
          <w:szCs w:val="22"/>
          <w:u w:val="single"/>
        </w:rPr>
        <w:t xml:space="preserve">           </w:t>
      </w:r>
      <w:r>
        <w:rPr>
          <w:rFonts w:hint="eastAsia"/>
          <w:sz w:val="22"/>
          <w:szCs w:val="22"/>
        </w:rPr>
        <w:t>电话：</w:t>
      </w:r>
      <w:r>
        <w:rPr>
          <w:rFonts w:hint="eastAsia"/>
          <w:bCs/>
          <w:sz w:val="22"/>
          <w:szCs w:val="22"/>
          <w:u w:val="single"/>
        </w:rPr>
        <w:t xml:space="preserve">           </w:t>
      </w:r>
      <w:r>
        <w:rPr>
          <w:rFonts w:hint="eastAsia"/>
          <w:sz w:val="22"/>
          <w:szCs w:val="22"/>
        </w:rPr>
        <w:t xml:space="preserve"> 传真：</w:t>
      </w:r>
      <w:r>
        <w:rPr>
          <w:rFonts w:hint="eastAsia"/>
          <w:sz w:val="22"/>
          <w:szCs w:val="22"/>
          <w:u w:val="single"/>
        </w:rPr>
        <w:t xml:space="preserve">                    </w:t>
      </w:r>
      <w:r>
        <w:rPr>
          <w:rFonts w:hint="eastAsia"/>
          <w:sz w:val="22"/>
          <w:szCs w:val="22"/>
        </w:rPr>
        <w:t xml:space="preserve"> </w:t>
      </w:r>
    </w:p>
    <w:p>
      <w:pPr>
        <w:adjustRightInd w:val="0"/>
        <w:snapToGrid w:val="0"/>
        <w:spacing w:beforeLines="20" w:afterLines="20" w:line="400" w:lineRule="exact"/>
        <w:ind w:firstLine="440" w:firstLineChars="200"/>
        <w:rPr>
          <w:rFonts w:hint="eastAsia"/>
          <w:sz w:val="22"/>
          <w:szCs w:val="22"/>
        </w:rPr>
      </w:pPr>
      <w:r>
        <w:rPr>
          <w:rFonts w:hint="eastAsia"/>
          <w:sz w:val="22"/>
          <w:szCs w:val="22"/>
        </w:rPr>
        <w:t>日期：</w:t>
      </w:r>
      <w:r>
        <w:rPr>
          <w:sz w:val="22"/>
          <w:szCs w:val="22"/>
          <w:u w:val="single"/>
        </w:rPr>
        <w:t xml:space="preserve">       </w:t>
      </w:r>
      <w:r>
        <w:rPr>
          <w:rFonts w:hint="eastAsia"/>
          <w:sz w:val="22"/>
          <w:szCs w:val="22"/>
        </w:rPr>
        <w:t>年</w:t>
      </w:r>
      <w:r>
        <w:rPr>
          <w:sz w:val="22"/>
          <w:szCs w:val="22"/>
          <w:u w:val="single"/>
        </w:rPr>
        <w:t xml:space="preserve">       </w:t>
      </w:r>
      <w:r>
        <w:rPr>
          <w:rFonts w:hint="eastAsia"/>
          <w:sz w:val="22"/>
          <w:szCs w:val="22"/>
        </w:rPr>
        <w:t>月</w:t>
      </w:r>
      <w:r>
        <w:rPr>
          <w:sz w:val="22"/>
          <w:szCs w:val="22"/>
          <w:u w:val="single"/>
        </w:rPr>
        <w:t xml:space="preserve">       </w:t>
      </w:r>
      <w:r>
        <w:rPr>
          <w:rFonts w:hint="eastAsia"/>
          <w:sz w:val="22"/>
          <w:szCs w:val="22"/>
        </w:rPr>
        <w:t>日</w:t>
      </w:r>
    </w:p>
    <w:p>
      <w:pPr>
        <w:adjustRightInd w:val="0"/>
        <w:snapToGrid w:val="0"/>
        <w:spacing w:beforeLines="20" w:afterLines="20" w:line="400" w:lineRule="exact"/>
        <w:jc w:val="center"/>
        <w:outlineLvl w:val="1"/>
        <w:rPr>
          <w:rFonts w:hint="eastAsia"/>
        </w:rPr>
      </w:pPr>
      <w:r>
        <w:rPr>
          <w:sz w:val="22"/>
          <w:szCs w:val="22"/>
        </w:rPr>
        <w:br w:type="page"/>
      </w:r>
      <w:bookmarkStart w:id="524" w:name="_Toc460227122"/>
      <w:bookmarkStart w:id="525" w:name="_Toc460660237"/>
      <w:bookmarkStart w:id="526" w:name="_Toc421917014"/>
      <w:r>
        <w:rPr>
          <w:rFonts w:hint="eastAsia"/>
        </w:rPr>
        <w:t>二、</w:t>
      </w:r>
      <w:bookmarkEnd w:id="524"/>
      <w:bookmarkEnd w:id="525"/>
      <w:bookmarkEnd w:id="526"/>
      <w:r>
        <w:rPr>
          <w:rFonts w:hint="eastAsia"/>
        </w:rPr>
        <w:t>分项报价表</w:t>
      </w:r>
    </w:p>
    <w:p>
      <w:pPr>
        <w:spacing w:line="400" w:lineRule="exact"/>
        <w:ind w:firstLine="420" w:firstLineChars="200"/>
      </w:pPr>
    </w:p>
    <w:p>
      <w:pPr>
        <w:spacing w:line="360" w:lineRule="auto"/>
        <w:ind w:firstLine="440" w:firstLineChars="200"/>
        <w:rPr>
          <w:rFonts w:hint="eastAsia" w:ascii="宋体" w:hAnsi="宋体" w:cs="宋体"/>
          <w:color w:val="0000FF"/>
          <w:sz w:val="22"/>
          <w:szCs w:val="22"/>
          <w:highlight w:val="yellow"/>
        </w:rPr>
      </w:pPr>
      <w:r>
        <w:rPr>
          <w:rFonts w:hint="eastAsia" w:ascii="宋体" w:hAnsi="宋体" w:cs="宋体"/>
          <w:color w:val="0000FF"/>
          <w:sz w:val="22"/>
          <w:szCs w:val="22"/>
          <w:highlight w:val="yellow"/>
        </w:rPr>
        <w:t>注：</w:t>
      </w:r>
    </w:p>
    <w:p>
      <w:pPr>
        <w:spacing w:line="360" w:lineRule="auto"/>
        <w:ind w:firstLine="440" w:firstLineChars="200"/>
        <w:rPr>
          <w:rFonts w:hint="eastAsia" w:ascii="宋体" w:hAnsi="宋体" w:cs="宋体"/>
          <w:color w:val="0000FF"/>
          <w:sz w:val="22"/>
          <w:szCs w:val="22"/>
          <w:highlight w:val="yellow"/>
        </w:rPr>
      </w:pPr>
      <w:r>
        <w:rPr>
          <w:rFonts w:hint="eastAsia" w:ascii="宋体" w:hAnsi="宋体" w:cs="宋体"/>
          <w:color w:val="0000FF"/>
          <w:sz w:val="22"/>
          <w:szCs w:val="22"/>
          <w:highlight w:val="yellow"/>
        </w:rPr>
        <w:t>1.投标人应依据图纸设计要求完整列出系统图内所有标注的配电箱元器件。</w:t>
      </w:r>
    </w:p>
    <w:p>
      <w:pPr>
        <w:spacing w:line="360" w:lineRule="auto"/>
        <w:ind w:firstLine="440" w:firstLineChars="200"/>
        <w:rPr>
          <w:rFonts w:hint="eastAsia" w:ascii="宋体" w:hAnsi="宋体" w:cs="宋体"/>
          <w:color w:val="0000FF"/>
          <w:sz w:val="22"/>
          <w:szCs w:val="22"/>
          <w:highlight w:val="yellow"/>
        </w:rPr>
      </w:pPr>
      <w:r>
        <w:rPr>
          <w:rFonts w:hint="eastAsia" w:ascii="宋体" w:hAnsi="宋体" w:cs="宋体"/>
          <w:color w:val="0000FF"/>
          <w:sz w:val="22"/>
          <w:szCs w:val="22"/>
          <w:highlight w:val="yellow"/>
        </w:rPr>
        <w:t>2.投标人所报此分项明细报价表应与招标文件全费用综合单价表顺序完全一致。</w:t>
      </w:r>
    </w:p>
    <w:p>
      <w:pPr>
        <w:spacing w:line="360" w:lineRule="auto"/>
        <w:ind w:firstLine="440" w:firstLineChars="200"/>
        <w:rPr>
          <w:rFonts w:hint="eastAsia" w:ascii="宋体" w:hAnsi="宋体" w:cs="宋体"/>
          <w:color w:val="0000FF"/>
          <w:sz w:val="22"/>
          <w:szCs w:val="22"/>
          <w:highlight w:val="yellow"/>
        </w:rPr>
      </w:pPr>
      <w:r>
        <w:rPr>
          <w:rFonts w:hint="eastAsia" w:ascii="宋体" w:hAnsi="宋体" w:cs="宋体"/>
          <w:color w:val="0000FF"/>
          <w:sz w:val="22"/>
          <w:szCs w:val="22"/>
          <w:highlight w:val="yellow"/>
        </w:rPr>
        <w:t>3.投标人须按照上表要求填写各名称所投产品的规格型号及品牌。</w:t>
      </w:r>
    </w:p>
    <w:p>
      <w:pPr>
        <w:spacing w:line="360" w:lineRule="auto"/>
        <w:ind w:firstLine="440" w:firstLineChars="200"/>
        <w:rPr>
          <w:rFonts w:hint="eastAsia" w:ascii="宋体" w:hAnsi="宋体" w:cs="宋体"/>
          <w:color w:val="0000FF"/>
          <w:sz w:val="22"/>
          <w:szCs w:val="22"/>
          <w:highlight w:val="yellow"/>
        </w:rPr>
      </w:pPr>
      <w:r>
        <w:rPr>
          <w:rFonts w:hint="eastAsia" w:ascii="宋体" w:hAnsi="宋体" w:cs="宋体"/>
          <w:color w:val="0000FF"/>
          <w:sz w:val="22"/>
          <w:szCs w:val="22"/>
          <w:highlight w:val="yellow"/>
        </w:rPr>
        <w:t>4.为有助于投标人选择投标产品，如供货要求中提供了推荐品牌（或型号）、参考品牌（或型号）等，上述品牌（或型号）仅供参考，并无限制性，投标人可以选择性能不低于推荐（或参考）的品牌（或型号）的其他品牌产品；采用其他品牌（或型号）的应在投标文件中《技术条款偏差表》中注明并提供有关技术性能指标证明资料等供评标委员会评审，未在《技术条款偏差表》中注明且未提供有关技术性能指标证明资料，或经评标委员会评审未通过的，中标后只能从招标人推荐（或参考）品牌中进行选择，合同价格不予调整。</w:t>
      </w:r>
    </w:p>
    <w:p>
      <w:pPr>
        <w:spacing w:line="360" w:lineRule="auto"/>
        <w:ind w:firstLine="440" w:firstLineChars="200"/>
        <w:rPr>
          <w:rFonts w:hint="eastAsia" w:ascii="宋体" w:hAnsi="宋体" w:cs="宋体"/>
          <w:color w:val="0000FF"/>
          <w:sz w:val="22"/>
          <w:szCs w:val="22"/>
          <w:highlight w:val="yellow"/>
        </w:rPr>
      </w:pPr>
      <w:r>
        <w:rPr>
          <w:rFonts w:hint="eastAsia" w:ascii="宋体" w:hAnsi="宋体" w:cs="宋体"/>
          <w:color w:val="0000FF"/>
          <w:sz w:val="22"/>
          <w:szCs w:val="22"/>
          <w:highlight w:val="yellow"/>
        </w:rPr>
        <w:t>5.中标后，如招标人发现中标人投标文件中投标产品品牌不符合招标人推荐品牌要求，且中标人选择的投标产品未按照第 4 条规定被评标委员会评审通过的，中标人只能从招标人推荐（或参考）品牌中进行选择，合同价格不予调整，招标人有权解除合同。</w:t>
      </w:r>
    </w:p>
    <w:sectPr>
      <w:footerReference r:id="rId13" w:type="default"/>
      <w:footerReference r:id="rId14" w:type="even"/>
      <w:footnotePr>
        <w:numFmt w:val="decimalEnclosedCircleChinese"/>
        <w:numRestart w:val="eachPage"/>
      </w:footnotePr>
      <w:pgSz w:w="11906" w:h="16838"/>
      <w:pgMar w:top="1588" w:right="1701" w:bottom="1418" w:left="170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MS Sans Serif">
    <w:altName w:val="Arial"/>
    <w:panose1 w:val="00000000000000000000"/>
    <w:charset w:val="00"/>
    <w:family w:val="swiss"/>
    <w:pitch w:val="default"/>
    <w:sig w:usb0="00000000" w:usb1="00000000" w:usb2="00000000" w:usb3="00000000" w:csb0="00000001" w:csb1="00000000"/>
  </w:font>
  <w:font w:name="monospace">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创艺简黑体">
    <w:altName w:val="黑体"/>
    <w:panose1 w:val="00000000000000000000"/>
    <w:charset w:val="86"/>
    <w:family w:val="auto"/>
    <w:pitch w:val="default"/>
    <w:sig w:usb0="00000000" w:usb1="00000000" w:usb2="00000010" w:usb3="00000000" w:csb0="0004000A" w:csb1="00000000"/>
  </w:font>
  <w:font w:name="Sylfaen">
    <w:panose1 w:val="010A0502050306030303"/>
    <w:charset w:val="00"/>
    <w:family w:val="roman"/>
    <w:pitch w:val="default"/>
    <w:sig w:usb0="04000687" w:usb1="00000000" w:usb2="00000000" w:usb3="00000000" w:csb0="2000009F" w:csb1="00000000"/>
  </w:font>
  <w:font w:name="MingLiU">
    <w:altName w:val="PMingLiU-ExtB"/>
    <w:panose1 w:val="02020509000000000000"/>
    <w:charset w:val="88"/>
    <w:family w:val="modern"/>
    <w:pitch w:val="default"/>
    <w:sig w:usb0="00000000" w:usb1="00000000" w:usb2="00000016" w:usb3="00000000" w:csb0="00100001" w:csb1="00000000"/>
  </w:font>
  <w:font w:name="楷体">
    <w:panose1 w:val="02010609060101010101"/>
    <w:charset w:val="86"/>
    <w:family w:val="modern"/>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华文彩云">
    <w:altName w:val="微软雅黑"/>
    <w:panose1 w:val="0201080004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9"/>
        <w:rFonts w:hint="eastAsia"/>
      </w:rPr>
    </w:pPr>
    <w:r>
      <w:rPr>
        <w:rStyle w:val="59"/>
      </w:rPr>
      <w:fldChar w:fldCharType="begin"/>
    </w:r>
    <w:r>
      <w:rPr>
        <w:rStyle w:val="59"/>
        <w:highlight w:val="white"/>
      </w:rPr>
      <w:instrText xml:space="preserve">PAGE  </w:instrText>
    </w:r>
    <w:r>
      <w:rPr>
        <w:rStyle w:val="59"/>
      </w:rPr>
      <w:fldChar w:fldCharType="separate"/>
    </w:r>
    <w:r>
      <w:rPr>
        <w:rStyle w:val="59"/>
        <w:highlight w:val="white"/>
      </w:rPr>
      <w:t>15</w:t>
    </w:r>
    <w:r>
      <w:rPr>
        <w:rStyle w:val="59"/>
      </w:rPr>
      <w:fldChar w:fldCharType="end"/>
    </w:r>
  </w:p>
  <w:p>
    <w:pPr>
      <w:pStyle w:val="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9"/>
      </w:rPr>
    </w:pPr>
    <w:r>
      <w:fldChar w:fldCharType="begin"/>
    </w:r>
    <w:r>
      <w:rPr>
        <w:rStyle w:val="59"/>
        <w:highlight w:val="white"/>
      </w:rPr>
      <w:instrText xml:space="preserve">PAGE  </w:instrText>
    </w:r>
    <w:r>
      <w:fldChar w:fldCharType="separate"/>
    </w:r>
    <w:r>
      <w:rPr>
        <w:rStyle w:val="59"/>
        <w:highlight w:val="white"/>
      </w:rPr>
      <w:t>1</w:t>
    </w:r>
    <w:r>
      <w:fldChar w:fldCharType="end"/>
    </w:r>
  </w:p>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_x0000_s2051" o:spid="_x0000_s205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3"/>
                  <w:rPr>
                    <w:rFonts w:hint="eastAsia"/>
                  </w:rPr>
                </w:pPr>
                <w:r>
                  <w:rPr>
                    <w:rFonts w:hint="eastAsia"/>
                  </w:rPr>
                  <w:fldChar w:fldCharType="begin"/>
                </w:r>
                <w:r>
                  <w:rPr>
                    <w:rFonts w:hint="eastAsia"/>
                  </w:rPr>
                  <w:instrText xml:space="preserve"> PAGE  \* MERGEFORMAT </w:instrText>
                </w:r>
                <w:r>
                  <w:rPr>
                    <w:rFonts w:hint="eastAsia"/>
                  </w:rPr>
                  <w:fldChar w:fldCharType="separate"/>
                </w:r>
                <w:r>
                  <w:t>52</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3"/>
                  <w:rPr>
                    <w:rFonts w:hint="eastAsia"/>
                  </w:rPr>
                </w:pPr>
                <w:r>
                  <w:rPr>
                    <w:rFonts w:hint="eastAsia"/>
                  </w:rPr>
                  <w:fldChar w:fldCharType="begin"/>
                </w:r>
                <w:r>
                  <w:rPr>
                    <w:rFonts w:hint="eastAsia"/>
                  </w:rPr>
                  <w:instrText xml:space="preserve"> PAGE  \* MERGEFORMAT </w:instrText>
                </w:r>
                <w:r>
                  <w:rPr>
                    <w:rFonts w:hint="eastAsia"/>
                  </w:rPr>
                  <w:fldChar w:fldCharType="separate"/>
                </w:r>
                <w:r>
                  <w:t>56</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9"/>
        <w:rFonts w:hint="eastAsia"/>
      </w:rPr>
    </w:pPr>
    <w:r>
      <w:rPr>
        <w:rStyle w:val="59"/>
      </w:rPr>
      <w:fldChar w:fldCharType="begin"/>
    </w:r>
    <w:r>
      <w:rPr>
        <w:rStyle w:val="59"/>
        <w:highlight w:val="white"/>
      </w:rPr>
      <w:instrText xml:space="preserve">PAGE  </w:instrText>
    </w:r>
    <w:r>
      <w:rPr>
        <w:rStyle w:val="59"/>
      </w:rPr>
      <w:fldChar w:fldCharType="separate"/>
    </w:r>
    <w:r>
      <w:rPr>
        <w:rStyle w:val="59"/>
        <w:highlight w:val="white"/>
      </w:rPr>
      <w:t>89</w:t>
    </w:r>
    <w:r>
      <w:rPr>
        <w:rStyle w:val="59"/>
      </w:rPr>
      <w:fldChar w:fldCharType="end"/>
    </w:r>
  </w:p>
  <w:p>
    <w:pPr>
      <w:pStyle w:val="3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9"/>
      </w:rPr>
    </w:pPr>
    <w:r>
      <w:fldChar w:fldCharType="begin"/>
    </w:r>
    <w:r>
      <w:rPr>
        <w:rStyle w:val="59"/>
        <w:highlight w:val="white"/>
      </w:rPr>
      <w:instrText xml:space="preserve">PAGE  </w:instrText>
    </w:r>
    <w:r>
      <w:fldChar w:fldCharType="separate"/>
    </w:r>
    <w:r>
      <w:rPr>
        <w:rStyle w:val="59"/>
        <w:highlight w:val="white"/>
      </w:rPr>
      <w:t>1</w:t>
    </w:r>
    <w:r>
      <w:fldChar w:fldCharType="end"/>
    </w:r>
  </w:p>
  <w:p>
    <w:pPr>
      <w:pStyle w:val="3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9"/>
        <w:rFonts w:hint="eastAsia" w:ascii="仿宋_GB2312" w:eastAsia="仿宋_GB2312"/>
      </w:rPr>
    </w:pPr>
    <w:r>
      <w:rPr>
        <w:rFonts w:hint="eastAsia" w:ascii="仿宋_GB2312" w:eastAsia="仿宋_GB2312"/>
      </w:rPr>
      <w:fldChar w:fldCharType="begin"/>
    </w:r>
    <w:r>
      <w:rPr>
        <w:rStyle w:val="59"/>
        <w:rFonts w:hint="eastAsia" w:ascii="仿宋_GB2312" w:eastAsia="仿宋_GB2312"/>
      </w:rPr>
      <w:instrText xml:space="preserve">PAGE  </w:instrText>
    </w:r>
    <w:r>
      <w:rPr>
        <w:rFonts w:hint="eastAsia" w:ascii="仿宋_GB2312" w:eastAsia="仿宋_GB2312"/>
      </w:rPr>
      <w:fldChar w:fldCharType="separate"/>
    </w:r>
    <w:r>
      <w:rPr>
        <w:rStyle w:val="59"/>
        <w:rFonts w:ascii="仿宋_GB2312" w:eastAsia="仿宋_GB2312"/>
      </w:rPr>
      <w:t>116</w:t>
    </w:r>
    <w:r>
      <w:rPr>
        <w:rFonts w:hint="eastAsia" w:ascii="仿宋_GB2312" w:eastAsia="仿宋_GB2312"/>
      </w:rPr>
      <w:fldChar w:fldCharType="end"/>
    </w:r>
  </w:p>
  <w:p>
    <w:pPr>
      <w:pStyle w:val="33"/>
      <w:rPr>
        <w:rFonts w:hint="eastAsi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9"/>
      </w:rPr>
    </w:pPr>
    <w:r>
      <w:fldChar w:fldCharType="begin"/>
    </w:r>
    <w:r>
      <w:rPr>
        <w:rStyle w:val="59"/>
      </w:rPr>
      <w:instrText xml:space="preserve">PAGE  </w:instrText>
    </w:r>
    <w:r>
      <w:fldChar w:fldCharType="separate"/>
    </w:r>
    <w:r>
      <w:fldChar w:fldCharType="end"/>
    </w:r>
  </w:p>
  <w:p>
    <w:pPr>
      <w:pStyle w:val="3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42"/>
        <w:keepLines/>
        <w:rPr>
          <w:rFonts w:hint="eastAsia" w:cs="楷体"/>
          <w:bCs/>
          <w:snapToGrid w:val="0"/>
          <w:color w:val="000000"/>
          <w:kern w:val="0"/>
        </w:rPr>
      </w:pPr>
    </w:p>
  </w:footnote>
  <w:footnote w:id="1">
    <w:p>
      <w:pPr>
        <w:pStyle w:val="42"/>
        <w:rPr>
          <w:rFonts w:hint="eastAsia"/>
        </w:rPr>
      </w:pPr>
      <w:r>
        <w:rPr>
          <w:rStyle w:val="64"/>
        </w:rPr>
        <w:footnoteRef/>
      </w:r>
      <w:r>
        <w:t xml:space="preserve"> </w:t>
      </w:r>
      <w:r>
        <w:rPr>
          <w:rFonts w:hint="eastAsia"/>
        </w:rPr>
        <w:t>适用于要求投标人提交“制造商授权”的情形。</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right"/>
      <w:rPr>
        <w:sz w:val="11"/>
        <w:szCs w:val="11"/>
      </w:rPr>
    </w:pPr>
    <w:r>
      <w:rPr>
        <w:rFonts w:hint="eastAsia" w:ascii="宋体" w:hAnsi="宋体" w:cs="宋体"/>
        <w:b/>
        <w:bCs/>
        <w:color w:val="000000"/>
        <w:kern w:val="0"/>
      </w:rPr>
      <w:t>安徽省第二人民医院专科医疗及科教功能区建设项目楼层配电箱采购项目招标文件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59"/>
      </w:rPr>
    </w:pPr>
    <w:r>
      <w:fldChar w:fldCharType="begin"/>
    </w:r>
    <w:r>
      <w:rPr>
        <w:rStyle w:val="59"/>
        <w:highlight w:val="white"/>
      </w:rPr>
      <w:instrText xml:space="preserve">PAGE  </w:instrText>
    </w:r>
    <w:r>
      <w:fldChar w:fldCharType="separate"/>
    </w:r>
    <w:r>
      <w:fldChar w:fldCharType="end"/>
    </w:r>
  </w:p>
  <w:p>
    <w:pPr>
      <w:pStyle w:val="3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59"/>
      </w:rPr>
    </w:pPr>
    <w:r>
      <w:fldChar w:fldCharType="begin"/>
    </w:r>
    <w:r>
      <w:rPr>
        <w:rStyle w:val="59"/>
        <w:highlight w:val="white"/>
      </w:rPr>
      <w:instrText xml:space="preserve">PAGE  </w:instrText>
    </w:r>
    <w:r>
      <w:fldChar w:fldCharType="separate"/>
    </w:r>
    <w:r>
      <w:fldChar w:fldCharType="end"/>
    </w:r>
  </w:p>
  <w:p>
    <w:pPr>
      <w:pStyle w:val="3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E54FD6"/>
    <w:multiLevelType w:val="singleLevel"/>
    <w:tmpl w:val="A7E54FD6"/>
    <w:lvl w:ilvl="0" w:tentative="0">
      <w:start w:val="1"/>
      <w:numFmt w:val="decimal"/>
      <w:suff w:val="nothing"/>
      <w:lvlText w:val="（%1）"/>
      <w:lvlJc w:val="left"/>
      <w:pPr>
        <w:ind w:left="0"/>
      </w:pPr>
    </w:lvl>
  </w:abstractNum>
  <w:abstractNum w:abstractNumId="1">
    <w:nsid w:val="289DED20"/>
    <w:multiLevelType w:val="singleLevel"/>
    <w:tmpl w:val="289DED20"/>
    <w:lvl w:ilvl="0" w:tentative="0">
      <w:start w:val="1"/>
      <w:numFmt w:val="decimal"/>
      <w:lvlText w:val="%1."/>
      <w:lvlJc w:val="left"/>
      <w:pPr>
        <w:tabs>
          <w:tab w:val="left" w:pos="312"/>
        </w:tabs>
      </w:pPr>
    </w:lvl>
  </w:abstractNum>
  <w:abstractNum w:abstractNumId="2">
    <w:nsid w:val="34B95D8D"/>
    <w:multiLevelType w:val="singleLevel"/>
    <w:tmpl w:val="34B95D8D"/>
    <w:lvl w:ilvl="0" w:tentative="0">
      <w:start w:val="1"/>
      <w:numFmt w:val="decimal"/>
      <w:lvlText w:val="%1."/>
      <w:lvlJc w:val="left"/>
      <w:pPr>
        <w:tabs>
          <w:tab w:val="left" w:pos="312"/>
        </w:tabs>
      </w:pPr>
    </w:lvl>
  </w:abstractNum>
  <w:abstractNum w:abstractNumId="3">
    <w:nsid w:val="3A4EB13F"/>
    <w:multiLevelType w:val="singleLevel"/>
    <w:tmpl w:val="3A4EB13F"/>
    <w:lvl w:ilvl="0" w:tentative="0">
      <w:start w:val="2"/>
      <w:numFmt w:val="decimal"/>
      <w:lvlText w:val="%1."/>
      <w:lvlJc w:val="left"/>
      <w:pPr>
        <w:tabs>
          <w:tab w:val="left" w:pos="312"/>
        </w:tabs>
      </w:pPr>
    </w:lvl>
  </w:abstractNum>
  <w:abstractNum w:abstractNumId="4">
    <w:nsid w:val="56081C15"/>
    <w:multiLevelType w:val="singleLevel"/>
    <w:tmpl w:val="56081C15"/>
    <w:lvl w:ilvl="0" w:tentative="0">
      <w:start w:val="1"/>
      <w:numFmt w:val="decimal"/>
      <w:suff w:val="space"/>
      <w:lvlText w:val="%1."/>
      <w:lvlJc w:val="left"/>
    </w:lvl>
  </w:abstractNum>
  <w:abstractNum w:abstractNumId="5">
    <w:nsid w:val="654DBD6B"/>
    <w:multiLevelType w:val="singleLevel"/>
    <w:tmpl w:val="654DBD6B"/>
    <w:lvl w:ilvl="0" w:tentative="0">
      <w:start w:val="2"/>
      <w:numFmt w:val="chineseCounting"/>
      <w:suff w:val="space"/>
      <w:lvlText w:val="第%1章"/>
      <w:lvlJc w:val="left"/>
      <w:rPr>
        <w:rFonts w:hint="eastAsia"/>
      </w:rPr>
    </w:lvl>
  </w:abstractNum>
  <w:abstractNum w:abstractNumId="6">
    <w:nsid w:val="7F7E5238"/>
    <w:multiLevelType w:val="multilevel"/>
    <w:tmpl w:val="7F7E5238"/>
    <w:lvl w:ilvl="0" w:tentative="0">
      <w:start w:val="1"/>
      <w:numFmt w:val="none"/>
      <w:pStyle w:val="157"/>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153"/>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159"/>
      <w:lvlText w:val="           "/>
      <w:lvlJc w:val="left"/>
      <w:pPr>
        <w:tabs>
          <w:tab w:val="left" w:pos="1440"/>
        </w:tabs>
        <w:ind w:left="1152" w:hanging="1152"/>
      </w:pPr>
      <w:rPr>
        <w:rFonts w:hint="eastAsia"/>
      </w:rPr>
    </w:lvl>
    <w:lvl w:ilvl="6" w:tentative="0">
      <w:start w:val="1"/>
      <w:numFmt w:val="decimal"/>
      <w:pStyle w:val="161"/>
      <w:lvlText w:val="%1.%2.%3.%4.%5.%6.%7"/>
      <w:lvlJc w:val="left"/>
      <w:pPr>
        <w:tabs>
          <w:tab w:val="left" w:pos="2520"/>
        </w:tabs>
        <w:ind w:left="1296" w:hanging="1296"/>
      </w:pPr>
      <w:rPr>
        <w:rFonts w:hint="eastAsia"/>
      </w:rPr>
    </w:lvl>
    <w:lvl w:ilvl="7" w:tentative="0">
      <w:start w:val="1"/>
      <w:numFmt w:val="decimal"/>
      <w:pStyle w:val="163"/>
      <w:lvlText w:val="%1.%2.%3.%4.%5.%6.%7.%8"/>
      <w:lvlJc w:val="left"/>
      <w:pPr>
        <w:tabs>
          <w:tab w:val="left" w:pos="1440"/>
        </w:tabs>
        <w:ind w:left="1440" w:hanging="1440"/>
      </w:pPr>
      <w:rPr>
        <w:rFonts w:hint="eastAsia"/>
      </w:rPr>
    </w:lvl>
    <w:lvl w:ilvl="8" w:tentative="0">
      <w:start w:val="1"/>
      <w:numFmt w:val="decimal"/>
      <w:pStyle w:val="165"/>
      <w:lvlText w:val="%1.%2.%3.%4.%5.%6.%7.%8.%9"/>
      <w:lvlJc w:val="left"/>
      <w:pPr>
        <w:tabs>
          <w:tab w:val="left" w:pos="1584"/>
        </w:tabs>
        <w:ind w:left="1584" w:hanging="1584"/>
      </w:pPr>
      <w:rPr>
        <w:rFonts w:hint="eastAsia"/>
      </w:rPr>
    </w:lvl>
  </w:abstractNum>
  <w:num w:numId="1">
    <w:abstractNumId w:val="6"/>
  </w:num>
  <w:num w:numId="2">
    <w:abstractNumId w:val="5"/>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8"/>
  <w:hideSpellingErrors/>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footnotePr>
    <w:numFmt w:val="decimalEnclosedCircleChinese"/>
    <w:numRestart w:val="eachPage"/>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FlZjBjODJhYzQ4YzdjNDI0YWMyYmRjYmJjNTcwYzcifQ=="/>
  </w:docVars>
  <w:rsids>
    <w:rsidRoot w:val="00172A27"/>
    <w:rsid w:val="00000461"/>
    <w:rsid w:val="000019D9"/>
    <w:rsid w:val="00001C66"/>
    <w:rsid w:val="00002D91"/>
    <w:rsid w:val="00005BB2"/>
    <w:rsid w:val="00007A61"/>
    <w:rsid w:val="00012F97"/>
    <w:rsid w:val="00013F89"/>
    <w:rsid w:val="00014CCC"/>
    <w:rsid w:val="00016A95"/>
    <w:rsid w:val="00017687"/>
    <w:rsid w:val="00020429"/>
    <w:rsid w:val="000219E9"/>
    <w:rsid w:val="00021C4F"/>
    <w:rsid w:val="0002308F"/>
    <w:rsid w:val="000262E8"/>
    <w:rsid w:val="00026638"/>
    <w:rsid w:val="00027183"/>
    <w:rsid w:val="00031F4B"/>
    <w:rsid w:val="00033008"/>
    <w:rsid w:val="00035DE8"/>
    <w:rsid w:val="00035F41"/>
    <w:rsid w:val="0003614A"/>
    <w:rsid w:val="0004182B"/>
    <w:rsid w:val="00043541"/>
    <w:rsid w:val="00045546"/>
    <w:rsid w:val="00050532"/>
    <w:rsid w:val="000541B0"/>
    <w:rsid w:val="00054AFE"/>
    <w:rsid w:val="00055609"/>
    <w:rsid w:val="00055C35"/>
    <w:rsid w:val="000563CA"/>
    <w:rsid w:val="00056E98"/>
    <w:rsid w:val="0006024A"/>
    <w:rsid w:val="00060CF4"/>
    <w:rsid w:val="00061014"/>
    <w:rsid w:val="00061F0A"/>
    <w:rsid w:val="000649BF"/>
    <w:rsid w:val="00066FAB"/>
    <w:rsid w:val="00071C48"/>
    <w:rsid w:val="00072109"/>
    <w:rsid w:val="00072E44"/>
    <w:rsid w:val="000737AC"/>
    <w:rsid w:val="00075557"/>
    <w:rsid w:val="00076A82"/>
    <w:rsid w:val="00076D69"/>
    <w:rsid w:val="000808E7"/>
    <w:rsid w:val="00081A25"/>
    <w:rsid w:val="000826C6"/>
    <w:rsid w:val="00082ABA"/>
    <w:rsid w:val="00082B19"/>
    <w:rsid w:val="00083E91"/>
    <w:rsid w:val="000842F6"/>
    <w:rsid w:val="0008436E"/>
    <w:rsid w:val="00084E79"/>
    <w:rsid w:val="00085373"/>
    <w:rsid w:val="0008558A"/>
    <w:rsid w:val="00085ACD"/>
    <w:rsid w:val="00085C64"/>
    <w:rsid w:val="000862D3"/>
    <w:rsid w:val="000877D7"/>
    <w:rsid w:val="00087934"/>
    <w:rsid w:val="00090238"/>
    <w:rsid w:val="00091DB7"/>
    <w:rsid w:val="00092347"/>
    <w:rsid w:val="000925E9"/>
    <w:rsid w:val="00092C06"/>
    <w:rsid w:val="0009387D"/>
    <w:rsid w:val="00094AA1"/>
    <w:rsid w:val="00094B8F"/>
    <w:rsid w:val="00097583"/>
    <w:rsid w:val="000A14D5"/>
    <w:rsid w:val="000A2093"/>
    <w:rsid w:val="000A25C9"/>
    <w:rsid w:val="000A2AE5"/>
    <w:rsid w:val="000A4786"/>
    <w:rsid w:val="000A4846"/>
    <w:rsid w:val="000A4A82"/>
    <w:rsid w:val="000A4F09"/>
    <w:rsid w:val="000A6A3E"/>
    <w:rsid w:val="000A7F56"/>
    <w:rsid w:val="000B0D81"/>
    <w:rsid w:val="000B17C0"/>
    <w:rsid w:val="000B1C86"/>
    <w:rsid w:val="000B22BF"/>
    <w:rsid w:val="000B2EA3"/>
    <w:rsid w:val="000B3B78"/>
    <w:rsid w:val="000B4502"/>
    <w:rsid w:val="000B45ED"/>
    <w:rsid w:val="000B465B"/>
    <w:rsid w:val="000B4D9B"/>
    <w:rsid w:val="000C3780"/>
    <w:rsid w:val="000C3CF6"/>
    <w:rsid w:val="000C3DE3"/>
    <w:rsid w:val="000C6D46"/>
    <w:rsid w:val="000D002B"/>
    <w:rsid w:val="000D106F"/>
    <w:rsid w:val="000D18DA"/>
    <w:rsid w:val="000D1A26"/>
    <w:rsid w:val="000D1D83"/>
    <w:rsid w:val="000D3553"/>
    <w:rsid w:val="000D49D9"/>
    <w:rsid w:val="000D6093"/>
    <w:rsid w:val="000D66D7"/>
    <w:rsid w:val="000D779A"/>
    <w:rsid w:val="000E2484"/>
    <w:rsid w:val="000E370B"/>
    <w:rsid w:val="000E5939"/>
    <w:rsid w:val="000E6540"/>
    <w:rsid w:val="000E7F67"/>
    <w:rsid w:val="000F127C"/>
    <w:rsid w:val="000F1A3A"/>
    <w:rsid w:val="000F235F"/>
    <w:rsid w:val="000F31DA"/>
    <w:rsid w:val="000F3C34"/>
    <w:rsid w:val="000F5501"/>
    <w:rsid w:val="000F7527"/>
    <w:rsid w:val="0010005B"/>
    <w:rsid w:val="00101A72"/>
    <w:rsid w:val="0010293D"/>
    <w:rsid w:val="00105AA8"/>
    <w:rsid w:val="00105B63"/>
    <w:rsid w:val="00105D46"/>
    <w:rsid w:val="00106426"/>
    <w:rsid w:val="001070B1"/>
    <w:rsid w:val="00110C05"/>
    <w:rsid w:val="00113859"/>
    <w:rsid w:val="001142AA"/>
    <w:rsid w:val="00114BD0"/>
    <w:rsid w:val="0012071E"/>
    <w:rsid w:val="0012073C"/>
    <w:rsid w:val="00120D75"/>
    <w:rsid w:val="00123E04"/>
    <w:rsid w:val="00123E2A"/>
    <w:rsid w:val="001259AF"/>
    <w:rsid w:val="00125AFD"/>
    <w:rsid w:val="00125C49"/>
    <w:rsid w:val="001271D4"/>
    <w:rsid w:val="001276C1"/>
    <w:rsid w:val="00131629"/>
    <w:rsid w:val="001319E4"/>
    <w:rsid w:val="00131C57"/>
    <w:rsid w:val="00131CE5"/>
    <w:rsid w:val="00133192"/>
    <w:rsid w:val="00133BFF"/>
    <w:rsid w:val="00134061"/>
    <w:rsid w:val="00134155"/>
    <w:rsid w:val="0013539D"/>
    <w:rsid w:val="0013621D"/>
    <w:rsid w:val="001364FA"/>
    <w:rsid w:val="0013718E"/>
    <w:rsid w:val="00140604"/>
    <w:rsid w:val="0014347A"/>
    <w:rsid w:val="001435C3"/>
    <w:rsid w:val="0014511E"/>
    <w:rsid w:val="001454C8"/>
    <w:rsid w:val="00145939"/>
    <w:rsid w:val="00145C28"/>
    <w:rsid w:val="00146130"/>
    <w:rsid w:val="00146E40"/>
    <w:rsid w:val="00151530"/>
    <w:rsid w:val="00151B1C"/>
    <w:rsid w:val="001521F2"/>
    <w:rsid w:val="0015284B"/>
    <w:rsid w:val="00153A85"/>
    <w:rsid w:val="00153F39"/>
    <w:rsid w:val="001545E0"/>
    <w:rsid w:val="00154AD4"/>
    <w:rsid w:val="0015641C"/>
    <w:rsid w:val="00157272"/>
    <w:rsid w:val="00160110"/>
    <w:rsid w:val="00161E33"/>
    <w:rsid w:val="00161FE5"/>
    <w:rsid w:val="0016668C"/>
    <w:rsid w:val="00166692"/>
    <w:rsid w:val="00166827"/>
    <w:rsid w:val="00166AFE"/>
    <w:rsid w:val="0017051A"/>
    <w:rsid w:val="0017189E"/>
    <w:rsid w:val="00172519"/>
    <w:rsid w:val="0017437F"/>
    <w:rsid w:val="001747EF"/>
    <w:rsid w:val="001762E6"/>
    <w:rsid w:val="00176B84"/>
    <w:rsid w:val="00176DC0"/>
    <w:rsid w:val="001810A5"/>
    <w:rsid w:val="0018357E"/>
    <w:rsid w:val="0018605F"/>
    <w:rsid w:val="001875F7"/>
    <w:rsid w:val="0019007C"/>
    <w:rsid w:val="00190A3D"/>
    <w:rsid w:val="001917E0"/>
    <w:rsid w:val="001929AC"/>
    <w:rsid w:val="00192D6E"/>
    <w:rsid w:val="00194A84"/>
    <w:rsid w:val="00195166"/>
    <w:rsid w:val="001A007B"/>
    <w:rsid w:val="001A0167"/>
    <w:rsid w:val="001A0491"/>
    <w:rsid w:val="001A0938"/>
    <w:rsid w:val="001A0969"/>
    <w:rsid w:val="001A2F36"/>
    <w:rsid w:val="001A3E31"/>
    <w:rsid w:val="001A4A9A"/>
    <w:rsid w:val="001A530A"/>
    <w:rsid w:val="001A59FB"/>
    <w:rsid w:val="001A5B8E"/>
    <w:rsid w:val="001A6A10"/>
    <w:rsid w:val="001B055D"/>
    <w:rsid w:val="001B27A4"/>
    <w:rsid w:val="001B3D39"/>
    <w:rsid w:val="001B54DD"/>
    <w:rsid w:val="001B713C"/>
    <w:rsid w:val="001C004F"/>
    <w:rsid w:val="001C04AE"/>
    <w:rsid w:val="001C1ADD"/>
    <w:rsid w:val="001C4EC4"/>
    <w:rsid w:val="001C593A"/>
    <w:rsid w:val="001C6830"/>
    <w:rsid w:val="001C6C76"/>
    <w:rsid w:val="001C6F7A"/>
    <w:rsid w:val="001D07B4"/>
    <w:rsid w:val="001D145C"/>
    <w:rsid w:val="001D1698"/>
    <w:rsid w:val="001D57F9"/>
    <w:rsid w:val="001D6204"/>
    <w:rsid w:val="001D67E1"/>
    <w:rsid w:val="001D690E"/>
    <w:rsid w:val="001D767F"/>
    <w:rsid w:val="001E29CA"/>
    <w:rsid w:val="001E6137"/>
    <w:rsid w:val="001E6441"/>
    <w:rsid w:val="001F04FF"/>
    <w:rsid w:val="001F3770"/>
    <w:rsid w:val="001F44E2"/>
    <w:rsid w:val="001F4AEE"/>
    <w:rsid w:val="0020034A"/>
    <w:rsid w:val="0020117F"/>
    <w:rsid w:val="002014D4"/>
    <w:rsid w:val="0020178E"/>
    <w:rsid w:val="0020234C"/>
    <w:rsid w:val="00202F49"/>
    <w:rsid w:val="00204101"/>
    <w:rsid w:val="00205198"/>
    <w:rsid w:val="00205D3F"/>
    <w:rsid w:val="00205F66"/>
    <w:rsid w:val="002060AE"/>
    <w:rsid w:val="002071BD"/>
    <w:rsid w:val="00210476"/>
    <w:rsid w:val="002119A5"/>
    <w:rsid w:val="00213224"/>
    <w:rsid w:val="0021511F"/>
    <w:rsid w:val="002153F9"/>
    <w:rsid w:val="00215627"/>
    <w:rsid w:val="00216F0A"/>
    <w:rsid w:val="00217713"/>
    <w:rsid w:val="00220082"/>
    <w:rsid w:val="00220751"/>
    <w:rsid w:val="00221ECE"/>
    <w:rsid w:val="00221FF8"/>
    <w:rsid w:val="00222F85"/>
    <w:rsid w:val="002233F3"/>
    <w:rsid w:val="00226266"/>
    <w:rsid w:val="00226C5A"/>
    <w:rsid w:val="00232726"/>
    <w:rsid w:val="00233675"/>
    <w:rsid w:val="002339E9"/>
    <w:rsid w:val="00233E6E"/>
    <w:rsid w:val="002345C8"/>
    <w:rsid w:val="00234FFF"/>
    <w:rsid w:val="00235883"/>
    <w:rsid w:val="00236480"/>
    <w:rsid w:val="00236FB8"/>
    <w:rsid w:val="00241305"/>
    <w:rsid w:val="0024213B"/>
    <w:rsid w:val="00244FA6"/>
    <w:rsid w:val="00246426"/>
    <w:rsid w:val="00246B44"/>
    <w:rsid w:val="00246F27"/>
    <w:rsid w:val="002509B3"/>
    <w:rsid w:val="00251CD1"/>
    <w:rsid w:val="00253AE2"/>
    <w:rsid w:val="00254DB7"/>
    <w:rsid w:val="0025582E"/>
    <w:rsid w:val="00256C8E"/>
    <w:rsid w:val="00257B1A"/>
    <w:rsid w:val="00257C3E"/>
    <w:rsid w:val="00257FDC"/>
    <w:rsid w:val="00260BEC"/>
    <w:rsid w:val="00260E2E"/>
    <w:rsid w:val="002613A7"/>
    <w:rsid w:val="0026256C"/>
    <w:rsid w:val="00263635"/>
    <w:rsid w:val="002645C4"/>
    <w:rsid w:val="002648E7"/>
    <w:rsid w:val="00264E48"/>
    <w:rsid w:val="0026593C"/>
    <w:rsid w:val="00265FA5"/>
    <w:rsid w:val="0026607B"/>
    <w:rsid w:val="0026677E"/>
    <w:rsid w:val="00266D19"/>
    <w:rsid w:val="00267281"/>
    <w:rsid w:val="00272D4E"/>
    <w:rsid w:val="00272D69"/>
    <w:rsid w:val="00273F5D"/>
    <w:rsid w:val="00277B84"/>
    <w:rsid w:val="002812CD"/>
    <w:rsid w:val="00281612"/>
    <w:rsid w:val="00283177"/>
    <w:rsid w:val="0028412F"/>
    <w:rsid w:val="00284F59"/>
    <w:rsid w:val="00285823"/>
    <w:rsid w:val="00285E16"/>
    <w:rsid w:val="00292889"/>
    <w:rsid w:val="002936C5"/>
    <w:rsid w:val="00295A39"/>
    <w:rsid w:val="00296BAE"/>
    <w:rsid w:val="0029746D"/>
    <w:rsid w:val="002A228C"/>
    <w:rsid w:val="002A2F1B"/>
    <w:rsid w:val="002A3D90"/>
    <w:rsid w:val="002B09EE"/>
    <w:rsid w:val="002B1536"/>
    <w:rsid w:val="002B3C7E"/>
    <w:rsid w:val="002B44E9"/>
    <w:rsid w:val="002B49A9"/>
    <w:rsid w:val="002B55E4"/>
    <w:rsid w:val="002C0428"/>
    <w:rsid w:val="002C1D63"/>
    <w:rsid w:val="002C227E"/>
    <w:rsid w:val="002C2816"/>
    <w:rsid w:val="002C3D72"/>
    <w:rsid w:val="002C634F"/>
    <w:rsid w:val="002C684A"/>
    <w:rsid w:val="002C70BC"/>
    <w:rsid w:val="002C76F0"/>
    <w:rsid w:val="002D000B"/>
    <w:rsid w:val="002D48E2"/>
    <w:rsid w:val="002D4CB3"/>
    <w:rsid w:val="002D4EF0"/>
    <w:rsid w:val="002D52DF"/>
    <w:rsid w:val="002D59A7"/>
    <w:rsid w:val="002D6433"/>
    <w:rsid w:val="002D798D"/>
    <w:rsid w:val="002E3481"/>
    <w:rsid w:val="002E45FA"/>
    <w:rsid w:val="002E48B9"/>
    <w:rsid w:val="002F263C"/>
    <w:rsid w:val="002F2B7C"/>
    <w:rsid w:val="002F2E23"/>
    <w:rsid w:val="002F3B56"/>
    <w:rsid w:val="002F4941"/>
    <w:rsid w:val="002F5BCF"/>
    <w:rsid w:val="002F5D36"/>
    <w:rsid w:val="002F5F4C"/>
    <w:rsid w:val="00301854"/>
    <w:rsid w:val="00301DF1"/>
    <w:rsid w:val="00303612"/>
    <w:rsid w:val="003039DB"/>
    <w:rsid w:val="00303A35"/>
    <w:rsid w:val="0030443C"/>
    <w:rsid w:val="003045C3"/>
    <w:rsid w:val="003104AC"/>
    <w:rsid w:val="00310623"/>
    <w:rsid w:val="00311531"/>
    <w:rsid w:val="003147D9"/>
    <w:rsid w:val="00314C93"/>
    <w:rsid w:val="00315D32"/>
    <w:rsid w:val="003161EB"/>
    <w:rsid w:val="00316D5F"/>
    <w:rsid w:val="00320423"/>
    <w:rsid w:val="00324EA8"/>
    <w:rsid w:val="003257F2"/>
    <w:rsid w:val="003269C4"/>
    <w:rsid w:val="00326B34"/>
    <w:rsid w:val="003300B5"/>
    <w:rsid w:val="0033016A"/>
    <w:rsid w:val="003304F5"/>
    <w:rsid w:val="003306C4"/>
    <w:rsid w:val="00330894"/>
    <w:rsid w:val="00330C3E"/>
    <w:rsid w:val="00331467"/>
    <w:rsid w:val="003326FE"/>
    <w:rsid w:val="00332D12"/>
    <w:rsid w:val="00333679"/>
    <w:rsid w:val="003342D8"/>
    <w:rsid w:val="00334FB4"/>
    <w:rsid w:val="003358E6"/>
    <w:rsid w:val="003360EC"/>
    <w:rsid w:val="0033634B"/>
    <w:rsid w:val="00337584"/>
    <w:rsid w:val="0034028F"/>
    <w:rsid w:val="00341FF7"/>
    <w:rsid w:val="00344F71"/>
    <w:rsid w:val="0034621F"/>
    <w:rsid w:val="00347758"/>
    <w:rsid w:val="0035112F"/>
    <w:rsid w:val="00352E8C"/>
    <w:rsid w:val="00353E21"/>
    <w:rsid w:val="003540F6"/>
    <w:rsid w:val="00360186"/>
    <w:rsid w:val="00361CD9"/>
    <w:rsid w:val="00363E5B"/>
    <w:rsid w:val="003646AC"/>
    <w:rsid w:val="00364C8B"/>
    <w:rsid w:val="00364EFC"/>
    <w:rsid w:val="00365DB2"/>
    <w:rsid w:val="00365EF4"/>
    <w:rsid w:val="00366E26"/>
    <w:rsid w:val="003707C8"/>
    <w:rsid w:val="00370BE2"/>
    <w:rsid w:val="003715A1"/>
    <w:rsid w:val="00371948"/>
    <w:rsid w:val="00371989"/>
    <w:rsid w:val="00372A91"/>
    <w:rsid w:val="00372D94"/>
    <w:rsid w:val="00372FA0"/>
    <w:rsid w:val="00373DE8"/>
    <w:rsid w:val="00373EFF"/>
    <w:rsid w:val="00374764"/>
    <w:rsid w:val="00376D3D"/>
    <w:rsid w:val="00380CEF"/>
    <w:rsid w:val="00381A84"/>
    <w:rsid w:val="003833D4"/>
    <w:rsid w:val="00384D71"/>
    <w:rsid w:val="00384FF2"/>
    <w:rsid w:val="003850AE"/>
    <w:rsid w:val="00387606"/>
    <w:rsid w:val="0039162A"/>
    <w:rsid w:val="00393B6D"/>
    <w:rsid w:val="00394B21"/>
    <w:rsid w:val="0039590C"/>
    <w:rsid w:val="00395DB7"/>
    <w:rsid w:val="00395DEA"/>
    <w:rsid w:val="00396785"/>
    <w:rsid w:val="003A01B6"/>
    <w:rsid w:val="003A05FB"/>
    <w:rsid w:val="003A07CE"/>
    <w:rsid w:val="003A2B28"/>
    <w:rsid w:val="003A495D"/>
    <w:rsid w:val="003A5FA7"/>
    <w:rsid w:val="003B02CE"/>
    <w:rsid w:val="003B052D"/>
    <w:rsid w:val="003B09BA"/>
    <w:rsid w:val="003B1797"/>
    <w:rsid w:val="003B225A"/>
    <w:rsid w:val="003B5FCE"/>
    <w:rsid w:val="003B7569"/>
    <w:rsid w:val="003C0BA3"/>
    <w:rsid w:val="003C28FB"/>
    <w:rsid w:val="003C39BB"/>
    <w:rsid w:val="003C5396"/>
    <w:rsid w:val="003C5488"/>
    <w:rsid w:val="003C580D"/>
    <w:rsid w:val="003C5D7A"/>
    <w:rsid w:val="003C6816"/>
    <w:rsid w:val="003C6964"/>
    <w:rsid w:val="003C7270"/>
    <w:rsid w:val="003D175A"/>
    <w:rsid w:val="003D1F76"/>
    <w:rsid w:val="003D2AB8"/>
    <w:rsid w:val="003D2D29"/>
    <w:rsid w:val="003D409E"/>
    <w:rsid w:val="003D4CCA"/>
    <w:rsid w:val="003D4E39"/>
    <w:rsid w:val="003D5B95"/>
    <w:rsid w:val="003D5BBE"/>
    <w:rsid w:val="003D61D2"/>
    <w:rsid w:val="003D6591"/>
    <w:rsid w:val="003D7233"/>
    <w:rsid w:val="003D7681"/>
    <w:rsid w:val="003E183F"/>
    <w:rsid w:val="003E3D34"/>
    <w:rsid w:val="003E55C6"/>
    <w:rsid w:val="003E61FF"/>
    <w:rsid w:val="003E777E"/>
    <w:rsid w:val="003F0FAA"/>
    <w:rsid w:val="003F2797"/>
    <w:rsid w:val="003F2F68"/>
    <w:rsid w:val="003F4D6A"/>
    <w:rsid w:val="0040081C"/>
    <w:rsid w:val="004015E0"/>
    <w:rsid w:val="00403319"/>
    <w:rsid w:val="004034CC"/>
    <w:rsid w:val="0040492A"/>
    <w:rsid w:val="0040587E"/>
    <w:rsid w:val="0040743D"/>
    <w:rsid w:val="00407C80"/>
    <w:rsid w:val="00410DA8"/>
    <w:rsid w:val="004118D3"/>
    <w:rsid w:val="00412619"/>
    <w:rsid w:val="00413BAD"/>
    <w:rsid w:val="00413E15"/>
    <w:rsid w:val="0041644E"/>
    <w:rsid w:val="0041741D"/>
    <w:rsid w:val="0041744F"/>
    <w:rsid w:val="0041788D"/>
    <w:rsid w:val="0042310F"/>
    <w:rsid w:val="00423F31"/>
    <w:rsid w:val="00424343"/>
    <w:rsid w:val="0042650E"/>
    <w:rsid w:val="00426B61"/>
    <w:rsid w:val="00426D10"/>
    <w:rsid w:val="00427E57"/>
    <w:rsid w:val="00430306"/>
    <w:rsid w:val="00432500"/>
    <w:rsid w:val="00435627"/>
    <w:rsid w:val="004362DD"/>
    <w:rsid w:val="00436669"/>
    <w:rsid w:val="00443529"/>
    <w:rsid w:val="00443AD9"/>
    <w:rsid w:val="00443EBF"/>
    <w:rsid w:val="004500F7"/>
    <w:rsid w:val="00450B5A"/>
    <w:rsid w:val="004518D3"/>
    <w:rsid w:val="00451EBE"/>
    <w:rsid w:val="00452397"/>
    <w:rsid w:val="00453001"/>
    <w:rsid w:val="00455848"/>
    <w:rsid w:val="00460F57"/>
    <w:rsid w:val="004613C3"/>
    <w:rsid w:val="004619DB"/>
    <w:rsid w:val="004635B9"/>
    <w:rsid w:val="00465417"/>
    <w:rsid w:val="00465EA1"/>
    <w:rsid w:val="00466180"/>
    <w:rsid w:val="004679F2"/>
    <w:rsid w:val="00474782"/>
    <w:rsid w:val="004810BE"/>
    <w:rsid w:val="00482B2E"/>
    <w:rsid w:val="0048314B"/>
    <w:rsid w:val="00485909"/>
    <w:rsid w:val="00490447"/>
    <w:rsid w:val="00490B03"/>
    <w:rsid w:val="004923FF"/>
    <w:rsid w:val="00493102"/>
    <w:rsid w:val="00493C9D"/>
    <w:rsid w:val="00494050"/>
    <w:rsid w:val="004955A9"/>
    <w:rsid w:val="00495C3F"/>
    <w:rsid w:val="004A0217"/>
    <w:rsid w:val="004A04E7"/>
    <w:rsid w:val="004A0AD1"/>
    <w:rsid w:val="004A1FFB"/>
    <w:rsid w:val="004A4C6F"/>
    <w:rsid w:val="004A5E76"/>
    <w:rsid w:val="004A6851"/>
    <w:rsid w:val="004B0ECA"/>
    <w:rsid w:val="004B1463"/>
    <w:rsid w:val="004B2176"/>
    <w:rsid w:val="004B2D29"/>
    <w:rsid w:val="004B36E9"/>
    <w:rsid w:val="004B3888"/>
    <w:rsid w:val="004B60BE"/>
    <w:rsid w:val="004B6550"/>
    <w:rsid w:val="004B7477"/>
    <w:rsid w:val="004C197E"/>
    <w:rsid w:val="004C4104"/>
    <w:rsid w:val="004C525D"/>
    <w:rsid w:val="004C52CE"/>
    <w:rsid w:val="004C64ED"/>
    <w:rsid w:val="004D024A"/>
    <w:rsid w:val="004D098B"/>
    <w:rsid w:val="004D0A17"/>
    <w:rsid w:val="004D3594"/>
    <w:rsid w:val="004D4D46"/>
    <w:rsid w:val="004D6EEF"/>
    <w:rsid w:val="004D7715"/>
    <w:rsid w:val="004D7870"/>
    <w:rsid w:val="004D7FBF"/>
    <w:rsid w:val="004E0904"/>
    <w:rsid w:val="004E2B01"/>
    <w:rsid w:val="004E2DE3"/>
    <w:rsid w:val="004E441F"/>
    <w:rsid w:val="004E49D7"/>
    <w:rsid w:val="004E4A7E"/>
    <w:rsid w:val="004E530C"/>
    <w:rsid w:val="004E5396"/>
    <w:rsid w:val="004E67DC"/>
    <w:rsid w:val="004E714D"/>
    <w:rsid w:val="004E76D0"/>
    <w:rsid w:val="004E7F0D"/>
    <w:rsid w:val="004F0D60"/>
    <w:rsid w:val="004F1A0C"/>
    <w:rsid w:val="004F2D32"/>
    <w:rsid w:val="004F32AB"/>
    <w:rsid w:val="004F4A05"/>
    <w:rsid w:val="004F6B97"/>
    <w:rsid w:val="004F6FA4"/>
    <w:rsid w:val="004F7733"/>
    <w:rsid w:val="00500274"/>
    <w:rsid w:val="0050135B"/>
    <w:rsid w:val="005025B9"/>
    <w:rsid w:val="00502913"/>
    <w:rsid w:val="00503966"/>
    <w:rsid w:val="00503CEC"/>
    <w:rsid w:val="00504C81"/>
    <w:rsid w:val="00504D5C"/>
    <w:rsid w:val="00506483"/>
    <w:rsid w:val="0050773C"/>
    <w:rsid w:val="005109E0"/>
    <w:rsid w:val="00510ACA"/>
    <w:rsid w:val="00511369"/>
    <w:rsid w:val="00511BDA"/>
    <w:rsid w:val="005124CD"/>
    <w:rsid w:val="00513C4A"/>
    <w:rsid w:val="005141EF"/>
    <w:rsid w:val="005170F4"/>
    <w:rsid w:val="005233A8"/>
    <w:rsid w:val="00523414"/>
    <w:rsid w:val="00526434"/>
    <w:rsid w:val="00526DCB"/>
    <w:rsid w:val="00527FDD"/>
    <w:rsid w:val="00531621"/>
    <w:rsid w:val="005346DA"/>
    <w:rsid w:val="00534ED4"/>
    <w:rsid w:val="00535EEF"/>
    <w:rsid w:val="00536D1A"/>
    <w:rsid w:val="005371EF"/>
    <w:rsid w:val="00540235"/>
    <w:rsid w:val="00541016"/>
    <w:rsid w:val="00541C39"/>
    <w:rsid w:val="00541E9E"/>
    <w:rsid w:val="00543576"/>
    <w:rsid w:val="00544A8B"/>
    <w:rsid w:val="005502F4"/>
    <w:rsid w:val="00551635"/>
    <w:rsid w:val="00551FCF"/>
    <w:rsid w:val="00552E50"/>
    <w:rsid w:val="0055318B"/>
    <w:rsid w:val="005534A0"/>
    <w:rsid w:val="00554FE5"/>
    <w:rsid w:val="00555969"/>
    <w:rsid w:val="00556DA3"/>
    <w:rsid w:val="00556E33"/>
    <w:rsid w:val="0056004D"/>
    <w:rsid w:val="00562235"/>
    <w:rsid w:val="00562D2C"/>
    <w:rsid w:val="00564366"/>
    <w:rsid w:val="00564BA2"/>
    <w:rsid w:val="00571CC8"/>
    <w:rsid w:val="0057551F"/>
    <w:rsid w:val="00575834"/>
    <w:rsid w:val="00584B20"/>
    <w:rsid w:val="0058702C"/>
    <w:rsid w:val="005906A4"/>
    <w:rsid w:val="0059193A"/>
    <w:rsid w:val="005939C1"/>
    <w:rsid w:val="0059470F"/>
    <w:rsid w:val="00594AD6"/>
    <w:rsid w:val="00594F3A"/>
    <w:rsid w:val="005961D1"/>
    <w:rsid w:val="00597A24"/>
    <w:rsid w:val="005A104B"/>
    <w:rsid w:val="005A1833"/>
    <w:rsid w:val="005A27D9"/>
    <w:rsid w:val="005A2A27"/>
    <w:rsid w:val="005A4608"/>
    <w:rsid w:val="005A4823"/>
    <w:rsid w:val="005A4BE8"/>
    <w:rsid w:val="005A5030"/>
    <w:rsid w:val="005A6ECD"/>
    <w:rsid w:val="005A7746"/>
    <w:rsid w:val="005A7F78"/>
    <w:rsid w:val="005B23B8"/>
    <w:rsid w:val="005B33F6"/>
    <w:rsid w:val="005B3C35"/>
    <w:rsid w:val="005B52B2"/>
    <w:rsid w:val="005B5495"/>
    <w:rsid w:val="005B5F78"/>
    <w:rsid w:val="005B6550"/>
    <w:rsid w:val="005B6BFD"/>
    <w:rsid w:val="005B749F"/>
    <w:rsid w:val="005C0DC4"/>
    <w:rsid w:val="005C3E33"/>
    <w:rsid w:val="005C4774"/>
    <w:rsid w:val="005C4D9D"/>
    <w:rsid w:val="005C5285"/>
    <w:rsid w:val="005C59BB"/>
    <w:rsid w:val="005D1249"/>
    <w:rsid w:val="005D4328"/>
    <w:rsid w:val="005D4354"/>
    <w:rsid w:val="005D5BB7"/>
    <w:rsid w:val="005D5F8E"/>
    <w:rsid w:val="005D71EF"/>
    <w:rsid w:val="005E2CDE"/>
    <w:rsid w:val="005E413E"/>
    <w:rsid w:val="005E4E4F"/>
    <w:rsid w:val="005E503B"/>
    <w:rsid w:val="005F1AD0"/>
    <w:rsid w:val="005F22BC"/>
    <w:rsid w:val="005F24F2"/>
    <w:rsid w:val="005F3A7D"/>
    <w:rsid w:val="005F6051"/>
    <w:rsid w:val="00601FDA"/>
    <w:rsid w:val="006050D3"/>
    <w:rsid w:val="006061AF"/>
    <w:rsid w:val="00606E1B"/>
    <w:rsid w:val="00606F16"/>
    <w:rsid w:val="00611263"/>
    <w:rsid w:val="00611ECA"/>
    <w:rsid w:val="006120E3"/>
    <w:rsid w:val="00613E64"/>
    <w:rsid w:val="0061403D"/>
    <w:rsid w:val="00614CBE"/>
    <w:rsid w:val="00615287"/>
    <w:rsid w:val="006176F4"/>
    <w:rsid w:val="00617BB2"/>
    <w:rsid w:val="00621384"/>
    <w:rsid w:val="00622417"/>
    <w:rsid w:val="00622633"/>
    <w:rsid w:val="00623956"/>
    <w:rsid w:val="006240AA"/>
    <w:rsid w:val="006249C1"/>
    <w:rsid w:val="0062647F"/>
    <w:rsid w:val="00626727"/>
    <w:rsid w:val="00626FB3"/>
    <w:rsid w:val="006273D7"/>
    <w:rsid w:val="00632B6F"/>
    <w:rsid w:val="00632CA3"/>
    <w:rsid w:val="0063419D"/>
    <w:rsid w:val="00636823"/>
    <w:rsid w:val="006401CD"/>
    <w:rsid w:val="0064093C"/>
    <w:rsid w:val="00642852"/>
    <w:rsid w:val="0064296F"/>
    <w:rsid w:val="00650369"/>
    <w:rsid w:val="00650CDD"/>
    <w:rsid w:val="00650CE9"/>
    <w:rsid w:val="00651A52"/>
    <w:rsid w:val="00651BCD"/>
    <w:rsid w:val="006540C1"/>
    <w:rsid w:val="006544C5"/>
    <w:rsid w:val="00654CC7"/>
    <w:rsid w:val="00654F78"/>
    <w:rsid w:val="00654FAA"/>
    <w:rsid w:val="00657296"/>
    <w:rsid w:val="006573CF"/>
    <w:rsid w:val="00660886"/>
    <w:rsid w:val="00661D14"/>
    <w:rsid w:val="00661DB1"/>
    <w:rsid w:val="00661FB2"/>
    <w:rsid w:val="00664D79"/>
    <w:rsid w:val="00665CF0"/>
    <w:rsid w:val="006675B7"/>
    <w:rsid w:val="006717F3"/>
    <w:rsid w:val="00672313"/>
    <w:rsid w:val="00673307"/>
    <w:rsid w:val="00673637"/>
    <w:rsid w:val="006751B5"/>
    <w:rsid w:val="00676043"/>
    <w:rsid w:val="00676238"/>
    <w:rsid w:val="006764E3"/>
    <w:rsid w:val="00676527"/>
    <w:rsid w:val="00676FA5"/>
    <w:rsid w:val="0067766B"/>
    <w:rsid w:val="00680376"/>
    <w:rsid w:val="006804CF"/>
    <w:rsid w:val="006806F3"/>
    <w:rsid w:val="00680804"/>
    <w:rsid w:val="0068329B"/>
    <w:rsid w:val="006838B4"/>
    <w:rsid w:val="00685001"/>
    <w:rsid w:val="0068518F"/>
    <w:rsid w:val="00685801"/>
    <w:rsid w:val="0068754C"/>
    <w:rsid w:val="00690D15"/>
    <w:rsid w:val="006923F8"/>
    <w:rsid w:val="00693578"/>
    <w:rsid w:val="00693CB1"/>
    <w:rsid w:val="00694B61"/>
    <w:rsid w:val="00694BDE"/>
    <w:rsid w:val="00695913"/>
    <w:rsid w:val="00695958"/>
    <w:rsid w:val="006A212F"/>
    <w:rsid w:val="006A349A"/>
    <w:rsid w:val="006A37D7"/>
    <w:rsid w:val="006A3A00"/>
    <w:rsid w:val="006A424B"/>
    <w:rsid w:val="006A56D4"/>
    <w:rsid w:val="006A577A"/>
    <w:rsid w:val="006A578C"/>
    <w:rsid w:val="006A5D30"/>
    <w:rsid w:val="006A6B8F"/>
    <w:rsid w:val="006B043E"/>
    <w:rsid w:val="006B17A9"/>
    <w:rsid w:val="006B2762"/>
    <w:rsid w:val="006B4459"/>
    <w:rsid w:val="006B5FA2"/>
    <w:rsid w:val="006B659B"/>
    <w:rsid w:val="006B66CD"/>
    <w:rsid w:val="006B78C8"/>
    <w:rsid w:val="006C08F3"/>
    <w:rsid w:val="006C0BE3"/>
    <w:rsid w:val="006C1B81"/>
    <w:rsid w:val="006C1C09"/>
    <w:rsid w:val="006C2FF5"/>
    <w:rsid w:val="006C6D0C"/>
    <w:rsid w:val="006C6F0A"/>
    <w:rsid w:val="006C7577"/>
    <w:rsid w:val="006D0229"/>
    <w:rsid w:val="006D2C7A"/>
    <w:rsid w:val="006D2EF0"/>
    <w:rsid w:val="006D3738"/>
    <w:rsid w:val="006D3F7B"/>
    <w:rsid w:val="006D48E3"/>
    <w:rsid w:val="006D55D6"/>
    <w:rsid w:val="006D57D6"/>
    <w:rsid w:val="006D6A8D"/>
    <w:rsid w:val="006D7961"/>
    <w:rsid w:val="006E17F3"/>
    <w:rsid w:val="006E244C"/>
    <w:rsid w:val="006E3598"/>
    <w:rsid w:val="006E3F45"/>
    <w:rsid w:val="006E3F9A"/>
    <w:rsid w:val="006E3FE9"/>
    <w:rsid w:val="006E4BC2"/>
    <w:rsid w:val="006E5704"/>
    <w:rsid w:val="006E6195"/>
    <w:rsid w:val="006F234A"/>
    <w:rsid w:val="006F2B47"/>
    <w:rsid w:val="006F36B6"/>
    <w:rsid w:val="006F3B32"/>
    <w:rsid w:val="006F44EE"/>
    <w:rsid w:val="00701A2F"/>
    <w:rsid w:val="00703242"/>
    <w:rsid w:val="0070613E"/>
    <w:rsid w:val="007067F8"/>
    <w:rsid w:val="00711083"/>
    <w:rsid w:val="00712EBE"/>
    <w:rsid w:val="00713DE2"/>
    <w:rsid w:val="00714313"/>
    <w:rsid w:val="00715066"/>
    <w:rsid w:val="0071515C"/>
    <w:rsid w:val="0071649C"/>
    <w:rsid w:val="007165BB"/>
    <w:rsid w:val="00717DAC"/>
    <w:rsid w:val="0072052C"/>
    <w:rsid w:val="00720BC7"/>
    <w:rsid w:val="00721BC3"/>
    <w:rsid w:val="00721F1A"/>
    <w:rsid w:val="00726354"/>
    <w:rsid w:val="00726B78"/>
    <w:rsid w:val="00727A4C"/>
    <w:rsid w:val="00727A9E"/>
    <w:rsid w:val="00731CEC"/>
    <w:rsid w:val="00735B6F"/>
    <w:rsid w:val="00735CAB"/>
    <w:rsid w:val="007419D4"/>
    <w:rsid w:val="00742D4C"/>
    <w:rsid w:val="0074389F"/>
    <w:rsid w:val="00743DC0"/>
    <w:rsid w:val="00743EA9"/>
    <w:rsid w:val="00744492"/>
    <w:rsid w:val="007446DB"/>
    <w:rsid w:val="00745241"/>
    <w:rsid w:val="00745DC6"/>
    <w:rsid w:val="00752A4D"/>
    <w:rsid w:val="00753F23"/>
    <w:rsid w:val="00754761"/>
    <w:rsid w:val="00754C32"/>
    <w:rsid w:val="007562E5"/>
    <w:rsid w:val="007575BF"/>
    <w:rsid w:val="00760061"/>
    <w:rsid w:val="007607C0"/>
    <w:rsid w:val="00761B14"/>
    <w:rsid w:val="00763089"/>
    <w:rsid w:val="0076547E"/>
    <w:rsid w:val="007657B5"/>
    <w:rsid w:val="0076761E"/>
    <w:rsid w:val="00767BF6"/>
    <w:rsid w:val="0077240B"/>
    <w:rsid w:val="00772A1B"/>
    <w:rsid w:val="00773C84"/>
    <w:rsid w:val="0077446C"/>
    <w:rsid w:val="00774592"/>
    <w:rsid w:val="00775B35"/>
    <w:rsid w:val="00775D70"/>
    <w:rsid w:val="00777F5F"/>
    <w:rsid w:val="00782DDC"/>
    <w:rsid w:val="007836A0"/>
    <w:rsid w:val="0078399A"/>
    <w:rsid w:val="00783DF7"/>
    <w:rsid w:val="00783E08"/>
    <w:rsid w:val="007842E7"/>
    <w:rsid w:val="00787055"/>
    <w:rsid w:val="00790DEF"/>
    <w:rsid w:val="007927A2"/>
    <w:rsid w:val="007928F1"/>
    <w:rsid w:val="00793EC8"/>
    <w:rsid w:val="00796154"/>
    <w:rsid w:val="00796BC9"/>
    <w:rsid w:val="007A42BF"/>
    <w:rsid w:val="007B24C2"/>
    <w:rsid w:val="007B258C"/>
    <w:rsid w:val="007B3D1F"/>
    <w:rsid w:val="007B3D49"/>
    <w:rsid w:val="007B68F5"/>
    <w:rsid w:val="007B797B"/>
    <w:rsid w:val="007B7BB1"/>
    <w:rsid w:val="007C002E"/>
    <w:rsid w:val="007C1861"/>
    <w:rsid w:val="007C279A"/>
    <w:rsid w:val="007C3152"/>
    <w:rsid w:val="007C3240"/>
    <w:rsid w:val="007C3B94"/>
    <w:rsid w:val="007C495E"/>
    <w:rsid w:val="007C496A"/>
    <w:rsid w:val="007C4C8C"/>
    <w:rsid w:val="007C54F2"/>
    <w:rsid w:val="007C592C"/>
    <w:rsid w:val="007C5B4F"/>
    <w:rsid w:val="007D15FB"/>
    <w:rsid w:val="007D17F1"/>
    <w:rsid w:val="007D6D63"/>
    <w:rsid w:val="007E0C5C"/>
    <w:rsid w:val="007E1661"/>
    <w:rsid w:val="007E267C"/>
    <w:rsid w:val="007E2D8F"/>
    <w:rsid w:val="007E2E8C"/>
    <w:rsid w:val="007E3364"/>
    <w:rsid w:val="007E3478"/>
    <w:rsid w:val="007E38A5"/>
    <w:rsid w:val="007E38FD"/>
    <w:rsid w:val="007E4DCA"/>
    <w:rsid w:val="007E55EF"/>
    <w:rsid w:val="007E5CF9"/>
    <w:rsid w:val="007E7025"/>
    <w:rsid w:val="007F1A4C"/>
    <w:rsid w:val="007F2E34"/>
    <w:rsid w:val="007F458F"/>
    <w:rsid w:val="007F4DB3"/>
    <w:rsid w:val="008009D5"/>
    <w:rsid w:val="00803F7B"/>
    <w:rsid w:val="008059A1"/>
    <w:rsid w:val="0081013A"/>
    <w:rsid w:val="00810892"/>
    <w:rsid w:val="00810F9C"/>
    <w:rsid w:val="00812FD9"/>
    <w:rsid w:val="00815AAC"/>
    <w:rsid w:val="00815B64"/>
    <w:rsid w:val="00815F5A"/>
    <w:rsid w:val="008166AB"/>
    <w:rsid w:val="00817061"/>
    <w:rsid w:val="008220D8"/>
    <w:rsid w:val="0082255A"/>
    <w:rsid w:val="00823D2C"/>
    <w:rsid w:val="00824953"/>
    <w:rsid w:val="00824DA7"/>
    <w:rsid w:val="00825989"/>
    <w:rsid w:val="00826CE5"/>
    <w:rsid w:val="0083075C"/>
    <w:rsid w:val="00830CE4"/>
    <w:rsid w:val="00830ED9"/>
    <w:rsid w:val="008313DE"/>
    <w:rsid w:val="008326F3"/>
    <w:rsid w:val="00832A2B"/>
    <w:rsid w:val="008333AF"/>
    <w:rsid w:val="0083690B"/>
    <w:rsid w:val="008405FD"/>
    <w:rsid w:val="00840AE4"/>
    <w:rsid w:val="00841679"/>
    <w:rsid w:val="00842A67"/>
    <w:rsid w:val="00843AE0"/>
    <w:rsid w:val="00843F99"/>
    <w:rsid w:val="008463F2"/>
    <w:rsid w:val="00846C49"/>
    <w:rsid w:val="00847484"/>
    <w:rsid w:val="00847AF9"/>
    <w:rsid w:val="008518F8"/>
    <w:rsid w:val="00851B50"/>
    <w:rsid w:val="00852070"/>
    <w:rsid w:val="00852556"/>
    <w:rsid w:val="00852678"/>
    <w:rsid w:val="008534D4"/>
    <w:rsid w:val="0085374D"/>
    <w:rsid w:val="00853F0A"/>
    <w:rsid w:val="008549CB"/>
    <w:rsid w:val="0085570C"/>
    <w:rsid w:val="00855AD7"/>
    <w:rsid w:val="00855C61"/>
    <w:rsid w:val="008566A9"/>
    <w:rsid w:val="00856FDD"/>
    <w:rsid w:val="00860381"/>
    <w:rsid w:val="00860425"/>
    <w:rsid w:val="008630AE"/>
    <w:rsid w:val="00863B35"/>
    <w:rsid w:val="0086476F"/>
    <w:rsid w:val="0086481D"/>
    <w:rsid w:val="00864CE2"/>
    <w:rsid w:val="00866511"/>
    <w:rsid w:val="00866D47"/>
    <w:rsid w:val="00866F14"/>
    <w:rsid w:val="00867341"/>
    <w:rsid w:val="0087002D"/>
    <w:rsid w:val="008716D0"/>
    <w:rsid w:val="00872582"/>
    <w:rsid w:val="00872C79"/>
    <w:rsid w:val="008731C5"/>
    <w:rsid w:val="00873D8A"/>
    <w:rsid w:val="00873ED3"/>
    <w:rsid w:val="00874105"/>
    <w:rsid w:val="008753D2"/>
    <w:rsid w:val="00876E32"/>
    <w:rsid w:val="00877A64"/>
    <w:rsid w:val="00877CBE"/>
    <w:rsid w:val="00877D4B"/>
    <w:rsid w:val="008841FD"/>
    <w:rsid w:val="00884255"/>
    <w:rsid w:val="00884BFF"/>
    <w:rsid w:val="00885303"/>
    <w:rsid w:val="00885705"/>
    <w:rsid w:val="008874A0"/>
    <w:rsid w:val="00890395"/>
    <w:rsid w:val="008930AF"/>
    <w:rsid w:val="008949D1"/>
    <w:rsid w:val="008954E5"/>
    <w:rsid w:val="0089710F"/>
    <w:rsid w:val="00897FC2"/>
    <w:rsid w:val="008A0107"/>
    <w:rsid w:val="008A04A3"/>
    <w:rsid w:val="008A0507"/>
    <w:rsid w:val="008A05A0"/>
    <w:rsid w:val="008A088B"/>
    <w:rsid w:val="008A219B"/>
    <w:rsid w:val="008A25DB"/>
    <w:rsid w:val="008A2C14"/>
    <w:rsid w:val="008A5076"/>
    <w:rsid w:val="008A59D0"/>
    <w:rsid w:val="008A59D8"/>
    <w:rsid w:val="008A5D88"/>
    <w:rsid w:val="008B03C6"/>
    <w:rsid w:val="008B133F"/>
    <w:rsid w:val="008B2460"/>
    <w:rsid w:val="008B2E3F"/>
    <w:rsid w:val="008B3055"/>
    <w:rsid w:val="008B426A"/>
    <w:rsid w:val="008B5B6E"/>
    <w:rsid w:val="008B5CBE"/>
    <w:rsid w:val="008B6246"/>
    <w:rsid w:val="008C06F2"/>
    <w:rsid w:val="008C1CB1"/>
    <w:rsid w:val="008C2209"/>
    <w:rsid w:val="008C2C02"/>
    <w:rsid w:val="008C314D"/>
    <w:rsid w:val="008C3FF5"/>
    <w:rsid w:val="008C4357"/>
    <w:rsid w:val="008C4627"/>
    <w:rsid w:val="008C4A8A"/>
    <w:rsid w:val="008C4BB2"/>
    <w:rsid w:val="008C4E82"/>
    <w:rsid w:val="008C59E4"/>
    <w:rsid w:val="008C6781"/>
    <w:rsid w:val="008D01ED"/>
    <w:rsid w:val="008D0202"/>
    <w:rsid w:val="008D0B6E"/>
    <w:rsid w:val="008D178A"/>
    <w:rsid w:val="008D1BEA"/>
    <w:rsid w:val="008D366B"/>
    <w:rsid w:val="008D3C2E"/>
    <w:rsid w:val="008D3F9A"/>
    <w:rsid w:val="008D40DE"/>
    <w:rsid w:val="008D4631"/>
    <w:rsid w:val="008D6112"/>
    <w:rsid w:val="008D62E6"/>
    <w:rsid w:val="008D62F3"/>
    <w:rsid w:val="008E156C"/>
    <w:rsid w:val="008E45F6"/>
    <w:rsid w:val="008E537A"/>
    <w:rsid w:val="008E53BC"/>
    <w:rsid w:val="008E5C88"/>
    <w:rsid w:val="008E613E"/>
    <w:rsid w:val="008E6470"/>
    <w:rsid w:val="008E795B"/>
    <w:rsid w:val="008E7F52"/>
    <w:rsid w:val="008F058F"/>
    <w:rsid w:val="008F1508"/>
    <w:rsid w:val="008F3C16"/>
    <w:rsid w:val="008F3CB5"/>
    <w:rsid w:val="008F4182"/>
    <w:rsid w:val="008F4371"/>
    <w:rsid w:val="008F6B1E"/>
    <w:rsid w:val="008F6B35"/>
    <w:rsid w:val="008F6DEE"/>
    <w:rsid w:val="0090558E"/>
    <w:rsid w:val="009056F0"/>
    <w:rsid w:val="00906CA0"/>
    <w:rsid w:val="0091194F"/>
    <w:rsid w:val="009149AB"/>
    <w:rsid w:val="0091608C"/>
    <w:rsid w:val="00916404"/>
    <w:rsid w:val="009174F7"/>
    <w:rsid w:val="00917E75"/>
    <w:rsid w:val="00920C9C"/>
    <w:rsid w:val="009217C6"/>
    <w:rsid w:val="0092363B"/>
    <w:rsid w:val="00924482"/>
    <w:rsid w:val="00924E22"/>
    <w:rsid w:val="0092567C"/>
    <w:rsid w:val="00926C5C"/>
    <w:rsid w:val="00930BE7"/>
    <w:rsid w:val="00931EB7"/>
    <w:rsid w:val="00932A63"/>
    <w:rsid w:val="00932BE9"/>
    <w:rsid w:val="00932D32"/>
    <w:rsid w:val="009331D1"/>
    <w:rsid w:val="009332C9"/>
    <w:rsid w:val="0093398A"/>
    <w:rsid w:val="00933A6C"/>
    <w:rsid w:val="00933FC7"/>
    <w:rsid w:val="00934782"/>
    <w:rsid w:val="00936360"/>
    <w:rsid w:val="0093789A"/>
    <w:rsid w:val="00940F53"/>
    <w:rsid w:val="00941616"/>
    <w:rsid w:val="00941845"/>
    <w:rsid w:val="0094204D"/>
    <w:rsid w:val="00942490"/>
    <w:rsid w:val="0094368E"/>
    <w:rsid w:val="0094387B"/>
    <w:rsid w:val="009440CC"/>
    <w:rsid w:val="0094440D"/>
    <w:rsid w:val="009505E4"/>
    <w:rsid w:val="00950A4F"/>
    <w:rsid w:val="00950F5E"/>
    <w:rsid w:val="00951962"/>
    <w:rsid w:val="00951E1D"/>
    <w:rsid w:val="009522BD"/>
    <w:rsid w:val="00954B6A"/>
    <w:rsid w:val="009554C6"/>
    <w:rsid w:val="009557BA"/>
    <w:rsid w:val="00957CE2"/>
    <w:rsid w:val="009616B3"/>
    <w:rsid w:val="0096243F"/>
    <w:rsid w:val="00962E6A"/>
    <w:rsid w:val="00966002"/>
    <w:rsid w:val="0096649D"/>
    <w:rsid w:val="009665E4"/>
    <w:rsid w:val="009752C8"/>
    <w:rsid w:val="00975790"/>
    <w:rsid w:val="0097644B"/>
    <w:rsid w:val="00976AD9"/>
    <w:rsid w:val="009776DD"/>
    <w:rsid w:val="0098187E"/>
    <w:rsid w:val="0098294B"/>
    <w:rsid w:val="00983996"/>
    <w:rsid w:val="009845B7"/>
    <w:rsid w:val="009867C6"/>
    <w:rsid w:val="00986A00"/>
    <w:rsid w:val="00986ADB"/>
    <w:rsid w:val="00986C04"/>
    <w:rsid w:val="0099032D"/>
    <w:rsid w:val="00990732"/>
    <w:rsid w:val="00990954"/>
    <w:rsid w:val="0099573D"/>
    <w:rsid w:val="009A0071"/>
    <w:rsid w:val="009A01B1"/>
    <w:rsid w:val="009A0E20"/>
    <w:rsid w:val="009A1CA6"/>
    <w:rsid w:val="009A22C5"/>
    <w:rsid w:val="009A316B"/>
    <w:rsid w:val="009A6E00"/>
    <w:rsid w:val="009A7102"/>
    <w:rsid w:val="009A7255"/>
    <w:rsid w:val="009A746D"/>
    <w:rsid w:val="009A7471"/>
    <w:rsid w:val="009A7E78"/>
    <w:rsid w:val="009B14FF"/>
    <w:rsid w:val="009B34C5"/>
    <w:rsid w:val="009B6A6E"/>
    <w:rsid w:val="009C12F7"/>
    <w:rsid w:val="009C1590"/>
    <w:rsid w:val="009C1716"/>
    <w:rsid w:val="009C3665"/>
    <w:rsid w:val="009C3D94"/>
    <w:rsid w:val="009C4AEA"/>
    <w:rsid w:val="009C795C"/>
    <w:rsid w:val="009C7C37"/>
    <w:rsid w:val="009D0662"/>
    <w:rsid w:val="009D5270"/>
    <w:rsid w:val="009D67A2"/>
    <w:rsid w:val="009E13D6"/>
    <w:rsid w:val="009E1AE2"/>
    <w:rsid w:val="009E4091"/>
    <w:rsid w:val="009E40BE"/>
    <w:rsid w:val="009E4159"/>
    <w:rsid w:val="009E4904"/>
    <w:rsid w:val="009E5545"/>
    <w:rsid w:val="009E7270"/>
    <w:rsid w:val="009F117A"/>
    <w:rsid w:val="009F3CC5"/>
    <w:rsid w:val="009F4BB4"/>
    <w:rsid w:val="009F7F4B"/>
    <w:rsid w:val="00A00BEE"/>
    <w:rsid w:val="00A01188"/>
    <w:rsid w:val="00A01A71"/>
    <w:rsid w:val="00A02204"/>
    <w:rsid w:val="00A033EC"/>
    <w:rsid w:val="00A04A9A"/>
    <w:rsid w:val="00A05FFA"/>
    <w:rsid w:val="00A0647B"/>
    <w:rsid w:val="00A067A5"/>
    <w:rsid w:val="00A10530"/>
    <w:rsid w:val="00A11069"/>
    <w:rsid w:val="00A127B0"/>
    <w:rsid w:val="00A152CE"/>
    <w:rsid w:val="00A16260"/>
    <w:rsid w:val="00A16D9A"/>
    <w:rsid w:val="00A1715C"/>
    <w:rsid w:val="00A174D6"/>
    <w:rsid w:val="00A220A6"/>
    <w:rsid w:val="00A22296"/>
    <w:rsid w:val="00A22666"/>
    <w:rsid w:val="00A23476"/>
    <w:rsid w:val="00A24F4E"/>
    <w:rsid w:val="00A25C22"/>
    <w:rsid w:val="00A3032A"/>
    <w:rsid w:val="00A31711"/>
    <w:rsid w:val="00A31E00"/>
    <w:rsid w:val="00A35A5F"/>
    <w:rsid w:val="00A41347"/>
    <w:rsid w:val="00A45CCA"/>
    <w:rsid w:val="00A474E3"/>
    <w:rsid w:val="00A5012B"/>
    <w:rsid w:val="00A50EC3"/>
    <w:rsid w:val="00A51A21"/>
    <w:rsid w:val="00A51CBD"/>
    <w:rsid w:val="00A51D11"/>
    <w:rsid w:val="00A51F0A"/>
    <w:rsid w:val="00A534B8"/>
    <w:rsid w:val="00A535BA"/>
    <w:rsid w:val="00A55558"/>
    <w:rsid w:val="00A56723"/>
    <w:rsid w:val="00A56D35"/>
    <w:rsid w:val="00A60BA1"/>
    <w:rsid w:val="00A611EC"/>
    <w:rsid w:val="00A626CD"/>
    <w:rsid w:val="00A627E8"/>
    <w:rsid w:val="00A63673"/>
    <w:rsid w:val="00A63A34"/>
    <w:rsid w:val="00A6444C"/>
    <w:rsid w:val="00A664A7"/>
    <w:rsid w:val="00A66CC2"/>
    <w:rsid w:val="00A66EC5"/>
    <w:rsid w:val="00A724BB"/>
    <w:rsid w:val="00A74828"/>
    <w:rsid w:val="00A771BB"/>
    <w:rsid w:val="00A811D7"/>
    <w:rsid w:val="00A81997"/>
    <w:rsid w:val="00A828F5"/>
    <w:rsid w:val="00A831E6"/>
    <w:rsid w:val="00A83BF6"/>
    <w:rsid w:val="00A83C16"/>
    <w:rsid w:val="00A843C6"/>
    <w:rsid w:val="00A84919"/>
    <w:rsid w:val="00A863DA"/>
    <w:rsid w:val="00A864D0"/>
    <w:rsid w:val="00A87523"/>
    <w:rsid w:val="00A87A42"/>
    <w:rsid w:val="00A87D44"/>
    <w:rsid w:val="00A90EA6"/>
    <w:rsid w:val="00A90F0E"/>
    <w:rsid w:val="00A918C4"/>
    <w:rsid w:val="00A92C8B"/>
    <w:rsid w:val="00A93DA6"/>
    <w:rsid w:val="00A96FBC"/>
    <w:rsid w:val="00A97152"/>
    <w:rsid w:val="00A97806"/>
    <w:rsid w:val="00AA01A9"/>
    <w:rsid w:val="00AA09BC"/>
    <w:rsid w:val="00AA2946"/>
    <w:rsid w:val="00AA4297"/>
    <w:rsid w:val="00AA6A0C"/>
    <w:rsid w:val="00AB2BD1"/>
    <w:rsid w:val="00AB2E98"/>
    <w:rsid w:val="00AB4A50"/>
    <w:rsid w:val="00AB4A8E"/>
    <w:rsid w:val="00AB52EE"/>
    <w:rsid w:val="00AB5CEF"/>
    <w:rsid w:val="00AB7AEA"/>
    <w:rsid w:val="00AB7E76"/>
    <w:rsid w:val="00AC2722"/>
    <w:rsid w:val="00AC33AB"/>
    <w:rsid w:val="00AC58A0"/>
    <w:rsid w:val="00AC62E2"/>
    <w:rsid w:val="00AC6675"/>
    <w:rsid w:val="00AC6CB6"/>
    <w:rsid w:val="00AD04F5"/>
    <w:rsid w:val="00AD07C5"/>
    <w:rsid w:val="00AD0D72"/>
    <w:rsid w:val="00AD21B5"/>
    <w:rsid w:val="00AD3C2B"/>
    <w:rsid w:val="00AD3CAA"/>
    <w:rsid w:val="00AD3E31"/>
    <w:rsid w:val="00AD463F"/>
    <w:rsid w:val="00AD549C"/>
    <w:rsid w:val="00AD74DF"/>
    <w:rsid w:val="00AD7D82"/>
    <w:rsid w:val="00AE2E47"/>
    <w:rsid w:val="00AE300B"/>
    <w:rsid w:val="00AE328A"/>
    <w:rsid w:val="00AE4FAC"/>
    <w:rsid w:val="00AE6050"/>
    <w:rsid w:val="00AF42DB"/>
    <w:rsid w:val="00AF4946"/>
    <w:rsid w:val="00AF5D64"/>
    <w:rsid w:val="00AF5E8C"/>
    <w:rsid w:val="00AF5EE5"/>
    <w:rsid w:val="00AF7BBA"/>
    <w:rsid w:val="00B0062C"/>
    <w:rsid w:val="00B04782"/>
    <w:rsid w:val="00B04C1D"/>
    <w:rsid w:val="00B072F0"/>
    <w:rsid w:val="00B0774C"/>
    <w:rsid w:val="00B07783"/>
    <w:rsid w:val="00B1536A"/>
    <w:rsid w:val="00B16ADD"/>
    <w:rsid w:val="00B16F33"/>
    <w:rsid w:val="00B21C15"/>
    <w:rsid w:val="00B22F03"/>
    <w:rsid w:val="00B23784"/>
    <w:rsid w:val="00B240D8"/>
    <w:rsid w:val="00B243E5"/>
    <w:rsid w:val="00B260EF"/>
    <w:rsid w:val="00B2641B"/>
    <w:rsid w:val="00B27569"/>
    <w:rsid w:val="00B30005"/>
    <w:rsid w:val="00B302CC"/>
    <w:rsid w:val="00B30F6A"/>
    <w:rsid w:val="00B341EF"/>
    <w:rsid w:val="00B3498A"/>
    <w:rsid w:val="00B378DD"/>
    <w:rsid w:val="00B37C22"/>
    <w:rsid w:val="00B409F8"/>
    <w:rsid w:val="00B43861"/>
    <w:rsid w:val="00B43A38"/>
    <w:rsid w:val="00B449BE"/>
    <w:rsid w:val="00B45009"/>
    <w:rsid w:val="00B450F7"/>
    <w:rsid w:val="00B4548B"/>
    <w:rsid w:val="00B454F4"/>
    <w:rsid w:val="00B46143"/>
    <w:rsid w:val="00B50EF6"/>
    <w:rsid w:val="00B51BC0"/>
    <w:rsid w:val="00B52C8F"/>
    <w:rsid w:val="00B530B1"/>
    <w:rsid w:val="00B54148"/>
    <w:rsid w:val="00B55217"/>
    <w:rsid w:val="00B558B7"/>
    <w:rsid w:val="00B55EF0"/>
    <w:rsid w:val="00B56064"/>
    <w:rsid w:val="00B56871"/>
    <w:rsid w:val="00B5760C"/>
    <w:rsid w:val="00B60095"/>
    <w:rsid w:val="00B608B2"/>
    <w:rsid w:val="00B64615"/>
    <w:rsid w:val="00B6772B"/>
    <w:rsid w:val="00B67B0C"/>
    <w:rsid w:val="00B701F9"/>
    <w:rsid w:val="00B724B4"/>
    <w:rsid w:val="00B73CE0"/>
    <w:rsid w:val="00B73E29"/>
    <w:rsid w:val="00B75DF3"/>
    <w:rsid w:val="00B77822"/>
    <w:rsid w:val="00B77FDB"/>
    <w:rsid w:val="00B8014D"/>
    <w:rsid w:val="00B83675"/>
    <w:rsid w:val="00B85AFB"/>
    <w:rsid w:val="00B86053"/>
    <w:rsid w:val="00B8697E"/>
    <w:rsid w:val="00B902B4"/>
    <w:rsid w:val="00B90B1F"/>
    <w:rsid w:val="00B940C7"/>
    <w:rsid w:val="00B94E50"/>
    <w:rsid w:val="00B95673"/>
    <w:rsid w:val="00B9699C"/>
    <w:rsid w:val="00BA010D"/>
    <w:rsid w:val="00BA0B16"/>
    <w:rsid w:val="00BA0BF3"/>
    <w:rsid w:val="00BA30EB"/>
    <w:rsid w:val="00BA375F"/>
    <w:rsid w:val="00BA540C"/>
    <w:rsid w:val="00BA5FB5"/>
    <w:rsid w:val="00BB2AE3"/>
    <w:rsid w:val="00BB3CB5"/>
    <w:rsid w:val="00BB4B3C"/>
    <w:rsid w:val="00BB67C3"/>
    <w:rsid w:val="00BB704A"/>
    <w:rsid w:val="00BB71CB"/>
    <w:rsid w:val="00BB76C7"/>
    <w:rsid w:val="00BC1420"/>
    <w:rsid w:val="00BC1D2C"/>
    <w:rsid w:val="00BC2730"/>
    <w:rsid w:val="00BC2870"/>
    <w:rsid w:val="00BC2D99"/>
    <w:rsid w:val="00BC553E"/>
    <w:rsid w:val="00BC5CFD"/>
    <w:rsid w:val="00BC5FF5"/>
    <w:rsid w:val="00BC610C"/>
    <w:rsid w:val="00BD0655"/>
    <w:rsid w:val="00BD0BE1"/>
    <w:rsid w:val="00BD1AC3"/>
    <w:rsid w:val="00BD261E"/>
    <w:rsid w:val="00BD2862"/>
    <w:rsid w:val="00BD32A2"/>
    <w:rsid w:val="00BD34D2"/>
    <w:rsid w:val="00BD3F0D"/>
    <w:rsid w:val="00BD749C"/>
    <w:rsid w:val="00BE0718"/>
    <w:rsid w:val="00BE3DD5"/>
    <w:rsid w:val="00BE4C53"/>
    <w:rsid w:val="00BE5698"/>
    <w:rsid w:val="00BE6273"/>
    <w:rsid w:val="00BF10CA"/>
    <w:rsid w:val="00BF12D4"/>
    <w:rsid w:val="00BF1E6B"/>
    <w:rsid w:val="00BF2250"/>
    <w:rsid w:val="00BF2B41"/>
    <w:rsid w:val="00BF4804"/>
    <w:rsid w:val="00BF5982"/>
    <w:rsid w:val="00C01389"/>
    <w:rsid w:val="00C025B5"/>
    <w:rsid w:val="00C02F4B"/>
    <w:rsid w:val="00C0394E"/>
    <w:rsid w:val="00C062FE"/>
    <w:rsid w:val="00C0792F"/>
    <w:rsid w:val="00C10A35"/>
    <w:rsid w:val="00C143E8"/>
    <w:rsid w:val="00C15482"/>
    <w:rsid w:val="00C1548F"/>
    <w:rsid w:val="00C15566"/>
    <w:rsid w:val="00C16FD5"/>
    <w:rsid w:val="00C172AA"/>
    <w:rsid w:val="00C17851"/>
    <w:rsid w:val="00C2080E"/>
    <w:rsid w:val="00C20D9A"/>
    <w:rsid w:val="00C21703"/>
    <w:rsid w:val="00C231CF"/>
    <w:rsid w:val="00C23490"/>
    <w:rsid w:val="00C23952"/>
    <w:rsid w:val="00C25406"/>
    <w:rsid w:val="00C25CFD"/>
    <w:rsid w:val="00C27839"/>
    <w:rsid w:val="00C27F7F"/>
    <w:rsid w:val="00C30F5A"/>
    <w:rsid w:val="00C32D8C"/>
    <w:rsid w:val="00C33121"/>
    <w:rsid w:val="00C334AF"/>
    <w:rsid w:val="00C34442"/>
    <w:rsid w:val="00C34F76"/>
    <w:rsid w:val="00C35AA7"/>
    <w:rsid w:val="00C36103"/>
    <w:rsid w:val="00C433BE"/>
    <w:rsid w:val="00C44ADE"/>
    <w:rsid w:val="00C455D1"/>
    <w:rsid w:val="00C46B07"/>
    <w:rsid w:val="00C46DF8"/>
    <w:rsid w:val="00C47E0A"/>
    <w:rsid w:val="00C501FD"/>
    <w:rsid w:val="00C50E18"/>
    <w:rsid w:val="00C51ECF"/>
    <w:rsid w:val="00C538AD"/>
    <w:rsid w:val="00C55113"/>
    <w:rsid w:val="00C56E33"/>
    <w:rsid w:val="00C57F06"/>
    <w:rsid w:val="00C604D6"/>
    <w:rsid w:val="00C60970"/>
    <w:rsid w:val="00C61C8E"/>
    <w:rsid w:val="00C625B8"/>
    <w:rsid w:val="00C62CF9"/>
    <w:rsid w:val="00C63507"/>
    <w:rsid w:val="00C63B79"/>
    <w:rsid w:val="00C67C98"/>
    <w:rsid w:val="00C72559"/>
    <w:rsid w:val="00C72FD2"/>
    <w:rsid w:val="00C73013"/>
    <w:rsid w:val="00C7312D"/>
    <w:rsid w:val="00C7314D"/>
    <w:rsid w:val="00C73AD1"/>
    <w:rsid w:val="00C74A70"/>
    <w:rsid w:val="00C75F2B"/>
    <w:rsid w:val="00C76E00"/>
    <w:rsid w:val="00C80230"/>
    <w:rsid w:val="00C829A3"/>
    <w:rsid w:val="00C84FAA"/>
    <w:rsid w:val="00C850D6"/>
    <w:rsid w:val="00C860E0"/>
    <w:rsid w:val="00C86603"/>
    <w:rsid w:val="00C87C4B"/>
    <w:rsid w:val="00C87F3D"/>
    <w:rsid w:val="00C906D1"/>
    <w:rsid w:val="00C91A8D"/>
    <w:rsid w:val="00C93608"/>
    <w:rsid w:val="00C944CB"/>
    <w:rsid w:val="00C95254"/>
    <w:rsid w:val="00C954C3"/>
    <w:rsid w:val="00C96706"/>
    <w:rsid w:val="00C97EA6"/>
    <w:rsid w:val="00CA0436"/>
    <w:rsid w:val="00CA0B94"/>
    <w:rsid w:val="00CA3E31"/>
    <w:rsid w:val="00CA62C6"/>
    <w:rsid w:val="00CA6EDB"/>
    <w:rsid w:val="00CA775B"/>
    <w:rsid w:val="00CA7B3A"/>
    <w:rsid w:val="00CB08C2"/>
    <w:rsid w:val="00CB1113"/>
    <w:rsid w:val="00CB3222"/>
    <w:rsid w:val="00CB5E81"/>
    <w:rsid w:val="00CC1C8C"/>
    <w:rsid w:val="00CC1D65"/>
    <w:rsid w:val="00CC27C0"/>
    <w:rsid w:val="00CC2C7E"/>
    <w:rsid w:val="00CC362D"/>
    <w:rsid w:val="00CC50CF"/>
    <w:rsid w:val="00CC6BDA"/>
    <w:rsid w:val="00CC6CCF"/>
    <w:rsid w:val="00CD2A2F"/>
    <w:rsid w:val="00CD2F4E"/>
    <w:rsid w:val="00CD40F3"/>
    <w:rsid w:val="00CD52A8"/>
    <w:rsid w:val="00CD742E"/>
    <w:rsid w:val="00CE08A1"/>
    <w:rsid w:val="00CE0BB3"/>
    <w:rsid w:val="00CE11CB"/>
    <w:rsid w:val="00CE12CB"/>
    <w:rsid w:val="00CE1920"/>
    <w:rsid w:val="00CE2484"/>
    <w:rsid w:val="00CE2B89"/>
    <w:rsid w:val="00CE3458"/>
    <w:rsid w:val="00CE3ABA"/>
    <w:rsid w:val="00CE5E0D"/>
    <w:rsid w:val="00CE605B"/>
    <w:rsid w:val="00CE6091"/>
    <w:rsid w:val="00CF0018"/>
    <w:rsid w:val="00CF04C1"/>
    <w:rsid w:val="00CF0B7A"/>
    <w:rsid w:val="00CF17B5"/>
    <w:rsid w:val="00CF22C2"/>
    <w:rsid w:val="00CF2FE7"/>
    <w:rsid w:val="00CF3A16"/>
    <w:rsid w:val="00CF5886"/>
    <w:rsid w:val="00CF7A56"/>
    <w:rsid w:val="00D0052F"/>
    <w:rsid w:val="00D02AAC"/>
    <w:rsid w:val="00D0347D"/>
    <w:rsid w:val="00D04AD6"/>
    <w:rsid w:val="00D04D8C"/>
    <w:rsid w:val="00D05AB0"/>
    <w:rsid w:val="00D05F4E"/>
    <w:rsid w:val="00D06F4D"/>
    <w:rsid w:val="00D077AA"/>
    <w:rsid w:val="00D10BF0"/>
    <w:rsid w:val="00D124DB"/>
    <w:rsid w:val="00D12855"/>
    <w:rsid w:val="00D13C62"/>
    <w:rsid w:val="00D151BC"/>
    <w:rsid w:val="00D155E0"/>
    <w:rsid w:val="00D16843"/>
    <w:rsid w:val="00D20188"/>
    <w:rsid w:val="00D229A4"/>
    <w:rsid w:val="00D231DE"/>
    <w:rsid w:val="00D2392B"/>
    <w:rsid w:val="00D258F2"/>
    <w:rsid w:val="00D25A42"/>
    <w:rsid w:val="00D25A5A"/>
    <w:rsid w:val="00D30F93"/>
    <w:rsid w:val="00D314C6"/>
    <w:rsid w:val="00D32543"/>
    <w:rsid w:val="00D32AB1"/>
    <w:rsid w:val="00D32D28"/>
    <w:rsid w:val="00D331C0"/>
    <w:rsid w:val="00D33E8E"/>
    <w:rsid w:val="00D33F31"/>
    <w:rsid w:val="00D36547"/>
    <w:rsid w:val="00D37C1A"/>
    <w:rsid w:val="00D41108"/>
    <w:rsid w:val="00D41850"/>
    <w:rsid w:val="00D41CE7"/>
    <w:rsid w:val="00D43B00"/>
    <w:rsid w:val="00D46064"/>
    <w:rsid w:val="00D46E31"/>
    <w:rsid w:val="00D51861"/>
    <w:rsid w:val="00D52168"/>
    <w:rsid w:val="00D52AEF"/>
    <w:rsid w:val="00D534A1"/>
    <w:rsid w:val="00D534EC"/>
    <w:rsid w:val="00D53E09"/>
    <w:rsid w:val="00D54E4B"/>
    <w:rsid w:val="00D561B5"/>
    <w:rsid w:val="00D56371"/>
    <w:rsid w:val="00D60169"/>
    <w:rsid w:val="00D65705"/>
    <w:rsid w:val="00D65BE7"/>
    <w:rsid w:val="00D66BEC"/>
    <w:rsid w:val="00D709DA"/>
    <w:rsid w:val="00D70EAB"/>
    <w:rsid w:val="00D71B4F"/>
    <w:rsid w:val="00D72F05"/>
    <w:rsid w:val="00D72F6F"/>
    <w:rsid w:val="00D732AB"/>
    <w:rsid w:val="00D7381C"/>
    <w:rsid w:val="00D7386F"/>
    <w:rsid w:val="00D738EF"/>
    <w:rsid w:val="00D73D88"/>
    <w:rsid w:val="00D7425E"/>
    <w:rsid w:val="00D75C22"/>
    <w:rsid w:val="00D76359"/>
    <w:rsid w:val="00D76AB2"/>
    <w:rsid w:val="00D8072C"/>
    <w:rsid w:val="00D808AA"/>
    <w:rsid w:val="00D848D9"/>
    <w:rsid w:val="00D855E3"/>
    <w:rsid w:val="00D87486"/>
    <w:rsid w:val="00D876CD"/>
    <w:rsid w:val="00D87760"/>
    <w:rsid w:val="00D87A31"/>
    <w:rsid w:val="00D900E2"/>
    <w:rsid w:val="00D90C0A"/>
    <w:rsid w:val="00D92C5B"/>
    <w:rsid w:val="00D934D8"/>
    <w:rsid w:val="00D94FE9"/>
    <w:rsid w:val="00D956CC"/>
    <w:rsid w:val="00D95ABB"/>
    <w:rsid w:val="00D973DD"/>
    <w:rsid w:val="00DA1A65"/>
    <w:rsid w:val="00DA2863"/>
    <w:rsid w:val="00DA29F9"/>
    <w:rsid w:val="00DA3686"/>
    <w:rsid w:val="00DA49D1"/>
    <w:rsid w:val="00DA5937"/>
    <w:rsid w:val="00DA7282"/>
    <w:rsid w:val="00DB1556"/>
    <w:rsid w:val="00DB2F8A"/>
    <w:rsid w:val="00DB400D"/>
    <w:rsid w:val="00DB7853"/>
    <w:rsid w:val="00DC4D06"/>
    <w:rsid w:val="00DC504D"/>
    <w:rsid w:val="00DC511C"/>
    <w:rsid w:val="00DC5EB1"/>
    <w:rsid w:val="00DC6D6C"/>
    <w:rsid w:val="00DC74D4"/>
    <w:rsid w:val="00DC74D7"/>
    <w:rsid w:val="00DD2C04"/>
    <w:rsid w:val="00DD3145"/>
    <w:rsid w:val="00DD3687"/>
    <w:rsid w:val="00DD4736"/>
    <w:rsid w:val="00DD49ED"/>
    <w:rsid w:val="00DD4C39"/>
    <w:rsid w:val="00DD4D61"/>
    <w:rsid w:val="00DD523F"/>
    <w:rsid w:val="00DD6137"/>
    <w:rsid w:val="00DD77FD"/>
    <w:rsid w:val="00DE31BA"/>
    <w:rsid w:val="00DE4488"/>
    <w:rsid w:val="00DE4828"/>
    <w:rsid w:val="00DE6F68"/>
    <w:rsid w:val="00DF0DBB"/>
    <w:rsid w:val="00DF1149"/>
    <w:rsid w:val="00DF2335"/>
    <w:rsid w:val="00DF382A"/>
    <w:rsid w:val="00DF3C2B"/>
    <w:rsid w:val="00DF3F8A"/>
    <w:rsid w:val="00DF613C"/>
    <w:rsid w:val="00DF6AC4"/>
    <w:rsid w:val="00DF6D51"/>
    <w:rsid w:val="00E00DC8"/>
    <w:rsid w:val="00E0233B"/>
    <w:rsid w:val="00E02A80"/>
    <w:rsid w:val="00E02E99"/>
    <w:rsid w:val="00E02F01"/>
    <w:rsid w:val="00E04FD0"/>
    <w:rsid w:val="00E05882"/>
    <w:rsid w:val="00E072A0"/>
    <w:rsid w:val="00E072D7"/>
    <w:rsid w:val="00E0742C"/>
    <w:rsid w:val="00E07D9F"/>
    <w:rsid w:val="00E11587"/>
    <w:rsid w:val="00E11FAB"/>
    <w:rsid w:val="00E11FE1"/>
    <w:rsid w:val="00E137D4"/>
    <w:rsid w:val="00E14D1B"/>
    <w:rsid w:val="00E155E7"/>
    <w:rsid w:val="00E2044A"/>
    <w:rsid w:val="00E21C51"/>
    <w:rsid w:val="00E22291"/>
    <w:rsid w:val="00E22AF2"/>
    <w:rsid w:val="00E2389B"/>
    <w:rsid w:val="00E24120"/>
    <w:rsid w:val="00E260F3"/>
    <w:rsid w:val="00E26BBA"/>
    <w:rsid w:val="00E26FEA"/>
    <w:rsid w:val="00E27989"/>
    <w:rsid w:val="00E31194"/>
    <w:rsid w:val="00E32095"/>
    <w:rsid w:val="00E32236"/>
    <w:rsid w:val="00E3235E"/>
    <w:rsid w:val="00E3471E"/>
    <w:rsid w:val="00E35C84"/>
    <w:rsid w:val="00E40C10"/>
    <w:rsid w:val="00E41168"/>
    <w:rsid w:val="00E4511C"/>
    <w:rsid w:val="00E45E8C"/>
    <w:rsid w:val="00E46D09"/>
    <w:rsid w:val="00E46EF5"/>
    <w:rsid w:val="00E47868"/>
    <w:rsid w:val="00E50560"/>
    <w:rsid w:val="00E514A7"/>
    <w:rsid w:val="00E522FC"/>
    <w:rsid w:val="00E53138"/>
    <w:rsid w:val="00E54B7F"/>
    <w:rsid w:val="00E55B23"/>
    <w:rsid w:val="00E55BAB"/>
    <w:rsid w:val="00E60F36"/>
    <w:rsid w:val="00E636F8"/>
    <w:rsid w:val="00E64245"/>
    <w:rsid w:val="00E642C3"/>
    <w:rsid w:val="00E64629"/>
    <w:rsid w:val="00E6758C"/>
    <w:rsid w:val="00E67DBE"/>
    <w:rsid w:val="00E71728"/>
    <w:rsid w:val="00E723F9"/>
    <w:rsid w:val="00E755BD"/>
    <w:rsid w:val="00E75AA9"/>
    <w:rsid w:val="00E80438"/>
    <w:rsid w:val="00E806E4"/>
    <w:rsid w:val="00E80F9E"/>
    <w:rsid w:val="00E810D9"/>
    <w:rsid w:val="00E81B7E"/>
    <w:rsid w:val="00E829D8"/>
    <w:rsid w:val="00E8328B"/>
    <w:rsid w:val="00E91AE7"/>
    <w:rsid w:val="00E91ED4"/>
    <w:rsid w:val="00E95C2A"/>
    <w:rsid w:val="00E96EB5"/>
    <w:rsid w:val="00E97F8F"/>
    <w:rsid w:val="00EA5ADE"/>
    <w:rsid w:val="00EA6F62"/>
    <w:rsid w:val="00EA6FA2"/>
    <w:rsid w:val="00EA7649"/>
    <w:rsid w:val="00EB1355"/>
    <w:rsid w:val="00EB1BBD"/>
    <w:rsid w:val="00EB2076"/>
    <w:rsid w:val="00EB2CDD"/>
    <w:rsid w:val="00EB4907"/>
    <w:rsid w:val="00EB5390"/>
    <w:rsid w:val="00EB5852"/>
    <w:rsid w:val="00EC0038"/>
    <w:rsid w:val="00EC129F"/>
    <w:rsid w:val="00EC1371"/>
    <w:rsid w:val="00EC2097"/>
    <w:rsid w:val="00EC2987"/>
    <w:rsid w:val="00EC3B4E"/>
    <w:rsid w:val="00EC3CB0"/>
    <w:rsid w:val="00EC4378"/>
    <w:rsid w:val="00EC51C3"/>
    <w:rsid w:val="00EC5691"/>
    <w:rsid w:val="00EC70FA"/>
    <w:rsid w:val="00EC7CBF"/>
    <w:rsid w:val="00EC7E7E"/>
    <w:rsid w:val="00ED005F"/>
    <w:rsid w:val="00ED007A"/>
    <w:rsid w:val="00ED111D"/>
    <w:rsid w:val="00ED2517"/>
    <w:rsid w:val="00ED39BE"/>
    <w:rsid w:val="00ED4A87"/>
    <w:rsid w:val="00ED6C67"/>
    <w:rsid w:val="00ED7ECA"/>
    <w:rsid w:val="00EE00D5"/>
    <w:rsid w:val="00EE3699"/>
    <w:rsid w:val="00EE4F7C"/>
    <w:rsid w:val="00EE5147"/>
    <w:rsid w:val="00EF1A99"/>
    <w:rsid w:val="00EF2231"/>
    <w:rsid w:val="00EF2989"/>
    <w:rsid w:val="00EF5093"/>
    <w:rsid w:val="00EF554C"/>
    <w:rsid w:val="00F04673"/>
    <w:rsid w:val="00F04B13"/>
    <w:rsid w:val="00F0591C"/>
    <w:rsid w:val="00F05CF2"/>
    <w:rsid w:val="00F06256"/>
    <w:rsid w:val="00F06B03"/>
    <w:rsid w:val="00F079FD"/>
    <w:rsid w:val="00F12FE5"/>
    <w:rsid w:val="00F13880"/>
    <w:rsid w:val="00F14AFC"/>
    <w:rsid w:val="00F162AC"/>
    <w:rsid w:val="00F16CED"/>
    <w:rsid w:val="00F21394"/>
    <w:rsid w:val="00F21964"/>
    <w:rsid w:val="00F22D83"/>
    <w:rsid w:val="00F26571"/>
    <w:rsid w:val="00F2777A"/>
    <w:rsid w:val="00F30EB8"/>
    <w:rsid w:val="00F315B8"/>
    <w:rsid w:val="00F31FD8"/>
    <w:rsid w:val="00F32740"/>
    <w:rsid w:val="00F32843"/>
    <w:rsid w:val="00F32E9A"/>
    <w:rsid w:val="00F34897"/>
    <w:rsid w:val="00F35B14"/>
    <w:rsid w:val="00F36194"/>
    <w:rsid w:val="00F36F82"/>
    <w:rsid w:val="00F37072"/>
    <w:rsid w:val="00F37E6C"/>
    <w:rsid w:val="00F406F8"/>
    <w:rsid w:val="00F417B2"/>
    <w:rsid w:val="00F43B1F"/>
    <w:rsid w:val="00F4551F"/>
    <w:rsid w:val="00F45CA1"/>
    <w:rsid w:val="00F45F8E"/>
    <w:rsid w:val="00F46C77"/>
    <w:rsid w:val="00F46E46"/>
    <w:rsid w:val="00F47E8D"/>
    <w:rsid w:val="00F51573"/>
    <w:rsid w:val="00F528B6"/>
    <w:rsid w:val="00F535C3"/>
    <w:rsid w:val="00F53B3A"/>
    <w:rsid w:val="00F554AD"/>
    <w:rsid w:val="00F55FE6"/>
    <w:rsid w:val="00F5697B"/>
    <w:rsid w:val="00F56C87"/>
    <w:rsid w:val="00F572B9"/>
    <w:rsid w:val="00F60B08"/>
    <w:rsid w:val="00F65141"/>
    <w:rsid w:val="00F6655C"/>
    <w:rsid w:val="00F702EE"/>
    <w:rsid w:val="00F70322"/>
    <w:rsid w:val="00F731F2"/>
    <w:rsid w:val="00F733D9"/>
    <w:rsid w:val="00F7393C"/>
    <w:rsid w:val="00F73C30"/>
    <w:rsid w:val="00F73CFA"/>
    <w:rsid w:val="00F7462F"/>
    <w:rsid w:val="00F76137"/>
    <w:rsid w:val="00F77364"/>
    <w:rsid w:val="00F80CFB"/>
    <w:rsid w:val="00F8104E"/>
    <w:rsid w:val="00F820DE"/>
    <w:rsid w:val="00F83271"/>
    <w:rsid w:val="00F90078"/>
    <w:rsid w:val="00F9224B"/>
    <w:rsid w:val="00F924A1"/>
    <w:rsid w:val="00F94B92"/>
    <w:rsid w:val="00F96324"/>
    <w:rsid w:val="00FA0451"/>
    <w:rsid w:val="00FA09AF"/>
    <w:rsid w:val="00FA1139"/>
    <w:rsid w:val="00FA2648"/>
    <w:rsid w:val="00FA2CDF"/>
    <w:rsid w:val="00FA5A3C"/>
    <w:rsid w:val="00FA6B54"/>
    <w:rsid w:val="00FA7321"/>
    <w:rsid w:val="00FA7BAE"/>
    <w:rsid w:val="00FA7F89"/>
    <w:rsid w:val="00FA7FB2"/>
    <w:rsid w:val="00FB40E9"/>
    <w:rsid w:val="00FB49FD"/>
    <w:rsid w:val="00FB4B87"/>
    <w:rsid w:val="00FB5DF1"/>
    <w:rsid w:val="00FB69FC"/>
    <w:rsid w:val="00FB6B89"/>
    <w:rsid w:val="00FC03CD"/>
    <w:rsid w:val="00FC12EF"/>
    <w:rsid w:val="00FC184D"/>
    <w:rsid w:val="00FC2917"/>
    <w:rsid w:val="00FC37CD"/>
    <w:rsid w:val="00FC3DE5"/>
    <w:rsid w:val="00FC4023"/>
    <w:rsid w:val="00FC5F73"/>
    <w:rsid w:val="00FD1AB6"/>
    <w:rsid w:val="00FD1E36"/>
    <w:rsid w:val="00FD3A44"/>
    <w:rsid w:val="00FD5E4B"/>
    <w:rsid w:val="00FD671C"/>
    <w:rsid w:val="00FD6E0B"/>
    <w:rsid w:val="00FD7EA0"/>
    <w:rsid w:val="00FE0324"/>
    <w:rsid w:val="00FE0C64"/>
    <w:rsid w:val="00FE0FED"/>
    <w:rsid w:val="00FE2C42"/>
    <w:rsid w:val="00FE6595"/>
    <w:rsid w:val="00FE668B"/>
    <w:rsid w:val="06682083"/>
    <w:rsid w:val="07021E1F"/>
    <w:rsid w:val="0CE140F5"/>
    <w:rsid w:val="0E0E4AD3"/>
    <w:rsid w:val="0ECC12D1"/>
    <w:rsid w:val="0F804C2E"/>
    <w:rsid w:val="115E4EC4"/>
    <w:rsid w:val="147E05D2"/>
    <w:rsid w:val="16A843D2"/>
    <w:rsid w:val="1D114A13"/>
    <w:rsid w:val="2A4A107E"/>
    <w:rsid w:val="315849EE"/>
    <w:rsid w:val="31C159D8"/>
    <w:rsid w:val="322A3312"/>
    <w:rsid w:val="337F091C"/>
    <w:rsid w:val="34EB7B5B"/>
    <w:rsid w:val="35A13364"/>
    <w:rsid w:val="363A7CA3"/>
    <w:rsid w:val="391879E6"/>
    <w:rsid w:val="398F6170"/>
    <w:rsid w:val="3A156DE9"/>
    <w:rsid w:val="47751A3E"/>
    <w:rsid w:val="4A970C5A"/>
    <w:rsid w:val="4B3815C7"/>
    <w:rsid w:val="4BC85C4A"/>
    <w:rsid w:val="510872ED"/>
    <w:rsid w:val="552D4611"/>
    <w:rsid w:val="640E7909"/>
    <w:rsid w:val="679B218A"/>
    <w:rsid w:val="6A5C6D21"/>
    <w:rsid w:val="6B80514F"/>
    <w:rsid w:val="6BED23D0"/>
    <w:rsid w:val="6C5442B8"/>
    <w:rsid w:val="6DDF3BDE"/>
    <w:rsid w:val="748E34D3"/>
    <w:rsid w:val="7A0D5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nhideWhenUsed="0" w:uiPriority="0" w:semiHidden="0" w:name="HTML Sample"/>
    <w:lsdException w:uiPriority="99" w:name="HTML Typewriter"/>
    <w:lsdException w:uiPriority="99"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6"/>
    <w:qFormat/>
    <w:uiPriority w:val="0"/>
    <w:pPr>
      <w:keepNext/>
      <w:keepLines/>
      <w:spacing w:line="360" w:lineRule="auto"/>
      <w:outlineLvl w:val="0"/>
    </w:pPr>
    <w:rPr>
      <w:b/>
      <w:bCs/>
      <w:kern w:val="44"/>
      <w:sz w:val="32"/>
      <w:szCs w:val="44"/>
    </w:rPr>
  </w:style>
  <w:style w:type="paragraph" w:styleId="3">
    <w:name w:val="heading 2"/>
    <w:basedOn w:val="1"/>
    <w:next w:val="1"/>
    <w:link w:val="67"/>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68"/>
    <w:qFormat/>
    <w:uiPriority w:val="0"/>
    <w:pPr>
      <w:keepNext/>
      <w:keepLines/>
      <w:spacing w:before="120" w:after="120" w:line="360" w:lineRule="auto"/>
      <w:jc w:val="left"/>
      <w:outlineLvl w:val="2"/>
    </w:pPr>
    <w:rPr>
      <w:rFonts w:ascii="黑体" w:hAnsi="黑体" w:eastAsia="黑体"/>
      <w:bCs/>
      <w:sz w:val="24"/>
    </w:rPr>
  </w:style>
  <w:style w:type="paragraph" w:styleId="5">
    <w:name w:val="heading 4"/>
    <w:basedOn w:val="1"/>
    <w:next w:val="1"/>
    <w:link w:val="69"/>
    <w:qFormat/>
    <w:uiPriority w:val="0"/>
    <w:pPr>
      <w:keepNext/>
      <w:keepLines/>
      <w:spacing w:before="120" w:after="120" w:line="360" w:lineRule="auto"/>
      <w:ind w:firstLine="420" w:firstLineChars="200"/>
      <w:outlineLvl w:val="3"/>
    </w:pPr>
    <w:rPr>
      <w:rFonts w:ascii="Arial" w:hAnsi="Arial" w:eastAsia="黑体"/>
      <w:bCs/>
      <w:szCs w:val="28"/>
    </w:rPr>
  </w:style>
  <w:style w:type="paragraph" w:styleId="6">
    <w:name w:val="heading 5"/>
    <w:basedOn w:val="1"/>
    <w:next w:val="1"/>
    <w:link w:val="70"/>
    <w:qFormat/>
    <w:uiPriority w:val="0"/>
    <w:pPr>
      <w:keepNext/>
      <w:keepLines/>
      <w:spacing w:before="280" w:after="290" w:line="376" w:lineRule="auto"/>
      <w:outlineLvl w:val="4"/>
    </w:pPr>
    <w:rPr>
      <w:rFonts w:ascii="Calibri" w:hAnsi="Calibri"/>
      <w:b/>
      <w:bCs/>
      <w:sz w:val="28"/>
      <w:szCs w:val="28"/>
    </w:rPr>
  </w:style>
  <w:style w:type="paragraph" w:styleId="7">
    <w:name w:val="heading 6"/>
    <w:basedOn w:val="6"/>
    <w:next w:val="1"/>
    <w:link w:val="71"/>
    <w:qFormat/>
    <w:uiPriority w:val="0"/>
    <w:pPr>
      <w:tabs>
        <w:tab w:val="left" w:pos="1440"/>
      </w:tabs>
      <w:spacing w:before="260" w:after="260" w:line="360" w:lineRule="auto"/>
      <w:ind w:left="1134" w:hanging="1134"/>
      <w:outlineLvl w:val="5"/>
    </w:pPr>
    <w:rPr>
      <w:rFonts w:ascii="Times New Roman" w:hAnsi="Times New Roman"/>
      <w:sz w:val="30"/>
      <w:szCs w:val="18"/>
    </w:rPr>
  </w:style>
  <w:style w:type="paragraph" w:styleId="8">
    <w:name w:val="heading 7"/>
    <w:basedOn w:val="7"/>
    <w:next w:val="1"/>
    <w:link w:val="72"/>
    <w:qFormat/>
    <w:uiPriority w:val="0"/>
    <w:pPr>
      <w:tabs>
        <w:tab w:val="left" w:pos="1800"/>
        <w:tab w:val="clear" w:pos="1440"/>
      </w:tabs>
      <w:ind w:left="1276" w:hanging="1276"/>
      <w:outlineLvl w:val="6"/>
    </w:pPr>
  </w:style>
  <w:style w:type="paragraph" w:styleId="9">
    <w:name w:val="heading 8"/>
    <w:basedOn w:val="1"/>
    <w:next w:val="1"/>
    <w:link w:val="73"/>
    <w:qFormat/>
    <w:uiPriority w:val="0"/>
    <w:pPr>
      <w:keepNext/>
      <w:keepLines/>
      <w:spacing w:line="400" w:lineRule="exact"/>
      <w:jc w:val="center"/>
      <w:outlineLvl w:val="7"/>
    </w:pPr>
    <w:rPr>
      <w:rFonts w:ascii="宋体" w:hAnsi="宋体" w:eastAsia="黑体"/>
      <w:sz w:val="32"/>
      <w:szCs w:val="32"/>
    </w:rPr>
  </w:style>
  <w:style w:type="paragraph" w:styleId="10">
    <w:name w:val="heading 9"/>
    <w:basedOn w:val="1"/>
    <w:next w:val="1"/>
    <w:link w:val="74"/>
    <w:qFormat/>
    <w:uiPriority w:val="0"/>
    <w:pPr>
      <w:keepNext/>
      <w:keepLines/>
      <w:spacing w:before="240" w:after="64" w:line="320" w:lineRule="auto"/>
      <w:outlineLvl w:val="8"/>
    </w:pPr>
    <w:rPr>
      <w:rFonts w:ascii="Cambria" w:hAnsi="Cambria"/>
      <w:szCs w:val="21"/>
    </w:rPr>
  </w:style>
  <w:style w:type="character" w:default="1" w:styleId="57">
    <w:name w:val="Default Paragraph Font"/>
    <w:uiPriority w:val="0"/>
  </w:style>
  <w:style w:type="table" w:default="1" w:styleId="55">
    <w:name w:val="Normal Table"/>
    <w:unhideWhenUsed/>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Calibri" w:hAnsi="Calibri"/>
      <w:szCs w:val="22"/>
    </w:rPr>
  </w:style>
  <w:style w:type="paragraph" w:styleId="12">
    <w:name w:val="toc 7"/>
    <w:basedOn w:val="1"/>
    <w:next w:val="1"/>
    <w:unhideWhenUsed/>
    <w:qFormat/>
    <w:uiPriority w:val="39"/>
    <w:pPr>
      <w:ind w:left="1260"/>
      <w:jc w:val="left"/>
    </w:pPr>
    <w:rPr>
      <w:rFonts w:ascii="Calibri" w:hAnsi="Calibri" w:cs="Calibri"/>
      <w:sz w:val="18"/>
      <w:szCs w:val="18"/>
    </w:rPr>
  </w:style>
  <w:style w:type="paragraph" w:styleId="13">
    <w:name w:val="Normal Indent"/>
    <w:basedOn w:val="1"/>
    <w:qFormat/>
    <w:uiPriority w:val="0"/>
    <w:pPr>
      <w:ind w:firstLine="420" w:firstLineChars="200"/>
    </w:p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link w:val="75"/>
    <w:qFormat/>
    <w:uiPriority w:val="0"/>
    <w:pPr>
      <w:shd w:val="clear" w:color="auto" w:fill="000080"/>
    </w:pPr>
    <w:rPr>
      <w:rFonts w:ascii="Calibri" w:hAnsi="Calibri"/>
      <w:bCs/>
      <w:szCs w:val="32"/>
    </w:rPr>
  </w:style>
  <w:style w:type="paragraph" w:styleId="16">
    <w:name w:val="annotation text"/>
    <w:basedOn w:val="1"/>
    <w:link w:val="76"/>
    <w:qFormat/>
    <w:uiPriority w:val="0"/>
    <w:pPr>
      <w:adjustRightInd w:val="0"/>
      <w:spacing w:line="360" w:lineRule="atLeast"/>
      <w:jc w:val="left"/>
      <w:textAlignment w:val="baseline"/>
    </w:pPr>
    <w:rPr>
      <w:kern w:val="0"/>
      <w:sz w:val="24"/>
      <w:szCs w:val="20"/>
    </w:rPr>
  </w:style>
  <w:style w:type="paragraph" w:styleId="17">
    <w:name w:val="Salutation"/>
    <w:basedOn w:val="1"/>
    <w:next w:val="1"/>
    <w:link w:val="77"/>
    <w:qFormat/>
    <w:uiPriority w:val="0"/>
    <w:rPr>
      <w:rFonts w:ascii="仿宋_GB2312" w:eastAsia="仿宋_GB2312"/>
      <w:sz w:val="28"/>
      <w:szCs w:val="20"/>
    </w:rPr>
  </w:style>
  <w:style w:type="paragraph" w:styleId="18">
    <w:name w:val="Body Text 3"/>
    <w:basedOn w:val="1"/>
    <w:link w:val="78"/>
    <w:qFormat/>
    <w:uiPriority w:val="0"/>
    <w:pPr>
      <w:adjustRightInd w:val="0"/>
      <w:snapToGrid w:val="0"/>
    </w:pPr>
    <w:rPr>
      <w:rFonts w:ascii="仿宋_GB2312" w:hAnsi="宋体" w:eastAsia="仿宋_GB2312"/>
      <w:bCs/>
      <w:color w:val="000000"/>
      <w:sz w:val="24"/>
      <w:szCs w:val="32"/>
    </w:rPr>
  </w:style>
  <w:style w:type="paragraph" w:styleId="19">
    <w:name w:val="Body Text"/>
    <w:basedOn w:val="1"/>
    <w:next w:val="20"/>
    <w:link w:val="79"/>
    <w:qFormat/>
    <w:uiPriority w:val="0"/>
    <w:pPr>
      <w:spacing w:after="120"/>
    </w:pPr>
  </w:style>
  <w:style w:type="paragraph" w:styleId="20">
    <w:name w:val="Date"/>
    <w:basedOn w:val="1"/>
    <w:next w:val="1"/>
    <w:link w:val="80"/>
    <w:unhideWhenUsed/>
    <w:qFormat/>
    <w:uiPriority w:val="0"/>
    <w:pPr>
      <w:ind w:left="100" w:leftChars="2500"/>
    </w:pPr>
  </w:style>
  <w:style w:type="paragraph" w:styleId="21">
    <w:name w:val="Body Text Indent"/>
    <w:basedOn w:val="1"/>
    <w:next w:val="22"/>
    <w:link w:val="81"/>
    <w:qFormat/>
    <w:uiPriority w:val="0"/>
    <w:pPr>
      <w:ind w:firstLine="560" w:firstLineChars="200"/>
    </w:pPr>
    <w:rPr>
      <w:rFonts w:ascii="宋体" w:hAnsi="宋体"/>
      <w:bCs/>
      <w:sz w:val="28"/>
      <w:szCs w:val="32"/>
    </w:rPr>
  </w:style>
  <w:style w:type="paragraph" w:styleId="22">
    <w:name w:val="envelope return"/>
    <w:basedOn w:val="1"/>
    <w:qFormat/>
    <w:uiPriority w:val="0"/>
    <w:pPr>
      <w:snapToGrid w:val="0"/>
    </w:pPr>
    <w:rPr>
      <w:rFonts w:ascii="Arial" w:hAnsi="Arial"/>
    </w:rPr>
  </w:style>
  <w:style w:type="paragraph" w:styleId="23">
    <w:name w:val="List 2"/>
    <w:basedOn w:val="1"/>
    <w:qFormat/>
    <w:uiPriority w:val="0"/>
    <w:pPr>
      <w:ind w:left="100" w:leftChars="200" w:hanging="200" w:hangingChars="200"/>
    </w:pPr>
    <w:rPr>
      <w:rFonts w:ascii="Calibri" w:hAnsi="Calibri"/>
      <w:szCs w:val="22"/>
    </w:rPr>
  </w:style>
  <w:style w:type="paragraph" w:styleId="24">
    <w:name w:val="List Continue"/>
    <w:basedOn w:val="1"/>
    <w:qFormat/>
    <w:uiPriority w:val="0"/>
    <w:pPr>
      <w:spacing w:after="120"/>
      <w:ind w:left="420" w:leftChars="200"/>
    </w:pPr>
    <w:rPr>
      <w:rFonts w:ascii="Calibri" w:hAnsi="Calibri"/>
      <w:szCs w:val="22"/>
    </w:rPr>
  </w:style>
  <w:style w:type="paragraph" w:styleId="25">
    <w:name w:val="Block Text"/>
    <w:basedOn w:val="1"/>
    <w:qFormat/>
    <w:uiPriority w:val="0"/>
    <w:pPr>
      <w:autoSpaceDE w:val="0"/>
      <w:autoSpaceDN w:val="0"/>
      <w:adjustRightInd w:val="0"/>
      <w:spacing w:line="1270" w:lineRule="exact"/>
      <w:ind w:left="2160" w:right="-20" w:hanging="2160" w:hangingChars="300"/>
      <w:jc w:val="left"/>
    </w:pPr>
    <w:rPr>
      <w:rFonts w:ascii="Calibri" w:hAnsi="Calibri" w:eastAsia="仿宋_GB2312"/>
      <w:sz w:val="72"/>
      <w:szCs w:val="20"/>
    </w:rPr>
  </w:style>
  <w:style w:type="paragraph" w:styleId="26">
    <w:name w:val="index 4"/>
    <w:basedOn w:val="1"/>
    <w:next w:val="1"/>
    <w:qFormat/>
    <w:uiPriority w:val="0"/>
    <w:pPr>
      <w:ind w:left="600" w:leftChars="600"/>
    </w:pPr>
  </w:style>
  <w:style w:type="paragraph" w:styleId="27">
    <w:name w:val="toc 5"/>
    <w:basedOn w:val="1"/>
    <w:next w:val="1"/>
    <w:unhideWhenUsed/>
    <w:qFormat/>
    <w:uiPriority w:val="39"/>
    <w:pPr>
      <w:ind w:left="840"/>
      <w:jc w:val="left"/>
    </w:pPr>
    <w:rPr>
      <w:rFonts w:ascii="Calibri" w:hAnsi="Calibri" w:cs="Calibri"/>
      <w:sz w:val="18"/>
      <w:szCs w:val="18"/>
    </w:rPr>
  </w:style>
  <w:style w:type="paragraph" w:styleId="28">
    <w:name w:val="toc 3"/>
    <w:basedOn w:val="1"/>
    <w:next w:val="1"/>
    <w:qFormat/>
    <w:uiPriority w:val="39"/>
    <w:pPr>
      <w:ind w:left="420"/>
      <w:jc w:val="left"/>
    </w:pPr>
    <w:rPr>
      <w:rFonts w:ascii="Calibri" w:hAnsi="Calibri" w:cs="Calibri"/>
      <w:i/>
      <w:iCs/>
      <w:sz w:val="20"/>
      <w:szCs w:val="20"/>
    </w:rPr>
  </w:style>
  <w:style w:type="paragraph" w:styleId="29">
    <w:name w:val="Plain Text"/>
    <w:basedOn w:val="1"/>
    <w:link w:val="82"/>
    <w:qFormat/>
    <w:uiPriority w:val="0"/>
    <w:rPr>
      <w:rFonts w:ascii="Courier New" w:hAnsi="Courier New"/>
      <w:szCs w:val="20"/>
    </w:rPr>
  </w:style>
  <w:style w:type="paragraph" w:styleId="30">
    <w:name w:val="toc 8"/>
    <w:basedOn w:val="1"/>
    <w:next w:val="1"/>
    <w:unhideWhenUsed/>
    <w:qFormat/>
    <w:uiPriority w:val="39"/>
    <w:pPr>
      <w:ind w:left="1470"/>
      <w:jc w:val="left"/>
    </w:pPr>
    <w:rPr>
      <w:rFonts w:ascii="Calibri" w:hAnsi="Calibri" w:cs="Calibri"/>
      <w:sz w:val="18"/>
      <w:szCs w:val="18"/>
    </w:rPr>
  </w:style>
  <w:style w:type="paragraph" w:styleId="31">
    <w:name w:val="Body Text Indent 2"/>
    <w:basedOn w:val="1"/>
    <w:link w:val="83"/>
    <w:qFormat/>
    <w:uiPriority w:val="0"/>
    <w:pPr>
      <w:widowControl/>
      <w:overflowPunct w:val="0"/>
      <w:autoSpaceDE w:val="0"/>
      <w:autoSpaceDN w:val="0"/>
      <w:adjustRightInd w:val="0"/>
      <w:spacing w:line="360" w:lineRule="auto"/>
      <w:ind w:firstLine="555"/>
      <w:textAlignment w:val="baseline"/>
    </w:pPr>
    <w:rPr>
      <w:rFonts w:ascii="宋体" w:hAnsi="MS Sans Serif"/>
      <w:bCs/>
      <w:spacing w:val="12"/>
      <w:kern w:val="0"/>
      <w:sz w:val="24"/>
      <w:szCs w:val="20"/>
    </w:rPr>
  </w:style>
  <w:style w:type="paragraph" w:styleId="32">
    <w:name w:val="Balloon Text"/>
    <w:basedOn w:val="1"/>
    <w:link w:val="84"/>
    <w:qFormat/>
    <w:uiPriority w:val="0"/>
    <w:rPr>
      <w:sz w:val="18"/>
      <w:szCs w:val="20"/>
    </w:rPr>
  </w:style>
  <w:style w:type="paragraph" w:styleId="33">
    <w:name w:val="footer"/>
    <w:basedOn w:val="1"/>
    <w:link w:val="85"/>
    <w:qFormat/>
    <w:uiPriority w:val="99"/>
    <w:pPr>
      <w:tabs>
        <w:tab w:val="center" w:pos="4153"/>
        <w:tab w:val="right" w:pos="8306"/>
      </w:tabs>
      <w:snapToGrid w:val="0"/>
      <w:jc w:val="left"/>
    </w:pPr>
    <w:rPr>
      <w:sz w:val="18"/>
      <w:szCs w:val="18"/>
    </w:rPr>
  </w:style>
  <w:style w:type="paragraph" w:styleId="34">
    <w:name w:val="header"/>
    <w:basedOn w:val="1"/>
    <w:link w:val="86"/>
    <w:qFormat/>
    <w:uiPriority w:val="0"/>
    <w:pPr>
      <w:pBdr>
        <w:bottom w:val="single" w:color="auto" w:sz="6" w:space="1"/>
      </w:pBdr>
      <w:tabs>
        <w:tab w:val="center" w:pos="4153"/>
        <w:tab w:val="right" w:pos="8306"/>
      </w:tabs>
      <w:snapToGrid w:val="0"/>
      <w:jc w:val="center"/>
    </w:pPr>
    <w:rPr>
      <w:sz w:val="18"/>
      <w:szCs w:val="18"/>
    </w:rPr>
  </w:style>
  <w:style w:type="paragraph" w:styleId="35">
    <w:name w:val="toc 1"/>
    <w:basedOn w:val="1"/>
    <w:next w:val="1"/>
    <w:qFormat/>
    <w:uiPriority w:val="39"/>
    <w:pPr>
      <w:spacing w:before="120" w:after="120"/>
      <w:jc w:val="left"/>
    </w:pPr>
    <w:rPr>
      <w:rFonts w:ascii="Calibri" w:hAnsi="Calibri" w:cs="Calibri"/>
      <w:b/>
      <w:bCs/>
      <w:caps/>
      <w:sz w:val="20"/>
      <w:szCs w:val="20"/>
    </w:rPr>
  </w:style>
  <w:style w:type="paragraph" w:styleId="36">
    <w:name w:val="List Continue 4"/>
    <w:basedOn w:val="1"/>
    <w:qFormat/>
    <w:uiPriority w:val="0"/>
    <w:pPr>
      <w:spacing w:after="120"/>
      <w:ind w:left="1680" w:leftChars="800"/>
    </w:pPr>
    <w:rPr>
      <w:rFonts w:ascii="Calibri" w:hAnsi="Calibri"/>
      <w:szCs w:val="22"/>
    </w:rPr>
  </w:style>
  <w:style w:type="paragraph" w:styleId="37">
    <w:name w:val="toc 4"/>
    <w:basedOn w:val="1"/>
    <w:next w:val="1"/>
    <w:unhideWhenUsed/>
    <w:qFormat/>
    <w:uiPriority w:val="39"/>
    <w:pPr>
      <w:ind w:left="630"/>
      <w:jc w:val="left"/>
    </w:pPr>
    <w:rPr>
      <w:rFonts w:ascii="Calibri" w:hAnsi="Calibri" w:cs="Calibri"/>
      <w:sz w:val="18"/>
      <w:szCs w:val="18"/>
    </w:rPr>
  </w:style>
  <w:style w:type="paragraph" w:styleId="38">
    <w:name w:val="index heading"/>
    <w:basedOn w:val="1"/>
    <w:next w:val="39"/>
    <w:semiHidden/>
    <w:qFormat/>
    <w:uiPriority w:val="0"/>
  </w:style>
  <w:style w:type="paragraph" w:styleId="39">
    <w:name w:val="index 1"/>
    <w:basedOn w:val="1"/>
    <w:next w:val="1"/>
    <w:semiHidden/>
    <w:qFormat/>
    <w:uiPriority w:val="0"/>
  </w:style>
  <w:style w:type="paragraph" w:styleId="40">
    <w:name w:val="Subtitle"/>
    <w:basedOn w:val="1"/>
    <w:link w:val="87"/>
    <w:qFormat/>
    <w:uiPriority w:val="0"/>
    <w:pPr>
      <w:spacing w:before="240" w:after="60" w:line="312" w:lineRule="auto"/>
      <w:jc w:val="center"/>
      <w:outlineLvl w:val="1"/>
    </w:pPr>
    <w:rPr>
      <w:rFonts w:ascii="Arial" w:hAnsi="Arial"/>
      <w:b/>
      <w:bCs/>
      <w:kern w:val="28"/>
      <w:sz w:val="32"/>
      <w:szCs w:val="32"/>
    </w:rPr>
  </w:style>
  <w:style w:type="paragraph" w:styleId="41">
    <w:name w:val="List"/>
    <w:basedOn w:val="1"/>
    <w:qFormat/>
    <w:uiPriority w:val="0"/>
    <w:pPr>
      <w:ind w:left="200" w:hanging="200" w:hangingChars="200"/>
    </w:pPr>
    <w:rPr>
      <w:rFonts w:ascii="Calibri" w:hAnsi="Calibri"/>
      <w:szCs w:val="22"/>
    </w:rPr>
  </w:style>
  <w:style w:type="paragraph" w:styleId="42">
    <w:name w:val="footnote text"/>
    <w:basedOn w:val="1"/>
    <w:link w:val="88"/>
    <w:unhideWhenUsed/>
    <w:uiPriority w:val="0"/>
    <w:pPr>
      <w:snapToGrid w:val="0"/>
      <w:jc w:val="left"/>
    </w:pPr>
    <w:rPr>
      <w:sz w:val="18"/>
      <w:szCs w:val="18"/>
    </w:rPr>
  </w:style>
  <w:style w:type="paragraph" w:styleId="43">
    <w:name w:val="toc 6"/>
    <w:basedOn w:val="1"/>
    <w:next w:val="1"/>
    <w:unhideWhenUsed/>
    <w:qFormat/>
    <w:uiPriority w:val="39"/>
    <w:pPr>
      <w:ind w:left="1050"/>
      <w:jc w:val="left"/>
    </w:pPr>
    <w:rPr>
      <w:rFonts w:ascii="Calibri" w:hAnsi="Calibri" w:cs="Calibri"/>
      <w:sz w:val="18"/>
      <w:szCs w:val="18"/>
    </w:rPr>
  </w:style>
  <w:style w:type="paragraph" w:styleId="44">
    <w:name w:val="Body Text Indent 3"/>
    <w:basedOn w:val="1"/>
    <w:link w:val="89"/>
    <w:uiPriority w:val="0"/>
    <w:pPr>
      <w:widowControl/>
      <w:overflowPunct w:val="0"/>
      <w:autoSpaceDE w:val="0"/>
      <w:autoSpaceDN w:val="0"/>
      <w:adjustRightInd w:val="0"/>
      <w:spacing w:line="360" w:lineRule="auto"/>
      <w:ind w:firstLine="540"/>
      <w:textAlignment w:val="baseline"/>
    </w:pPr>
    <w:rPr>
      <w:rFonts w:ascii="宋体" w:hAnsi="MS Sans Serif"/>
      <w:bCs/>
      <w:color w:val="000000"/>
      <w:kern w:val="0"/>
      <w:sz w:val="24"/>
      <w:szCs w:val="20"/>
    </w:rPr>
  </w:style>
  <w:style w:type="paragraph" w:styleId="45">
    <w:name w:val="toc 2"/>
    <w:basedOn w:val="1"/>
    <w:next w:val="1"/>
    <w:qFormat/>
    <w:uiPriority w:val="39"/>
    <w:pPr>
      <w:tabs>
        <w:tab w:val="right" w:leader="dot" w:pos="8949"/>
      </w:tabs>
      <w:ind w:left="210"/>
      <w:jc w:val="left"/>
    </w:pPr>
    <w:rPr>
      <w:rFonts w:ascii="黑体" w:hAnsi="黑体" w:eastAsia="黑体" w:cs="Calibri"/>
      <w:smallCaps/>
      <w:sz w:val="20"/>
      <w:szCs w:val="20"/>
      <w:lang w:val="en-US" w:eastAsia="zh-CN"/>
    </w:rPr>
  </w:style>
  <w:style w:type="paragraph" w:styleId="46">
    <w:name w:val="toc 9"/>
    <w:basedOn w:val="1"/>
    <w:next w:val="1"/>
    <w:unhideWhenUsed/>
    <w:qFormat/>
    <w:uiPriority w:val="39"/>
    <w:pPr>
      <w:ind w:left="1680"/>
      <w:jc w:val="left"/>
    </w:pPr>
    <w:rPr>
      <w:rFonts w:ascii="Calibri" w:hAnsi="Calibri" w:cs="Calibri"/>
      <w:sz w:val="18"/>
      <w:szCs w:val="18"/>
    </w:rPr>
  </w:style>
  <w:style w:type="paragraph" w:styleId="47">
    <w:name w:val="Body Text 2"/>
    <w:basedOn w:val="1"/>
    <w:link w:val="90"/>
    <w:qFormat/>
    <w:uiPriority w:val="0"/>
    <w:pPr>
      <w:spacing w:line="360" w:lineRule="auto"/>
    </w:pPr>
    <w:rPr>
      <w:rFonts w:ascii="宋体"/>
      <w:spacing w:val="-20"/>
      <w:sz w:val="28"/>
      <w:szCs w:val="20"/>
    </w:rPr>
  </w:style>
  <w:style w:type="paragraph" w:styleId="48">
    <w:name w:val="List 4"/>
    <w:basedOn w:val="1"/>
    <w:uiPriority w:val="0"/>
    <w:pPr>
      <w:ind w:left="100" w:leftChars="600" w:hanging="200" w:hangingChars="200"/>
    </w:pPr>
    <w:rPr>
      <w:rFonts w:ascii="Calibri" w:hAnsi="Calibri"/>
      <w:szCs w:val="22"/>
    </w:rPr>
  </w:style>
  <w:style w:type="paragraph" w:styleId="49">
    <w:name w:val="List Continue 2"/>
    <w:basedOn w:val="1"/>
    <w:uiPriority w:val="0"/>
    <w:pPr>
      <w:spacing w:after="120"/>
      <w:ind w:left="840" w:leftChars="400"/>
    </w:pPr>
    <w:rPr>
      <w:rFonts w:ascii="Calibri" w:hAnsi="Calibri"/>
      <w:szCs w:val="22"/>
    </w:rPr>
  </w:style>
  <w:style w:type="paragraph" w:styleId="50">
    <w:name w:val="Normal (Web)"/>
    <w:basedOn w:val="1"/>
    <w:uiPriority w:val="0"/>
    <w:pPr>
      <w:widowControl/>
      <w:spacing w:before="100" w:beforeAutospacing="1" w:after="100" w:afterAutospacing="1"/>
      <w:jc w:val="left"/>
    </w:pPr>
    <w:rPr>
      <w:rFonts w:ascii="宋体" w:hAnsi="宋体" w:cs="宋体"/>
      <w:color w:val="0066CC"/>
      <w:kern w:val="0"/>
      <w:sz w:val="24"/>
    </w:rPr>
  </w:style>
  <w:style w:type="paragraph" w:styleId="51">
    <w:name w:val="Title"/>
    <w:basedOn w:val="3"/>
    <w:next w:val="1"/>
    <w:link w:val="91"/>
    <w:qFormat/>
    <w:uiPriority w:val="0"/>
    <w:pPr>
      <w:spacing w:before="0" w:after="0" w:line="360" w:lineRule="auto"/>
      <w:jc w:val="center"/>
    </w:pPr>
    <w:rPr>
      <w:rFonts w:ascii="宋体" w:hAnsi="宋体" w:eastAsia="黑体"/>
      <w:bCs w:val="0"/>
      <w:smallCaps/>
      <w:snapToGrid w:val="0"/>
      <w:sz w:val="44"/>
      <w:szCs w:val="24"/>
    </w:rPr>
  </w:style>
  <w:style w:type="paragraph" w:styleId="52">
    <w:name w:val="annotation subject"/>
    <w:basedOn w:val="16"/>
    <w:next w:val="16"/>
    <w:link w:val="92"/>
    <w:uiPriority w:val="0"/>
    <w:pPr>
      <w:adjustRightInd/>
      <w:spacing w:line="240" w:lineRule="auto"/>
      <w:textAlignment w:val="auto"/>
    </w:pPr>
    <w:rPr>
      <w:b/>
      <w:bCs/>
      <w:kern w:val="2"/>
      <w:sz w:val="21"/>
      <w:szCs w:val="24"/>
    </w:rPr>
  </w:style>
  <w:style w:type="paragraph" w:styleId="53">
    <w:name w:val="Body Text First Indent"/>
    <w:basedOn w:val="19"/>
    <w:qFormat/>
    <w:uiPriority w:val="0"/>
    <w:pPr>
      <w:tabs>
        <w:tab w:val="left" w:pos="397"/>
      </w:tabs>
      <w:adjustRightInd w:val="0"/>
      <w:snapToGrid w:val="0"/>
      <w:spacing w:line="440" w:lineRule="atLeast"/>
      <w:ind w:firstLine="200" w:firstLineChars="200"/>
      <w:textAlignment w:val="baseline"/>
    </w:pPr>
    <w:rPr>
      <w:rFonts w:eastAsia="仿宋_GB2312"/>
      <w:kern w:val="0"/>
      <w:sz w:val="28"/>
      <w:szCs w:val="20"/>
    </w:rPr>
  </w:style>
  <w:style w:type="paragraph" w:styleId="54">
    <w:name w:val="Body Text First Indent 2"/>
    <w:basedOn w:val="21"/>
    <w:next w:val="41"/>
    <w:qFormat/>
    <w:uiPriority w:val="0"/>
    <w:pPr>
      <w:ind w:firstLine="420"/>
    </w:pPr>
  </w:style>
  <w:style w:type="table" w:styleId="56">
    <w:name w:val="Table Grid"/>
    <w:basedOn w:val="5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8">
    <w:name w:val="Strong"/>
    <w:qFormat/>
    <w:uiPriority w:val="0"/>
    <w:rPr>
      <w:b/>
      <w:bCs/>
    </w:rPr>
  </w:style>
  <w:style w:type="character" w:styleId="59">
    <w:name w:val="page number"/>
    <w:basedOn w:val="57"/>
    <w:qFormat/>
    <w:uiPriority w:val="0"/>
  </w:style>
  <w:style w:type="character" w:styleId="60">
    <w:name w:val="FollowedHyperlink"/>
    <w:uiPriority w:val="0"/>
    <w:rPr>
      <w:color w:val="800080"/>
      <w:u w:val="single"/>
    </w:rPr>
  </w:style>
  <w:style w:type="character" w:styleId="61">
    <w:name w:val="Emphasis"/>
    <w:qFormat/>
    <w:uiPriority w:val="0"/>
    <w:rPr>
      <w:i/>
      <w:iCs/>
    </w:rPr>
  </w:style>
  <w:style w:type="character" w:styleId="62">
    <w:name w:val="Hyperlink"/>
    <w:qFormat/>
    <w:uiPriority w:val="99"/>
    <w:rPr>
      <w:color w:val="0000FF"/>
      <w:u w:val="single"/>
    </w:rPr>
  </w:style>
  <w:style w:type="character" w:styleId="63">
    <w:name w:val="annotation reference"/>
    <w:qFormat/>
    <w:uiPriority w:val="0"/>
    <w:rPr>
      <w:sz w:val="21"/>
    </w:rPr>
  </w:style>
  <w:style w:type="character" w:styleId="64">
    <w:name w:val="footnote reference"/>
    <w:unhideWhenUsed/>
    <w:uiPriority w:val="0"/>
    <w:rPr>
      <w:vertAlign w:val="superscript"/>
    </w:rPr>
  </w:style>
  <w:style w:type="character" w:styleId="65">
    <w:name w:val="HTML Sample"/>
    <w:qFormat/>
    <w:uiPriority w:val="0"/>
    <w:rPr>
      <w:rFonts w:hint="default" w:ascii="monospace" w:hAnsi="monospace" w:eastAsia="monospace" w:cs="monospace"/>
      <w:sz w:val="21"/>
      <w:szCs w:val="21"/>
    </w:rPr>
  </w:style>
  <w:style w:type="character" w:customStyle="1" w:styleId="66">
    <w:name w:val="标题 1 Char"/>
    <w:link w:val="2"/>
    <w:qFormat/>
    <w:uiPriority w:val="0"/>
    <w:rPr>
      <w:b/>
      <w:bCs/>
      <w:kern w:val="44"/>
      <w:sz w:val="32"/>
      <w:szCs w:val="44"/>
    </w:rPr>
  </w:style>
  <w:style w:type="character" w:customStyle="1" w:styleId="67">
    <w:name w:val="标题 2 Char"/>
    <w:link w:val="3"/>
    <w:qFormat/>
    <w:uiPriority w:val="0"/>
    <w:rPr>
      <w:rFonts w:ascii="Cambria" w:hAnsi="Cambria" w:eastAsia="宋体" w:cs="Times New Roman"/>
      <w:b/>
      <w:bCs/>
      <w:kern w:val="2"/>
      <w:sz w:val="32"/>
      <w:szCs w:val="32"/>
    </w:rPr>
  </w:style>
  <w:style w:type="character" w:customStyle="1" w:styleId="68">
    <w:name w:val="标题 3 Char"/>
    <w:link w:val="4"/>
    <w:qFormat/>
    <w:uiPriority w:val="0"/>
    <w:rPr>
      <w:rFonts w:ascii="黑体" w:hAnsi="黑体" w:eastAsia="黑体"/>
      <w:bCs/>
      <w:kern w:val="2"/>
      <w:sz w:val="24"/>
      <w:szCs w:val="24"/>
    </w:rPr>
  </w:style>
  <w:style w:type="character" w:customStyle="1" w:styleId="69">
    <w:name w:val="标题 4 Char"/>
    <w:link w:val="5"/>
    <w:qFormat/>
    <w:uiPriority w:val="0"/>
    <w:rPr>
      <w:rFonts w:ascii="Arial" w:hAnsi="Arial" w:eastAsia="黑体"/>
      <w:bCs/>
      <w:kern w:val="2"/>
      <w:sz w:val="21"/>
      <w:szCs w:val="28"/>
    </w:rPr>
  </w:style>
  <w:style w:type="character" w:customStyle="1" w:styleId="70">
    <w:name w:val="标题 5 Char"/>
    <w:link w:val="6"/>
    <w:qFormat/>
    <w:uiPriority w:val="0"/>
    <w:rPr>
      <w:rFonts w:ascii="Calibri" w:hAnsi="Calibri"/>
      <w:b/>
      <w:bCs/>
      <w:kern w:val="2"/>
      <w:sz w:val="28"/>
      <w:szCs w:val="28"/>
    </w:rPr>
  </w:style>
  <w:style w:type="character" w:customStyle="1" w:styleId="71">
    <w:name w:val="标题 6 Char"/>
    <w:link w:val="7"/>
    <w:qFormat/>
    <w:uiPriority w:val="0"/>
    <w:rPr>
      <w:b/>
      <w:bCs/>
      <w:kern w:val="2"/>
      <w:sz w:val="30"/>
      <w:szCs w:val="18"/>
    </w:rPr>
  </w:style>
  <w:style w:type="character" w:customStyle="1" w:styleId="72">
    <w:name w:val="标题 7 Char"/>
    <w:link w:val="8"/>
    <w:qFormat/>
    <w:uiPriority w:val="0"/>
    <w:rPr>
      <w:b/>
      <w:bCs/>
      <w:kern w:val="2"/>
      <w:sz w:val="30"/>
      <w:szCs w:val="18"/>
    </w:rPr>
  </w:style>
  <w:style w:type="character" w:customStyle="1" w:styleId="73">
    <w:name w:val="标题 8 Char"/>
    <w:link w:val="9"/>
    <w:qFormat/>
    <w:uiPriority w:val="0"/>
    <w:rPr>
      <w:rFonts w:ascii="宋体" w:hAnsi="宋体" w:eastAsia="黑体"/>
      <w:kern w:val="2"/>
      <w:sz w:val="32"/>
      <w:szCs w:val="32"/>
    </w:rPr>
  </w:style>
  <w:style w:type="character" w:customStyle="1" w:styleId="74">
    <w:name w:val="标题 9 Char"/>
    <w:link w:val="10"/>
    <w:qFormat/>
    <w:uiPriority w:val="0"/>
    <w:rPr>
      <w:rFonts w:ascii="Cambria" w:hAnsi="Cambria"/>
      <w:kern w:val="2"/>
      <w:sz w:val="21"/>
      <w:szCs w:val="21"/>
    </w:rPr>
  </w:style>
  <w:style w:type="character" w:customStyle="1" w:styleId="75">
    <w:name w:val="文档结构图 Char"/>
    <w:link w:val="15"/>
    <w:qFormat/>
    <w:uiPriority w:val="0"/>
    <w:rPr>
      <w:rFonts w:ascii="Calibri" w:hAnsi="Calibri"/>
      <w:bCs/>
      <w:kern w:val="2"/>
      <w:sz w:val="21"/>
      <w:szCs w:val="32"/>
      <w:shd w:val="clear" w:color="auto" w:fill="000080"/>
    </w:rPr>
  </w:style>
  <w:style w:type="character" w:customStyle="1" w:styleId="76">
    <w:name w:val="批注文字 Char"/>
    <w:link w:val="16"/>
    <w:qFormat/>
    <w:uiPriority w:val="0"/>
    <w:rPr>
      <w:sz w:val="24"/>
    </w:rPr>
  </w:style>
  <w:style w:type="character" w:customStyle="1" w:styleId="77">
    <w:name w:val="称呼 Char"/>
    <w:link w:val="17"/>
    <w:qFormat/>
    <w:uiPriority w:val="0"/>
    <w:rPr>
      <w:rFonts w:ascii="仿宋_GB2312" w:eastAsia="仿宋_GB2312"/>
      <w:kern w:val="2"/>
      <w:sz w:val="28"/>
    </w:rPr>
  </w:style>
  <w:style w:type="character" w:customStyle="1" w:styleId="78">
    <w:name w:val="正文文本 3 Char"/>
    <w:link w:val="18"/>
    <w:qFormat/>
    <w:uiPriority w:val="0"/>
    <w:rPr>
      <w:rFonts w:ascii="仿宋_GB2312" w:hAnsi="宋体" w:eastAsia="仿宋_GB2312"/>
      <w:bCs/>
      <w:color w:val="000000"/>
      <w:kern w:val="2"/>
      <w:sz w:val="24"/>
      <w:szCs w:val="32"/>
    </w:rPr>
  </w:style>
  <w:style w:type="character" w:customStyle="1" w:styleId="79">
    <w:name w:val="正文文本 Char"/>
    <w:link w:val="19"/>
    <w:qFormat/>
    <w:uiPriority w:val="0"/>
    <w:rPr>
      <w:kern w:val="2"/>
      <w:sz w:val="21"/>
      <w:szCs w:val="24"/>
    </w:rPr>
  </w:style>
  <w:style w:type="character" w:customStyle="1" w:styleId="80">
    <w:name w:val="日期 Char"/>
    <w:link w:val="20"/>
    <w:qFormat/>
    <w:uiPriority w:val="0"/>
    <w:rPr>
      <w:kern w:val="2"/>
      <w:sz w:val="21"/>
      <w:szCs w:val="24"/>
    </w:rPr>
  </w:style>
  <w:style w:type="character" w:customStyle="1" w:styleId="81">
    <w:name w:val="正文文本缩进 Char"/>
    <w:link w:val="21"/>
    <w:qFormat/>
    <w:uiPriority w:val="0"/>
    <w:rPr>
      <w:rFonts w:ascii="宋体" w:hAnsi="宋体"/>
      <w:bCs/>
      <w:kern w:val="2"/>
      <w:sz w:val="28"/>
      <w:szCs w:val="32"/>
    </w:rPr>
  </w:style>
  <w:style w:type="character" w:customStyle="1" w:styleId="82">
    <w:name w:val="纯文本 Char1"/>
    <w:link w:val="29"/>
    <w:qFormat/>
    <w:uiPriority w:val="0"/>
    <w:rPr>
      <w:rFonts w:ascii="Courier New" w:hAnsi="Courier New"/>
      <w:kern w:val="2"/>
      <w:sz w:val="21"/>
    </w:rPr>
  </w:style>
  <w:style w:type="character" w:customStyle="1" w:styleId="83">
    <w:name w:val="正文文本缩进 2 Char"/>
    <w:link w:val="31"/>
    <w:qFormat/>
    <w:uiPriority w:val="0"/>
    <w:rPr>
      <w:rFonts w:ascii="宋体" w:hAnsi="MS Sans Serif"/>
      <w:bCs/>
      <w:spacing w:val="12"/>
      <w:sz w:val="24"/>
    </w:rPr>
  </w:style>
  <w:style w:type="character" w:customStyle="1" w:styleId="84">
    <w:name w:val="批注框文本 Char"/>
    <w:link w:val="32"/>
    <w:qFormat/>
    <w:uiPriority w:val="0"/>
    <w:rPr>
      <w:kern w:val="2"/>
      <w:sz w:val="18"/>
    </w:rPr>
  </w:style>
  <w:style w:type="character" w:customStyle="1" w:styleId="85">
    <w:name w:val="页脚 Char"/>
    <w:link w:val="33"/>
    <w:qFormat/>
    <w:uiPriority w:val="99"/>
    <w:rPr>
      <w:kern w:val="2"/>
      <w:sz w:val="18"/>
      <w:szCs w:val="18"/>
    </w:rPr>
  </w:style>
  <w:style w:type="character" w:customStyle="1" w:styleId="86">
    <w:name w:val="页眉 Char"/>
    <w:link w:val="34"/>
    <w:qFormat/>
    <w:uiPriority w:val="0"/>
    <w:rPr>
      <w:kern w:val="2"/>
      <w:sz w:val="18"/>
      <w:szCs w:val="18"/>
    </w:rPr>
  </w:style>
  <w:style w:type="character" w:customStyle="1" w:styleId="87">
    <w:name w:val="副标题 Char"/>
    <w:link w:val="40"/>
    <w:qFormat/>
    <w:uiPriority w:val="0"/>
    <w:rPr>
      <w:rFonts w:ascii="Arial" w:hAnsi="Arial"/>
      <w:b/>
      <w:bCs/>
      <w:kern w:val="28"/>
      <w:sz w:val="32"/>
      <w:szCs w:val="32"/>
    </w:rPr>
  </w:style>
  <w:style w:type="character" w:customStyle="1" w:styleId="88">
    <w:name w:val="脚注文本 Char"/>
    <w:link w:val="42"/>
    <w:qFormat/>
    <w:uiPriority w:val="0"/>
    <w:rPr>
      <w:kern w:val="2"/>
      <w:sz w:val="18"/>
      <w:szCs w:val="18"/>
    </w:rPr>
  </w:style>
  <w:style w:type="character" w:customStyle="1" w:styleId="89">
    <w:name w:val="正文文本缩进 3 Char"/>
    <w:link w:val="44"/>
    <w:qFormat/>
    <w:uiPriority w:val="0"/>
    <w:rPr>
      <w:rFonts w:ascii="宋体" w:hAnsi="MS Sans Serif"/>
      <w:bCs/>
      <w:color w:val="000000"/>
      <w:sz w:val="24"/>
    </w:rPr>
  </w:style>
  <w:style w:type="character" w:customStyle="1" w:styleId="90">
    <w:name w:val="正文文本 2 Char"/>
    <w:link w:val="47"/>
    <w:uiPriority w:val="0"/>
    <w:rPr>
      <w:rFonts w:ascii="宋体"/>
      <w:spacing w:val="-20"/>
      <w:kern w:val="2"/>
      <w:sz w:val="28"/>
    </w:rPr>
  </w:style>
  <w:style w:type="character" w:customStyle="1" w:styleId="91">
    <w:name w:val="标题 Char"/>
    <w:link w:val="51"/>
    <w:uiPriority w:val="0"/>
    <w:rPr>
      <w:rFonts w:ascii="宋体" w:hAnsi="宋体" w:eastAsia="黑体"/>
      <w:b/>
      <w:smallCaps/>
      <w:snapToGrid w:val="0"/>
      <w:kern w:val="2"/>
      <w:sz w:val="44"/>
      <w:szCs w:val="24"/>
    </w:rPr>
  </w:style>
  <w:style w:type="character" w:customStyle="1" w:styleId="92">
    <w:name w:val="批注主题 Char"/>
    <w:basedOn w:val="76"/>
    <w:link w:val="52"/>
    <w:qFormat/>
    <w:uiPriority w:val="0"/>
  </w:style>
  <w:style w:type="paragraph" w:customStyle="1" w:styleId="93">
    <w:name w:val="样式 标题 3 + (中文) 黑体 小四 非加粗 段前: 7.8 磅 段后: 0 磅 行距: 固定值 20 磅"/>
    <w:basedOn w:val="4"/>
    <w:qFormat/>
    <w:uiPriority w:val="0"/>
    <w:pPr>
      <w:spacing w:line="400" w:lineRule="exact"/>
    </w:pPr>
    <w:rPr>
      <w:rFonts w:cs="宋体"/>
      <w:b/>
      <w:bCs w:val="0"/>
      <w:szCs w:val="20"/>
    </w:rPr>
  </w:style>
  <w:style w:type="paragraph" w:customStyle="1" w:styleId="94">
    <w:name w:val="样式 标题 2 + Times New Roman 四号 非加粗 段前: 5 磅 段后: 0 磅 行距: 固定值 20..."/>
    <w:basedOn w:val="3"/>
    <w:qFormat/>
    <w:uiPriority w:val="0"/>
    <w:pPr>
      <w:spacing w:before="100" w:after="0" w:line="400" w:lineRule="exact"/>
    </w:pPr>
    <w:rPr>
      <w:rFonts w:ascii="Times New Roman" w:hAnsi="Times New Roman" w:eastAsia="黑体" w:cs="宋体"/>
      <w:b w:val="0"/>
      <w:bCs w:val="0"/>
      <w:sz w:val="28"/>
      <w:szCs w:val="20"/>
    </w:rPr>
  </w:style>
  <w:style w:type="character" w:customStyle="1" w:styleId="95">
    <w:name w:val="纯文本 Char"/>
    <w:qFormat/>
    <w:uiPriority w:val="0"/>
    <w:rPr>
      <w:rFonts w:ascii="宋体" w:hAnsi="Courier New" w:cs="Courier New"/>
      <w:kern w:val="2"/>
      <w:sz w:val="21"/>
      <w:szCs w:val="21"/>
    </w:rPr>
  </w:style>
  <w:style w:type="paragraph" w:customStyle="1" w:styleId="96">
    <w:name w:val="Normal_2"/>
    <w:qFormat/>
    <w:uiPriority w:val="0"/>
    <w:rPr>
      <w:rFonts w:ascii="Times New Roman" w:hAnsi="Times New Roman" w:eastAsia="Times New Roman" w:cs="Times New Roman"/>
      <w:sz w:val="24"/>
      <w:szCs w:val="24"/>
      <w:lang w:val="en-US" w:eastAsia="zh-CN" w:bidi="ar-SA"/>
    </w:rPr>
  </w:style>
  <w:style w:type="paragraph" w:customStyle="1" w:styleId="97">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98">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99">
    <w:name w:val="Normal"/>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styleId="100">
    <w:name w:val="List Paragraph"/>
    <w:basedOn w:val="1"/>
    <w:qFormat/>
    <w:uiPriority w:val="34"/>
    <w:pPr>
      <w:ind w:firstLine="420" w:firstLineChars="200"/>
    </w:pPr>
    <w:rPr>
      <w:rFonts w:ascii="Calibri" w:hAnsi="Calibri"/>
      <w:szCs w:val="22"/>
    </w:rPr>
  </w:style>
  <w:style w:type="paragraph" w:customStyle="1" w:styleId="101">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2">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3">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4">
    <w:name w:val="Normal_1"/>
    <w:qFormat/>
    <w:uiPriority w:val="0"/>
    <w:rPr>
      <w:rFonts w:ascii="Times New Roman" w:hAnsi="Times New Roman" w:eastAsia="Times New Roman" w:cs="Times New Roman"/>
      <w:sz w:val="24"/>
      <w:szCs w:val="24"/>
      <w:lang w:val="en-US" w:eastAsia="zh-CN" w:bidi="ar-SA"/>
    </w:rPr>
  </w:style>
  <w:style w:type="paragraph" w:customStyle="1" w:styleId="105">
    <w:name w:val="Normal_3"/>
    <w:qFormat/>
    <w:uiPriority w:val="0"/>
    <w:rPr>
      <w:rFonts w:ascii="Times New Roman" w:hAnsi="Times New Roman" w:eastAsia="Times New Roman" w:cs="Times New Roman"/>
      <w:sz w:val="24"/>
      <w:szCs w:val="24"/>
      <w:lang w:val="en-US" w:eastAsia="zh-CN" w:bidi="ar-SA"/>
    </w:rPr>
  </w:style>
  <w:style w:type="paragraph" w:customStyle="1" w:styleId="106">
    <w:name w:val=" Char"/>
    <w:basedOn w:val="1"/>
    <w:qFormat/>
    <w:uiPriority w:val="0"/>
    <w:rPr>
      <w:rFonts w:ascii="Calibri" w:hAnsi="Calibri"/>
      <w:szCs w:val="22"/>
    </w:rPr>
  </w:style>
  <w:style w:type="paragraph" w:customStyle="1" w:styleId="107">
    <w:name w:val=" Char Char Char Char Char Char"/>
    <w:basedOn w:val="1"/>
    <w:qFormat/>
    <w:uiPriority w:val="0"/>
    <w:rPr>
      <w:rFonts w:ascii="Tahoma" w:hAnsi="Tahoma"/>
      <w:sz w:val="24"/>
      <w:szCs w:val="20"/>
    </w:rPr>
  </w:style>
  <w:style w:type="paragraph" w:customStyle="1" w:styleId="108">
    <w:name w:val="Blockquote"/>
    <w:basedOn w:val="1"/>
    <w:link w:val="109"/>
    <w:uiPriority w:val="0"/>
    <w:pPr>
      <w:autoSpaceDE w:val="0"/>
      <w:autoSpaceDN w:val="0"/>
      <w:adjustRightInd w:val="0"/>
      <w:spacing w:before="100" w:after="100"/>
      <w:ind w:left="360" w:right="360"/>
      <w:jc w:val="left"/>
    </w:pPr>
    <w:rPr>
      <w:kern w:val="0"/>
      <w:sz w:val="24"/>
      <w:szCs w:val="20"/>
    </w:rPr>
  </w:style>
  <w:style w:type="character" w:customStyle="1" w:styleId="109">
    <w:name w:val="Blockquote Char"/>
    <w:link w:val="108"/>
    <w:qFormat/>
    <w:uiPriority w:val="0"/>
    <w:rPr>
      <w:sz w:val="24"/>
    </w:rPr>
  </w:style>
  <w:style w:type="paragraph" w:customStyle="1" w:styleId="110">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kern w:val="0"/>
      <w:sz w:val="24"/>
      <w:szCs w:val="22"/>
    </w:rPr>
  </w:style>
  <w:style w:type="paragraph" w:customStyle="1" w:styleId="111">
    <w:name w:val="样式1"/>
    <w:basedOn w:val="1"/>
    <w:next w:val="5"/>
    <w:qFormat/>
    <w:uiPriority w:val="0"/>
    <w:pPr>
      <w:spacing w:line="360" w:lineRule="auto"/>
      <w:ind w:firstLine="420" w:firstLineChars="200"/>
    </w:pPr>
    <w:rPr>
      <w:rFonts w:ascii="宋体" w:hAnsi="宋体"/>
      <w:szCs w:val="21"/>
    </w:rPr>
  </w:style>
  <w:style w:type="character" w:customStyle="1" w:styleId="112">
    <w:name w:val="tdrownotice1"/>
    <w:qFormat/>
    <w:uiPriority w:val="0"/>
    <w:rPr>
      <w:sz w:val="22"/>
    </w:rPr>
  </w:style>
  <w:style w:type="paragraph" w:customStyle="1" w:styleId="113">
    <w:name w:val="段落2"/>
    <w:basedOn w:val="1"/>
    <w:qFormat/>
    <w:uiPriority w:val="0"/>
    <w:pPr>
      <w:spacing w:line="360" w:lineRule="auto"/>
      <w:ind w:firstLine="480" w:firstLineChars="200"/>
    </w:pPr>
    <w:rPr>
      <w:rFonts w:ascii="Calibri" w:hAnsi="Calibri" w:cs="Courier New"/>
      <w:sz w:val="24"/>
      <w:szCs w:val="21"/>
    </w:rPr>
  </w:style>
  <w:style w:type="paragraph" w:customStyle="1" w:styleId="114">
    <w:name w:val="目录"/>
    <w:basedOn w:val="1"/>
    <w:qFormat/>
    <w:uiPriority w:val="0"/>
    <w:pPr>
      <w:widowControl/>
      <w:jc w:val="center"/>
    </w:pPr>
    <w:rPr>
      <w:rFonts w:ascii="宋体" w:hAnsi="Calibri"/>
      <w:b/>
      <w:kern w:val="0"/>
      <w:sz w:val="36"/>
      <w:szCs w:val="20"/>
    </w:rPr>
  </w:style>
  <w:style w:type="paragraph" w:customStyle="1" w:styleId="115">
    <w:name w:val="目录文字"/>
    <w:basedOn w:val="1"/>
    <w:qFormat/>
    <w:uiPriority w:val="0"/>
    <w:pPr>
      <w:widowControl/>
      <w:spacing w:line="480" w:lineRule="auto"/>
      <w:jc w:val="left"/>
    </w:pPr>
    <w:rPr>
      <w:rFonts w:ascii="宋体" w:hAnsi="宋体"/>
      <w:kern w:val="0"/>
      <w:sz w:val="24"/>
      <w:szCs w:val="20"/>
    </w:rPr>
  </w:style>
  <w:style w:type="paragraph" w:customStyle="1" w:styleId="116">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17">
    <w:name w:val="xl33"/>
    <w:basedOn w:val="1"/>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8"/>
      <w:szCs w:val="28"/>
    </w:rPr>
  </w:style>
  <w:style w:type="paragraph" w:customStyle="1" w:styleId="118">
    <w:name w:val="段落1 Char"/>
    <w:basedOn w:val="29"/>
    <w:qFormat/>
    <w:uiPriority w:val="0"/>
    <w:pPr>
      <w:spacing w:line="360" w:lineRule="auto"/>
    </w:pPr>
    <w:rPr>
      <w:rFonts w:ascii="Times New Roman" w:hAnsi="Times New Roman"/>
      <w:sz w:val="24"/>
      <w:szCs w:val="21"/>
    </w:rPr>
  </w:style>
  <w:style w:type="paragraph" w:customStyle="1" w:styleId="119">
    <w:name w:val="样式3"/>
    <w:basedOn w:val="1"/>
    <w:uiPriority w:val="0"/>
    <w:pPr>
      <w:tabs>
        <w:tab w:val="left" w:pos="560"/>
        <w:tab w:val="left" w:pos="1120"/>
      </w:tabs>
      <w:spacing w:line="480" w:lineRule="atLeast"/>
    </w:pPr>
    <w:rPr>
      <w:rFonts w:ascii="Calibri" w:hAnsi="Calibri" w:eastAsia="创艺简黑体"/>
      <w:b/>
      <w:sz w:val="28"/>
      <w:szCs w:val="20"/>
    </w:rPr>
  </w:style>
  <w:style w:type="paragraph" w:customStyle="1" w:styleId="120">
    <w:name w:val="简单回函地址"/>
    <w:basedOn w:val="1"/>
    <w:qFormat/>
    <w:uiPriority w:val="0"/>
    <w:rPr>
      <w:rFonts w:ascii="Calibri" w:hAnsi="Calibri"/>
      <w:szCs w:val="22"/>
    </w:rPr>
  </w:style>
  <w:style w:type="paragraph" w:customStyle="1" w:styleId="121">
    <w:name w:val=" Char Char Char Char"/>
    <w:basedOn w:val="1"/>
    <w:uiPriority w:val="0"/>
    <w:pPr>
      <w:snapToGrid w:val="0"/>
      <w:spacing w:line="360" w:lineRule="auto"/>
      <w:ind w:firstLine="200" w:firstLineChars="200"/>
    </w:pPr>
    <w:rPr>
      <w:rFonts w:ascii="Calibri" w:hAnsi="Calibri" w:eastAsia="仿宋_GB2312"/>
      <w:sz w:val="24"/>
      <w:szCs w:val="22"/>
    </w:rPr>
  </w:style>
  <w:style w:type="paragraph" w:customStyle="1" w:styleId="122">
    <w:name w:val="Default Paragraph Char Char Char Char"/>
    <w:basedOn w:val="1"/>
    <w:next w:val="1"/>
    <w:uiPriority w:val="0"/>
    <w:pPr>
      <w:widowControl/>
      <w:spacing w:line="360" w:lineRule="auto"/>
      <w:jc w:val="left"/>
    </w:pPr>
    <w:rPr>
      <w:rFonts w:ascii="Calibri" w:hAnsi="Calibri"/>
      <w:kern w:val="0"/>
      <w:szCs w:val="20"/>
      <w:lang w:eastAsia="en-US"/>
    </w:rPr>
  </w:style>
  <w:style w:type="character" w:customStyle="1" w:styleId="123">
    <w:name w:val="t_tag"/>
    <w:basedOn w:val="57"/>
    <w:qFormat/>
    <w:uiPriority w:val="0"/>
  </w:style>
  <w:style w:type="paragraph" w:customStyle="1" w:styleId="124">
    <w:name w:val="Char"/>
    <w:basedOn w:val="1"/>
    <w:next w:val="1"/>
    <w:qFormat/>
    <w:uiPriority w:val="0"/>
    <w:pPr>
      <w:widowControl/>
      <w:spacing w:line="360" w:lineRule="auto"/>
      <w:jc w:val="left"/>
    </w:pPr>
    <w:rPr>
      <w:rFonts w:ascii="Calibri" w:hAnsi="Calibri"/>
      <w:kern w:val="0"/>
      <w:szCs w:val="20"/>
      <w:lang w:eastAsia="en-US"/>
    </w:rPr>
  </w:style>
  <w:style w:type="character" w:customStyle="1" w:styleId="125">
    <w:name w:val="批注框文本 Char1"/>
    <w:uiPriority w:val="0"/>
    <w:rPr>
      <w:kern w:val="2"/>
      <w:sz w:val="18"/>
      <w:szCs w:val="18"/>
    </w:rPr>
  </w:style>
  <w:style w:type="character" w:customStyle="1" w:styleId="126">
    <w:name w:val="批注文字 Char1"/>
    <w:qFormat/>
    <w:uiPriority w:val="99"/>
    <w:rPr>
      <w:kern w:val="2"/>
      <w:sz w:val="21"/>
      <w:szCs w:val="24"/>
    </w:rPr>
  </w:style>
  <w:style w:type="character" w:customStyle="1" w:styleId="127">
    <w:name w:val="批注主题 Char1"/>
    <w:qFormat/>
    <w:uiPriority w:val="0"/>
    <w:rPr>
      <w:b/>
      <w:bCs/>
      <w:kern w:val="2"/>
      <w:sz w:val="21"/>
      <w:szCs w:val="24"/>
    </w:rPr>
  </w:style>
  <w:style w:type="paragraph" w:customStyle="1" w:styleId="128">
    <w:name w:val=" Char10 Char Char Char Char Char Char Char Char Char"/>
    <w:basedOn w:val="1"/>
    <w:next w:val="1"/>
    <w:qFormat/>
    <w:uiPriority w:val="0"/>
    <w:rPr>
      <w:rFonts w:ascii="Calibri" w:hAnsi="Calibri"/>
      <w:szCs w:val="22"/>
    </w:rPr>
  </w:style>
  <w:style w:type="character" w:customStyle="1" w:styleId="129">
    <w:name w:val="普通文字1 Char"/>
    <w:qFormat/>
    <w:uiPriority w:val="99"/>
    <w:rPr>
      <w:rFonts w:ascii="宋体" w:hAnsi="Courier New" w:eastAsia="宋体" w:cs="Courier New"/>
      <w:szCs w:val="21"/>
    </w:rPr>
  </w:style>
  <w:style w:type="paragraph" w:customStyle="1" w:styleId="130">
    <w:name w:val="TOC Heading"/>
    <w:basedOn w:val="2"/>
    <w:next w:val="1"/>
    <w:qFormat/>
    <w:uiPriority w:val="39"/>
    <w:pPr>
      <w:widowControl/>
      <w:spacing w:before="480" w:line="276" w:lineRule="auto"/>
      <w:jc w:val="left"/>
      <w:outlineLvl w:val="9"/>
    </w:pPr>
    <w:rPr>
      <w:rFonts w:ascii="Cambria" w:hAnsi="Cambria"/>
      <w:bCs w:val="0"/>
      <w:snapToGrid w:val="0"/>
      <w:color w:val="365F91"/>
      <w:kern w:val="0"/>
      <w:sz w:val="28"/>
    </w:rPr>
  </w:style>
  <w:style w:type="character" w:customStyle="1" w:styleId="131">
    <w:name w:val="标题 1 Char1"/>
    <w:uiPriority w:val="0"/>
    <w:rPr>
      <w:rFonts w:ascii="Calibri" w:hAnsi="Calibri" w:eastAsia="宋体"/>
      <w:b/>
      <w:kern w:val="44"/>
      <w:sz w:val="44"/>
      <w:szCs w:val="44"/>
    </w:rPr>
  </w:style>
  <w:style w:type="character" w:customStyle="1" w:styleId="132">
    <w:name w:val="标题 3 Char1"/>
    <w:semiHidden/>
    <w:qFormat/>
    <w:uiPriority w:val="0"/>
    <w:rPr>
      <w:rFonts w:ascii="Calibri" w:hAnsi="Calibri" w:eastAsia="宋体"/>
      <w:b/>
      <w:kern w:val="2"/>
      <w:sz w:val="32"/>
    </w:rPr>
  </w:style>
  <w:style w:type="character" w:customStyle="1" w:styleId="133">
    <w:name w:val="标题 4 Char1"/>
    <w:semiHidden/>
    <w:uiPriority w:val="0"/>
    <w:rPr>
      <w:rFonts w:ascii="Cambria" w:hAnsi="Cambria" w:eastAsia="宋体"/>
      <w:b/>
      <w:kern w:val="2"/>
      <w:sz w:val="28"/>
      <w:szCs w:val="28"/>
    </w:rPr>
  </w:style>
  <w:style w:type="character" w:customStyle="1" w:styleId="134">
    <w:name w:val="标题 5 Char1"/>
    <w:semiHidden/>
    <w:uiPriority w:val="0"/>
    <w:rPr>
      <w:rFonts w:ascii="Calibri" w:hAnsi="Calibri" w:eastAsia="宋体"/>
      <w:b/>
      <w:kern w:val="2"/>
      <w:sz w:val="28"/>
      <w:szCs w:val="28"/>
    </w:rPr>
  </w:style>
  <w:style w:type="character" w:customStyle="1" w:styleId="135">
    <w:name w:val="标题 6 Char1"/>
    <w:semiHidden/>
    <w:uiPriority w:val="0"/>
    <w:rPr>
      <w:rFonts w:ascii="Cambria" w:hAnsi="Cambria" w:eastAsia="宋体"/>
      <w:b/>
      <w:kern w:val="2"/>
      <w:sz w:val="24"/>
      <w:szCs w:val="24"/>
    </w:rPr>
  </w:style>
  <w:style w:type="character" w:customStyle="1" w:styleId="136">
    <w:name w:val="标题 7 Char1"/>
    <w:semiHidden/>
    <w:qFormat/>
    <w:uiPriority w:val="0"/>
    <w:rPr>
      <w:rFonts w:ascii="Calibri" w:hAnsi="Calibri" w:eastAsia="宋体"/>
      <w:b/>
      <w:kern w:val="2"/>
      <w:sz w:val="24"/>
      <w:szCs w:val="24"/>
    </w:rPr>
  </w:style>
  <w:style w:type="character" w:customStyle="1" w:styleId="137">
    <w:name w:val="标题 8 Char1"/>
    <w:semiHidden/>
    <w:qFormat/>
    <w:uiPriority w:val="0"/>
    <w:rPr>
      <w:rFonts w:ascii="Cambria" w:hAnsi="Cambria" w:eastAsia="宋体"/>
      <w:kern w:val="2"/>
      <w:sz w:val="24"/>
      <w:szCs w:val="24"/>
    </w:rPr>
  </w:style>
  <w:style w:type="character" w:customStyle="1" w:styleId="138">
    <w:name w:val="标题 9 Char1"/>
    <w:semiHidden/>
    <w:qFormat/>
    <w:uiPriority w:val="0"/>
    <w:rPr>
      <w:rFonts w:ascii="Cambria" w:hAnsi="Cambria" w:eastAsia="宋体"/>
      <w:kern w:val="2"/>
      <w:sz w:val="21"/>
      <w:szCs w:val="21"/>
    </w:rPr>
  </w:style>
  <w:style w:type="paragraph" w:customStyle="1" w:styleId="139">
    <w:name w:val="Char Char Char Char Char Char"/>
    <w:basedOn w:val="1"/>
    <w:qFormat/>
    <w:uiPriority w:val="0"/>
    <w:rPr>
      <w:rFonts w:ascii="Tahoma" w:hAnsi="Tahoma"/>
      <w:sz w:val="24"/>
      <w:szCs w:val="20"/>
    </w:rPr>
  </w:style>
  <w:style w:type="paragraph" w:customStyle="1" w:styleId="140">
    <w:name w:val="Char Char Char Char"/>
    <w:basedOn w:val="1"/>
    <w:qFormat/>
    <w:uiPriority w:val="0"/>
    <w:pPr>
      <w:snapToGrid w:val="0"/>
      <w:spacing w:line="360" w:lineRule="auto"/>
      <w:ind w:firstLine="200" w:firstLineChars="200"/>
    </w:pPr>
    <w:rPr>
      <w:rFonts w:ascii="Calibri" w:hAnsi="Calibri" w:eastAsia="仿宋_GB2312"/>
      <w:sz w:val="24"/>
      <w:szCs w:val="22"/>
    </w:rPr>
  </w:style>
  <w:style w:type="paragraph" w:customStyle="1" w:styleId="141">
    <w:name w:val="Char10 Char Char Char Char Char Char Char Char Char"/>
    <w:basedOn w:val="1"/>
    <w:next w:val="1"/>
    <w:uiPriority w:val="0"/>
    <w:rPr>
      <w:rFonts w:ascii="Calibri" w:hAnsi="Calibri"/>
      <w:szCs w:val="22"/>
    </w:rPr>
  </w:style>
  <w:style w:type="paragraph" w:customStyle="1" w:styleId="142">
    <w:name w:val="MsoNormal"/>
    <w:basedOn w:val="143"/>
    <w:qFormat/>
    <w:uiPriority w:val="0"/>
    <w:rPr>
      <w:rFonts w:ascii="Calibri" w:hAnsi="Calibri" w:eastAsia="Calibri"/>
      <w:sz w:val="21"/>
      <w:lang w:val="en-US" w:eastAsia="zh-CN"/>
    </w:rPr>
  </w:style>
  <w:style w:type="paragraph" w:customStyle="1" w:styleId="143">
    <w:name w:val="Normal_0"/>
    <w:qFormat/>
    <w:uiPriority w:val="0"/>
    <w:rPr>
      <w:rFonts w:ascii="Times New Roman" w:hAnsi="Times New Roman" w:eastAsia="宋体" w:cs="Times New Roman"/>
      <w:sz w:val="24"/>
      <w:szCs w:val="24"/>
      <w:lang w:val="en-US" w:eastAsia="zh-CN" w:bidi="ar-SA"/>
    </w:rPr>
  </w:style>
  <w:style w:type="paragraph" w:customStyle="1" w:styleId="144">
    <w:name w:val="标题 2_0"/>
    <w:basedOn w:val="145"/>
    <w:next w:val="146"/>
    <w:link w:val="147"/>
    <w:qFormat/>
    <w:uiPriority w:val="0"/>
    <w:pPr>
      <w:keepNext/>
      <w:keepLines/>
      <w:spacing w:before="260" w:after="260" w:line="500" w:lineRule="exact"/>
      <w:jc w:val="center"/>
      <w:outlineLvl w:val="1"/>
    </w:pPr>
    <w:rPr>
      <w:rFonts w:ascii="黑体" w:hAnsi="宋体" w:eastAsia="黑体"/>
      <w:b/>
      <w:smallCaps/>
      <w:snapToGrid w:val="0"/>
      <w:kern w:val="0"/>
      <w:sz w:val="36"/>
    </w:rPr>
  </w:style>
  <w:style w:type="paragraph" w:customStyle="1" w:styleId="145">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6">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7">
    <w:name w:val="标题 2 Char_0"/>
    <w:link w:val="144"/>
    <w:qFormat/>
    <w:uiPriority w:val="0"/>
    <w:rPr>
      <w:rFonts w:ascii="黑体" w:hAnsi="宋体" w:eastAsia="黑体"/>
      <w:b/>
      <w:smallCaps/>
      <w:snapToGrid w:val="0"/>
      <w:sz w:val="36"/>
      <w:szCs w:val="24"/>
    </w:rPr>
  </w:style>
  <w:style w:type="paragraph" w:customStyle="1" w:styleId="148">
    <w:name w:val="纯文本_0"/>
    <w:basedOn w:val="146"/>
    <w:link w:val="149"/>
    <w:uiPriority w:val="99"/>
    <w:rPr>
      <w:rFonts w:ascii="宋体" w:hAnsi="Courier New"/>
      <w:szCs w:val="21"/>
      <w:lang w:val="en-US" w:eastAsia="zh-CN"/>
    </w:rPr>
  </w:style>
  <w:style w:type="character" w:customStyle="1" w:styleId="149">
    <w:name w:val="Texte Char1"/>
    <w:link w:val="148"/>
    <w:qFormat/>
    <w:uiPriority w:val="99"/>
    <w:rPr>
      <w:rFonts w:ascii="宋体" w:hAnsi="Courier New"/>
      <w:kern w:val="2"/>
      <w:sz w:val="21"/>
      <w:szCs w:val="21"/>
      <w:lang w:val="en-US" w:eastAsia="zh-CN"/>
    </w:rPr>
  </w:style>
  <w:style w:type="paragraph" w:customStyle="1" w:styleId="150">
    <w:name w:val="纯文本_1"/>
    <w:basedOn w:val="151"/>
    <w:link w:val="152"/>
    <w:uiPriority w:val="0"/>
    <w:rPr>
      <w:rFonts w:ascii="宋体" w:hAnsi="Courier New"/>
      <w:szCs w:val="21"/>
    </w:rPr>
  </w:style>
  <w:style w:type="paragraph" w:customStyle="1" w:styleId="151">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纯文本 Char1_0"/>
    <w:link w:val="150"/>
    <w:uiPriority w:val="0"/>
    <w:rPr>
      <w:rFonts w:ascii="宋体" w:hAnsi="Courier New"/>
      <w:kern w:val="2"/>
      <w:sz w:val="21"/>
      <w:szCs w:val="21"/>
    </w:rPr>
  </w:style>
  <w:style w:type="paragraph" w:customStyle="1" w:styleId="153">
    <w:name w:val="标题 3_0"/>
    <w:basedOn w:val="154"/>
    <w:next w:val="155"/>
    <w:link w:val="156"/>
    <w:qFormat/>
    <w:uiPriority w:val="0"/>
    <w:pPr>
      <w:keepNext/>
      <w:keepLines/>
      <w:widowControl/>
      <w:numPr>
        <w:ilvl w:val="2"/>
        <w:numId w:val="1"/>
      </w:numPr>
      <w:spacing w:before="120" w:after="120" w:line="360" w:lineRule="auto"/>
      <w:jc w:val="center"/>
      <w:outlineLvl w:val="2"/>
    </w:pPr>
    <w:rPr>
      <w:b/>
      <w:kern w:val="0"/>
      <w:sz w:val="32"/>
      <w:szCs w:val="20"/>
    </w:rPr>
  </w:style>
  <w:style w:type="paragraph" w:customStyle="1" w:styleId="154">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5">
    <w:name w:val="正文缩进_0"/>
    <w:basedOn w:val="154"/>
    <w:unhideWhenUsed/>
    <w:qFormat/>
    <w:uiPriority w:val="0"/>
    <w:pPr>
      <w:ind w:firstLine="420" w:firstLineChars="200"/>
    </w:pPr>
    <w:rPr>
      <w:rFonts w:ascii="Calibri" w:hAnsi="Calibri"/>
      <w:bCs/>
      <w:szCs w:val="32"/>
    </w:rPr>
  </w:style>
  <w:style w:type="character" w:customStyle="1" w:styleId="156">
    <w:name w:val="标题 3 Char_0"/>
    <w:link w:val="153"/>
    <w:uiPriority w:val="0"/>
    <w:rPr>
      <w:b/>
      <w:sz w:val="32"/>
    </w:rPr>
  </w:style>
  <w:style w:type="paragraph" w:customStyle="1" w:styleId="157">
    <w:name w:val="标题 1_0"/>
    <w:basedOn w:val="154"/>
    <w:next w:val="154"/>
    <w:link w:val="158"/>
    <w:qFormat/>
    <w:uiPriority w:val="0"/>
    <w:pPr>
      <w:keepNext/>
      <w:widowControl/>
      <w:numPr>
        <w:ilvl w:val="0"/>
        <w:numId w:val="1"/>
      </w:numPr>
      <w:jc w:val="center"/>
      <w:outlineLvl w:val="0"/>
    </w:pPr>
    <w:rPr>
      <w:rFonts w:ascii="黑体" w:eastAsia="黑体"/>
      <w:kern w:val="0"/>
      <w:sz w:val="52"/>
      <w:szCs w:val="20"/>
    </w:rPr>
  </w:style>
  <w:style w:type="character" w:customStyle="1" w:styleId="158">
    <w:name w:val="标题 1 Char_0"/>
    <w:link w:val="157"/>
    <w:qFormat/>
    <w:uiPriority w:val="0"/>
    <w:rPr>
      <w:rFonts w:ascii="黑体" w:eastAsia="黑体"/>
      <w:sz w:val="52"/>
    </w:rPr>
  </w:style>
  <w:style w:type="paragraph" w:customStyle="1" w:styleId="159">
    <w:name w:val="标题 6_0"/>
    <w:basedOn w:val="154"/>
    <w:next w:val="154"/>
    <w:link w:val="160"/>
    <w:qFormat/>
    <w:uiPriority w:val="0"/>
    <w:pPr>
      <w:keepNext/>
      <w:keepLines/>
      <w:widowControl/>
      <w:numPr>
        <w:ilvl w:val="5"/>
        <w:numId w:val="1"/>
      </w:numPr>
      <w:spacing w:before="240" w:after="64" w:line="320" w:lineRule="auto"/>
      <w:jc w:val="left"/>
      <w:outlineLvl w:val="5"/>
    </w:pPr>
    <w:rPr>
      <w:rFonts w:ascii="Arial" w:hAnsi="Arial" w:eastAsia="黑体"/>
      <w:b/>
      <w:bCs/>
      <w:kern w:val="0"/>
      <w:sz w:val="24"/>
    </w:rPr>
  </w:style>
  <w:style w:type="character" w:customStyle="1" w:styleId="160">
    <w:name w:val="标题 6 Char_0"/>
    <w:link w:val="159"/>
    <w:qFormat/>
    <w:uiPriority w:val="0"/>
    <w:rPr>
      <w:rFonts w:ascii="Arial" w:hAnsi="Arial" w:eastAsia="黑体"/>
      <w:b/>
      <w:bCs/>
      <w:sz w:val="24"/>
      <w:szCs w:val="24"/>
    </w:rPr>
  </w:style>
  <w:style w:type="paragraph" w:customStyle="1" w:styleId="161">
    <w:name w:val="标题 7_0"/>
    <w:basedOn w:val="154"/>
    <w:next w:val="154"/>
    <w:link w:val="162"/>
    <w:qFormat/>
    <w:uiPriority w:val="0"/>
    <w:pPr>
      <w:keepNext/>
      <w:keepLines/>
      <w:widowControl/>
      <w:numPr>
        <w:ilvl w:val="6"/>
        <w:numId w:val="1"/>
      </w:numPr>
      <w:spacing w:before="240" w:after="64" w:line="320" w:lineRule="auto"/>
      <w:jc w:val="left"/>
      <w:outlineLvl w:val="6"/>
    </w:pPr>
    <w:rPr>
      <w:b/>
      <w:bCs/>
      <w:kern w:val="0"/>
      <w:sz w:val="24"/>
    </w:rPr>
  </w:style>
  <w:style w:type="character" w:customStyle="1" w:styleId="162">
    <w:name w:val="标题 7 Char_0"/>
    <w:link w:val="161"/>
    <w:uiPriority w:val="0"/>
    <w:rPr>
      <w:b/>
      <w:bCs/>
      <w:sz w:val="24"/>
      <w:szCs w:val="24"/>
    </w:rPr>
  </w:style>
  <w:style w:type="paragraph" w:customStyle="1" w:styleId="163">
    <w:name w:val="标题 8_0"/>
    <w:basedOn w:val="154"/>
    <w:next w:val="154"/>
    <w:link w:val="164"/>
    <w:qFormat/>
    <w:uiPriority w:val="0"/>
    <w:pPr>
      <w:keepNext/>
      <w:keepLines/>
      <w:widowControl/>
      <w:numPr>
        <w:ilvl w:val="7"/>
        <w:numId w:val="1"/>
      </w:numPr>
      <w:spacing w:before="240" w:after="64" w:line="320" w:lineRule="auto"/>
      <w:jc w:val="left"/>
      <w:outlineLvl w:val="7"/>
    </w:pPr>
    <w:rPr>
      <w:rFonts w:ascii="Arial" w:hAnsi="Arial" w:eastAsia="黑体"/>
      <w:kern w:val="0"/>
      <w:sz w:val="24"/>
    </w:rPr>
  </w:style>
  <w:style w:type="character" w:customStyle="1" w:styleId="164">
    <w:name w:val="标题 8 Char_0"/>
    <w:link w:val="163"/>
    <w:uiPriority w:val="0"/>
    <w:rPr>
      <w:rFonts w:ascii="Arial" w:hAnsi="Arial" w:eastAsia="黑体"/>
      <w:sz w:val="24"/>
      <w:szCs w:val="24"/>
    </w:rPr>
  </w:style>
  <w:style w:type="paragraph" w:customStyle="1" w:styleId="165">
    <w:name w:val="标题 9_0"/>
    <w:basedOn w:val="154"/>
    <w:next w:val="154"/>
    <w:link w:val="166"/>
    <w:qFormat/>
    <w:uiPriority w:val="0"/>
    <w:pPr>
      <w:keepNext/>
      <w:keepLines/>
      <w:widowControl/>
      <w:numPr>
        <w:ilvl w:val="8"/>
        <w:numId w:val="1"/>
      </w:numPr>
      <w:spacing w:before="240" w:after="64" w:line="320" w:lineRule="auto"/>
      <w:jc w:val="left"/>
      <w:outlineLvl w:val="8"/>
    </w:pPr>
    <w:rPr>
      <w:rFonts w:ascii="Arial" w:hAnsi="Arial" w:eastAsia="黑体"/>
      <w:kern w:val="0"/>
      <w:szCs w:val="21"/>
    </w:rPr>
  </w:style>
  <w:style w:type="character" w:customStyle="1" w:styleId="166">
    <w:name w:val="标题 9 Char_0"/>
    <w:link w:val="165"/>
    <w:qFormat/>
    <w:uiPriority w:val="0"/>
    <w:rPr>
      <w:rFonts w:ascii="Arial" w:hAnsi="Arial" w:eastAsia="黑体"/>
      <w:sz w:val="21"/>
      <w:szCs w:val="21"/>
    </w:rPr>
  </w:style>
  <w:style w:type="paragraph" w:customStyle="1" w:styleId="167">
    <w:name w:val="Blockquote_0"/>
    <w:basedOn w:val="154"/>
    <w:link w:val="168"/>
    <w:qFormat/>
    <w:uiPriority w:val="0"/>
    <w:pPr>
      <w:autoSpaceDE w:val="0"/>
      <w:autoSpaceDN w:val="0"/>
      <w:adjustRightInd w:val="0"/>
      <w:spacing w:before="100" w:after="100"/>
      <w:ind w:left="360" w:right="360"/>
      <w:jc w:val="left"/>
    </w:pPr>
    <w:rPr>
      <w:kern w:val="0"/>
      <w:sz w:val="24"/>
      <w:szCs w:val="20"/>
    </w:rPr>
  </w:style>
  <w:style w:type="character" w:customStyle="1" w:styleId="168">
    <w:name w:val="Blockquote Char_0"/>
    <w:link w:val="167"/>
    <w:qFormat/>
    <w:locked/>
    <w:uiPriority w:val="0"/>
    <w:rPr>
      <w:sz w:val="24"/>
    </w:rPr>
  </w:style>
  <w:style w:type="paragraph" w:customStyle="1" w:styleId="169">
    <w:name w:val="标题 4_0"/>
    <w:basedOn w:val="154"/>
    <w:next w:val="154"/>
    <w:link w:val="170"/>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170">
    <w:name w:val="标题 4 Char_0"/>
    <w:link w:val="169"/>
    <w:qFormat/>
    <w:uiPriority w:val="0"/>
    <w:rPr>
      <w:rFonts w:ascii="Arial" w:hAnsi="Arial" w:eastAsia="黑体"/>
      <w:sz w:val="28"/>
    </w:rPr>
  </w:style>
  <w:style w:type="paragraph" w:customStyle="1" w:styleId="171">
    <w:name w:val="纯文本_2"/>
    <w:basedOn w:val="154"/>
    <w:link w:val="172"/>
    <w:uiPriority w:val="0"/>
    <w:rPr>
      <w:rFonts w:ascii="宋体" w:hAnsi="Courier New"/>
      <w:szCs w:val="21"/>
    </w:rPr>
  </w:style>
  <w:style w:type="character" w:customStyle="1" w:styleId="172">
    <w:name w:val="纯文本 Char1_1"/>
    <w:link w:val="171"/>
    <w:qFormat/>
    <w:uiPriority w:val="0"/>
    <w:rPr>
      <w:rFonts w:ascii="宋体" w:hAnsi="Courier New"/>
      <w:kern w:val="2"/>
      <w:sz w:val="21"/>
      <w:szCs w:val="21"/>
    </w:rPr>
  </w:style>
  <w:style w:type="paragraph" w:customStyle="1" w:styleId="173">
    <w:name w:val="Blockquote_0_1"/>
    <w:basedOn w:val="174"/>
    <w:link w:val="175"/>
    <w:uiPriority w:val="0"/>
    <w:pPr>
      <w:autoSpaceDE w:val="0"/>
      <w:autoSpaceDN w:val="0"/>
      <w:adjustRightInd w:val="0"/>
      <w:spacing w:before="100" w:after="100"/>
      <w:ind w:left="360" w:right="360"/>
      <w:jc w:val="left"/>
    </w:pPr>
    <w:rPr>
      <w:kern w:val="0"/>
      <w:sz w:val="24"/>
      <w:szCs w:val="20"/>
    </w:rPr>
  </w:style>
  <w:style w:type="paragraph" w:customStyle="1" w:styleId="174">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75">
    <w:name w:val="Blockquote Char_0_1"/>
    <w:link w:val="173"/>
    <w:locked/>
    <w:uiPriority w:val="0"/>
    <w:rPr>
      <w:sz w:val="24"/>
    </w:rPr>
  </w:style>
  <w:style w:type="paragraph" w:customStyle="1" w:styleId="176">
    <w:name w:val="正文文本_0"/>
    <w:basedOn w:val="154"/>
    <w:link w:val="177"/>
    <w:uiPriority w:val="0"/>
    <w:pPr>
      <w:spacing w:after="120"/>
    </w:pPr>
  </w:style>
  <w:style w:type="character" w:customStyle="1" w:styleId="177">
    <w:name w:val="正文文本 Char_0"/>
    <w:link w:val="176"/>
    <w:qFormat/>
    <w:uiPriority w:val="0"/>
    <w:rPr>
      <w:kern w:val="2"/>
      <w:sz w:val="21"/>
      <w:szCs w:val="24"/>
    </w:rPr>
  </w:style>
  <w:style w:type="paragraph" w:customStyle="1" w:styleId="178">
    <w:name w:val="普通(网站)_0"/>
    <w:basedOn w:val="154"/>
    <w:qFormat/>
    <w:uiPriority w:val="0"/>
    <w:pPr>
      <w:widowControl/>
      <w:spacing w:before="100" w:beforeAutospacing="1" w:after="100" w:afterAutospacing="1"/>
      <w:jc w:val="left"/>
    </w:pPr>
    <w:rPr>
      <w:rFonts w:ascii="宋体" w:hAnsi="宋体"/>
      <w:kern w:val="0"/>
      <w:sz w:val="24"/>
    </w:rPr>
  </w:style>
  <w:style w:type="paragraph" w:customStyle="1" w:styleId="17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0">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1">
    <w:name w:val="脚注文本_0"/>
    <w:basedOn w:val="101"/>
    <w:link w:val="182"/>
    <w:unhideWhenUsed/>
    <w:qFormat/>
    <w:uiPriority w:val="0"/>
    <w:pPr>
      <w:adjustRightInd w:val="0"/>
      <w:snapToGrid w:val="0"/>
      <w:spacing w:line="420" w:lineRule="atLeast"/>
      <w:ind w:firstLine="454"/>
      <w:jc w:val="left"/>
    </w:pPr>
    <w:rPr>
      <w:rFonts w:ascii="Times New Roman" w:hAnsi="Times New Roman"/>
      <w:kern w:val="0"/>
      <w:sz w:val="18"/>
      <w:szCs w:val="20"/>
    </w:rPr>
  </w:style>
  <w:style w:type="character" w:customStyle="1" w:styleId="182">
    <w:name w:val="脚注文本 Char_0"/>
    <w:link w:val="181"/>
    <w:semiHidden/>
    <w:uiPriority w:val="0"/>
    <w:rPr>
      <w:sz w:val="18"/>
    </w:rPr>
  </w:style>
  <w:style w:type="paragraph" w:customStyle="1" w:styleId="183">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8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18"/>
      <w:szCs w:val="18"/>
    </w:rPr>
  </w:style>
  <w:style w:type="paragraph" w:customStyle="1" w:styleId="185">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18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18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18"/>
      <w:szCs w:val="18"/>
    </w:rPr>
  </w:style>
  <w:style w:type="paragraph" w:customStyle="1" w:styleId="188">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89">
    <w:name w:val="xl29"/>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90">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191">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92">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193">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8"/>
      <w:szCs w:val="18"/>
    </w:rPr>
  </w:style>
  <w:style w:type="paragraph" w:customStyle="1" w:styleId="194">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18"/>
      <w:szCs w:val="18"/>
    </w:rPr>
  </w:style>
  <w:style w:type="paragraph" w:customStyle="1" w:styleId="195">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96">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197">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198">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99">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00">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01">
    <w:name w:val="xl42"/>
    <w:basedOn w:val="1"/>
    <w:qFormat/>
    <w:uiPriority w:val="0"/>
    <w:pPr>
      <w:widowControl/>
      <w:spacing w:before="100" w:beforeAutospacing="1" w:after="100" w:afterAutospacing="1"/>
      <w:jc w:val="center"/>
      <w:textAlignment w:val="center"/>
    </w:pPr>
    <w:rPr>
      <w:rFonts w:ascii="宋体" w:hAnsi="宋体"/>
      <w:b/>
      <w:bCs/>
      <w:kern w:val="0"/>
      <w:sz w:val="32"/>
      <w:szCs w:val="32"/>
    </w:rPr>
  </w:style>
  <w:style w:type="paragraph" w:customStyle="1" w:styleId="202">
    <w:name w:val="xl43"/>
    <w:basedOn w:val="1"/>
    <w:uiPriority w:val="0"/>
    <w:pPr>
      <w:widowControl/>
      <w:spacing w:before="100" w:beforeAutospacing="1" w:after="100" w:afterAutospacing="1"/>
      <w:jc w:val="left"/>
      <w:textAlignment w:val="top"/>
    </w:pPr>
    <w:rPr>
      <w:rFonts w:ascii="宋体" w:hAnsi="宋体"/>
      <w:kern w:val="0"/>
      <w:sz w:val="24"/>
    </w:rPr>
  </w:style>
  <w:style w:type="paragraph" w:customStyle="1" w:styleId="203">
    <w:name w:val="xl44"/>
    <w:basedOn w:val="1"/>
    <w:qFormat/>
    <w:uiPriority w:val="0"/>
    <w:pPr>
      <w:widowControl/>
      <w:spacing w:before="100" w:beforeAutospacing="1" w:after="100" w:afterAutospacing="1"/>
      <w:jc w:val="center"/>
      <w:textAlignment w:val="center"/>
    </w:pPr>
    <w:rPr>
      <w:rFonts w:ascii="宋体" w:hAnsi="宋体"/>
      <w:b/>
      <w:bCs/>
      <w:kern w:val="0"/>
      <w:sz w:val="32"/>
      <w:szCs w:val="32"/>
    </w:rPr>
  </w:style>
  <w:style w:type="paragraph" w:customStyle="1" w:styleId="204">
    <w:name w:val="xl45"/>
    <w:basedOn w:val="1"/>
    <w:qFormat/>
    <w:uiPriority w:val="0"/>
    <w:pPr>
      <w:widowControl/>
      <w:spacing w:before="100" w:beforeAutospacing="1" w:after="100" w:afterAutospacing="1"/>
      <w:jc w:val="left"/>
      <w:textAlignment w:val="top"/>
    </w:pPr>
    <w:rPr>
      <w:rFonts w:ascii="宋体" w:hAnsi="宋体"/>
      <w:kern w:val="0"/>
      <w:sz w:val="24"/>
    </w:rPr>
  </w:style>
  <w:style w:type="paragraph" w:customStyle="1" w:styleId="205">
    <w:name w:val="font6"/>
    <w:basedOn w:val="1"/>
    <w:qFormat/>
    <w:uiPriority w:val="0"/>
    <w:pPr>
      <w:widowControl/>
      <w:spacing w:before="100" w:beforeAutospacing="1" w:after="100" w:afterAutospacing="1"/>
      <w:jc w:val="left"/>
    </w:pPr>
    <w:rPr>
      <w:kern w:val="0"/>
      <w:sz w:val="18"/>
      <w:szCs w:val="18"/>
    </w:rPr>
  </w:style>
  <w:style w:type="paragraph" w:customStyle="1" w:styleId="206">
    <w:name w:val=" Char Char Char Char Char"/>
    <w:basedOn w:val="1"/>
    <w:uiPriority w:val="0"/>
    <w:rPr>
      <w:rFonts w:ascii="Tahoma" w:hAnsi="Tahoma"/>
      <w:sz w:val="24"/>
      <w:szCs w:val="20"/>
    </w:rPr>
  </w:style>
  <w:style w:type="paragraph" w:customStyle="1" w:styleId="207">
    <w:name w:val="范本目录"/>
    <w:basedOn w:val="1"/>
    <w:qFormat/>
    <w:uiPriority w:val="0"/>
    <w:pPr>
      <w:adjustRightInd w:val="0"/>
      <w:snapToGrid w:val="0"/>
      <w:spacing w:beforeLines="20" w:afterLines="20" w:line="540" w:lineRule="exact"/>
      <w:jc w:val="center"/>
    </w:pPr>
    <w:rPr>
      <w:rFonts w:hAnsi="宋体"/>
      <w:b/>
      <w:bCs/>
      <w:sz w:val="36"/>
    </w:rPr>
  </w:style>
  <w:style w:type="character" w:customStyle="1" w:styleId="208">
    <w:name w:val=" Char Char"/>
    <w:qFormat/>
    <w:uiPriority w:val="0"/>
    <w:rPr>
      <w:rFonts w:ascii="宋体" w:hAnsi="Courier New" w:eastAsia="宋体" w:cs="Courier New"/>
      <w:kern w:val="2"/>
      <w:sz w:val="21"/>
      <w:szCs w:val="21"/>
      <w:lang w:val="en-US" w:eastAsia="zh-CN" w:bidi="ar-SA"/>
    </w:rPr>
  </w:style>
  <w:style w:type="character" w:customStyle="1" w:styleId="209">
    <w:name w:val="标题4 Char Char"/>
    <w:link w:val="210"/>
    <w:qFormat/>
    <w:uiPriority w:val="0"/>
    <w:rPr>
      <w:rFonts w:ascii="Arial" w:hAnsi="Arial"/>
      <w:b/>
      <w:bCs/>
      <w:sz w:val="24"/>
      <w:szCs w:val="32"/>
    </w:rPr>
  </w:style>
  <w:style w:type="paragraph" w:customStyle="1" w:styleId="210">
    <w:name w:val="标题4"/>
    <w:basedOn w:val="3"/>
    <w:next w:val="26"/>
    <w:link w:val="209"/>
    <w:uiPriority w:val="0"/>
    <w:pPr>
      <w:spacing w:before="0" w:after="0" w:line="413" w:lineRule="auto"/>
    </w:pPr>
    <w:rPr>
      <w:rFonts w:ascii="Arial" w:hAnsi="Arial"/>
      <w:kern w:val="0"/>
      <w:sz w:val="24"/>
    </w:rPr>
  </w:style>
  <w:style w:type="character" w:customStyle="1" w:styleId="211">
    <w:name w:val="明显引用 Char"/>
    <w:link w:val="212"/>
    <w:qFormat/>
    <w:uiPriority w:val="0"/>
    <w:rPr>
      <w:b/>
      <w:bCs/>
      <w:i/>
      <w:iCs/>
      <w:color w:val="4F81BD"/>
      <w:kern w:val="2"/>
      <w:sz w:val="21"/>
      <w:szCs w:val="22"/>
    </w:rPr>
  </w:style>
  <w:style w:type="paragraph" w:styleId="212">
    <w:name w:val="Intense Quote"/>
    <w:basedOn w:val="1"/>
    <w:next w:val="1"/>
    <w:link w:val="211"/>
    <w:qFormat/>
    <w:uiPriority w:val="0"/>
    <w:pPr>
      <w:pBdr>
        <w:bottom w:val="single" w:color="4F81BD" w:sz="4" w:space="4"/>
      </w:pBdr>
      <w:spacing w:before="200" w:after="280"/>
      <w:ind w:left="936" w:right="936"/>
    </w:pPr>
    <w:rPr>
      <w:b/>
      <w:bCs/>
      <w:i/>
      <w:iCs/>
      <w:color w:val="4F81BD"/>
      <w:szCs w:val="22"/>
    </w:rPr>
  </w:style>
  <w:style w:type="character" w:customStyle="1" w:styleId="213">
    <w:name w:val="明显引用 Char1"/>
    <w:qFormat/>
    <w:uiPriority w:val="30"/>
    <w:rPr>
      <w:b/>
      <w:bCs/>
      <w:i/>
      <w:iCs/>
      <w:color w:val="4F81BD"/>
      <w:kern w:val="2"/>
      <w:sz w:val="21"/>
      <w:szCs w:val="24"/>
    </w:rPr>
  </w:style>
  <w:style w:type="character" w:customStyle="1" w:styleId="214">
    <w:name w:val="标题5 Char Char"/>
    <w:link w:val="215"/>
    <w:qFormat/>
    <w:uiPriority w:val="0"/>
    <w:rPr>
      <w:rFonts w:ascii="Arial" w:hAnsi="Arial"/>
      <w:b/>
      <w:bCs/>
      <w:sz w:val="24"/>
      <w:szCs w:val="32"/>
    </w:rPr>
  </w:style>
  <w:style w:type="paragraph" w:customStyle="1" w:styleId="215">
    <w:name w:val="标题5"/>
    <w:basedOn w:val="4"/>
    <w:link w:val="214"/>
    <w:qFormat/>
    <w:uiPriority w:val="0"/>
    <w:pPr>
      <w:spacing w:before="260" w:after="260" w:line="413" w:lineRule="auto"/>
    </w:pPr>
    <w:rPr>
      <w:rFonts w:ascii="Arial" w:hAnsi="Arial" w:eastAsia="宋体"/>
      <w:b/>
      <w:kern w:val="0"/>
      <w:szCs w:val="32"/>
    </w:rPr>
  </w:style>
  <w:style w:type="character" w:customStyle="1" w:styleId="216">
    <w:name w:val="引用 Char"/>
    <w:link w:val="217"/>
    <w:uiPriority w:val="0"/>
    <w:rPr>
      <w:i/>
      <w:iCs/>
      <w:color w:val="000000"/>
      <w:kern w:val="2"/>
      <w:sz w:val="21"/>
      <w:szCs w:val="22"/>
    </w:rPr>
  </w:style>
  <w:style w:type="paragraph" w:styleId="217">
    <w:name w:val="Quote"/>
    <w:basedOn w:val="1"/>
    <w:next w:val="1"/>
    <w:link w:val="216"/>
    <w:qFormat/>
    <w:uiPriority w:val="0"/>
    <w:rPr>
      <w:i/>
      <w:iCs/>
      <w:color w:val="000000"/>
      <w:szCs w:val="22"/>
    </w:rPr>
  </w:style>
  <w:style w:type="character" w:customStyle="1" w:styleId="218">
    <w:name w:val="引用 Char1"/>
    <w:uiPriority w:val="29"/>
    <w:rPr>
      <w:i/>
      <w:iCs/>
      <w:color w:val="000000"/>
      <w:kern w:val="2"/>
      <w:sz w:val="21"/>
      <w:szCs w:val="24"/>
    </w:rPr>
  </w:style>
  <w:style w:type="character" w:customStyle="1" w:styleId="219">
    <w:name w:val="ask-title2"/>
    <w:qFormat/>
    <w:uiPriority w:val="0"/>
  </w:style>
  <w:style w:type="character" w:customStyle="1" w:styleId="220">
    <w:name w:val="正文文本 Char1"/>
    <w:qFormat/>
    <w:uiPriority w:val="0"/>
    <w:rPr>
      <w:kern w:val="2"/>
      <w:sz w:val="21"/>
      <w:szCs w:val="22"/>
    </w:rPr>
  </w:style>
  <w:style w:type="character" w:customStyle="1" w:styleId="221">
    <w:name w:val="Subtle Emphasis"/>
    <w:qFormat/>
    <w:uiPriority w:val="0"/>
    <w:rPr>
      <w:i/>
      <w:iCs/>
      <w:color w:val="808080"/>
    </w:rPr>
  </w:style>
  <w:style w:type="character" w:customStyle="1" w:styleId="222">
    <w:name w:val="Intense Reference"/>
    <w:qFormat/>
    <w:uiPriority w:val="0"/>
    <w:rPr>
      <w:b/>
      <w:bCs/>
      <w:smallCaps/>
      <w:color w:val="C0504D"/>
      <w:spacing w:val="5"/>
      <w:u w:val="single"/>
    </w:rPr>
  </w:style>
  <w:style w:type="character" w:customStyle="1" w:styleId="223">
    <w:name w:val="Book Title"/>
    <w:qFormat/>
    <w:uiPriority w:val="0"/>
    <w:rPr>
      <w:b/>
      <w:bCs/>
      <w:smallCaps/>
      <w:spacing w:val="5"/>
    </w:rPr>
  </w:style>
  <w:style w:type="character" w:customStyle="1" w:styleId="224">
    <w:name w:val="日期 Char1"/>
    <w:qFormat/>
    <w:uiPriority w:val="0"/>
    <w:rPr>
      <w:kern w:val="2"/>
      <w:sz w:val="21"/>
      <w:szCs w:val="22"/>
    </w:rPr>
  </w:style>
  <w:style w:type="character" w:customStyle="1" w:styleId="225">
    <w:name w:val="Intense Emphasis"/>
    <w:qFormat/>
    <w:uiPriority w:val="0"/>
    <w:rPr>
      <w:b/>
      <w:bCs/>
      <w:i/>
      <w:iCs/>
      <w:color w:val="4F81BD"/>
    </w:rPr>
  </w:style>
  <w:style w:type="character" w:customStyle="1" w:styleId="226">
    <w:name w:val="textcontents"/>
    <w:qFormat/>
    <w:uiPriority w:val="0"/>
    <w:rPr>
      <w:rFonts w:cs="Times New Roman"/>
    </w:rPr>
  </w:style>
  <w:style w:type="character" w:customStyle="1" w:styleId="227">
    <w:name w:val="Subtle Reference"/>
    <w:qFormat/>
    <w:uiPriority w:val="0"/>
    <w:rPr>
      <w:smallCaps/>
      <w:color w:val="C0504D"/>
      <w:u w:val="single"/>
    </w:rPr>
  </w:style>
  <w:style w:type="character" w:customStyle="1" w:styleId="228">
    <w:name w:val="批注文字 Char Char"/>
    <w:qFormat/>
    <w:uiPriority w:val="0"/>
    <w:rPr>
      <w:rFonts w:ascii="宋体" w:hAnsi="Times New Roman" w:eastAsia="宋体" w:cs="Times New Roman"/>
      <w:sz w:val="28"/>
      <w:szCs w:val="20"/>
    </w:rPr>
  </w:style>
  <w:style w:type="character" w:customStyle="1" w:styleId="229">
    <w:name w:val="文档结构图 Char1"/>
    <w:uiPriority w:val="0"/>
    <w:rPr>
      <w:rFonts w:ascii="宋体"/>
      <w:kern w:val="2"/>
      <w:sz w:val="18"/>
      <w:szCs w:val="18"/>
    </w:rPr>
  </w:style>
  <w:style w:type="paragraph" w:customStyle="1" w:styleId="230">
    <w:name w:val="Revision"/>
    <w:qFormat/>
    <w:uiPriority w:val="0"/>
    <w:rPr>
      <w:rFonts w:ascii="Times New Roman" w:hAnsi="Times New Roman" w:eastAsia="宋体" w:cs="Times New Roman"/>
      <w:kern w:val="2"/>
      <w:sz w:val="21"/>
      <w:szCs w:val="24"/>
      <w:lang w:val="en-US" w:eastAsia="zh-CN" w:bidi="ar-SA"/>
    </w:rPr>
  </w:style>
  <w:style w:type="character" w:customStyle="1" w:styleId="231">
    <w:name w:val="页脚 Char1"/>
    <w:semiHidden/>
    <w:qFormat/>
    <w:uiPriority w:val="99"/>
    <w:rPr>
      <w:kern w:val="2"/>
      <w:sz w:val="18"/>
      <w:szCs w:val="18"/>
    </w:rPr>
  </w:style>
  <w:style w:type="character" w:customStyle="1" w:styleId="232">
    <w:name w:val="批注框文本 Char2"/>
    <w:semiHidden/>
    <w:qFormat/>
    <w:uiPriority w:val="99"/>
    <w:rPr>
      <w:kern w:val="2"/>
      <w:sz w:val="18"/>
      <w:szCs w:val="18"/>
    </w:rPr>
  </w:style>
  <w:style w:type="character" w:customStyle="1" w:styleId="233">
    <w:name w:val="批注主题 Char2"/>
    <w:semiHidden/>
    <w:uiPriority w:val="99"/>
    <w:rPr>
      <w:b/>
      <w:bCs/>
      <w:kern w:val="2"/>
      <w:sz w:val="21"/>
      <w:szCs w:val="22"/>
    </w:rPr>
  </w:style>
  <w:style w:type="character" w:customStyle="1" w:styleId="234">
    <w:name w:val="文档结构图 Char2"/>
    <w:semiHidden/>
    <w:uiPriority w:val="99"/>
    <w:rPr>
      <w:rFonts w:ascii="宋体"/>
      <w:kern w:val="2"/>
      <w:sz w:val="18"/>
      <w:szCs w:val="18"/>
    </w:rPr>
  </w:style>
  <w:style w:type="character" w:customStyle="1" w:styleId="235">
    <w:name w:val="页眉 Char1"/>
    <w:semiHidden/>
    <w:qFormat/>
    <w:uiPriority w:val="99"/>
    <w:rPr>
      <w:kern w:val="2"/>
      <w:sz w:val="18"/>
      <w:szCs w:val="18"/>
    </w:rPr>
  </w:style>
  <w:style w:type="character" w:customStyle="1" w:styleId="236">
    <w:name w:val="日期 Char2"/>
    <w:semiHidden/>
    <w:qFormat/>
    <w:uiPriority w:val="99"/>
    <w:rPr>
      <w:kern w:val="2"/>
      <w:sz w:val="21"/>
      <w:szCs w:val="22"/>
    </w:rPr>
  </w:style>
  <w:style w:type="character" w:customStyle="1" w:styleId="237">
    <w:name w:val="正文文本 Char2"/>
    <w:semiHidden/>
    <w:uiPriority w:val="99"/>
    <w:rPr>
      <w:kern w:val="2"/>
      <w:sz w:val="21"/>
      <w:szCs w:val="22"/>
    </w:rPr>
  </w:style>
  <w:style w:type="character" w:customStyle="1" w:styleId="238">
    <w:name w:val="标题 Char1"/>
    <w:qFormat/>
    <w:uiPriority w:val="10"/>
    <w:rPr>
      <w:rFonts w:ascii="Cambria" w:hAnsi="Cambria" w:cs="Times New Roman"/>
      <w:b/>
      <w:bCs/>
      <w:kern w:val="2"/>
      <w:sz w:val="32"/>
      <w:szCs w:val="32"/>
    </w:rPr>
  </w:style>
  <w:style w:type="character" w:customStyle="1" w:styleId="239">
    <w:name w:val="副标题 Char1"/>
    <w:uiPriority w:val="11"/>
    <w:rPr>
      <w:rFonts w:ascii="Cambria" w:hAnsi="Cambria" w:cs="Times New Roman"/>
      <w:b/>
      <w:bCs/>
      <w:kern w:val="28"/>
      <w:sz w:val="32"/>
      <w:szCs w:val="32"/>
    </w:rPr>
  </w:style>
  <w:style w:type="paragraph" w:customStyle="1" w:styleId="240">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styleId="241">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2">
    <w:name w:val="flNote"/>
    <w:basedOn w:val="1"/>
    <w:uiPriority w:val="0"/>
    <w:pPr>
      <w:adjustRightInd w:val="0"/>
      <w:spacing w:before="320" w:after="160" w:line="360" w:lineRule="atLeast"/>
      <w:jc w:val="center"/>
      <w:textAlignment w:val="baseline"/>
    </w:pPr>
    <w:rPr>
      <w:rFonts w:ascii="Arial" w:eastAsia="黑体"/>
      <w:kern w:val="0"/>
      <w:sz w:val="30"/>
      <w:szCs w:val="20"/>
    </w:rPr>
  </w:style>
  <w:style w:type="character" w:customStyle="1" w:styleId="243">
    <w:name w:val="正文文本 (2) + Sylfaen2"/>
    <w:qFormat/>
    <w:uiPriority w:val="99"/>
    <w:rPr>
      <w:rFonts w:ascii="Sylfaen" w:hAnsi="Sylfaen" w:eastAsia="MingLiU" w:cs="Sylfaen"/>
      <w:spacing w:val="0"/>
      <w:sz w:val="23"/>
      <w:szCs w:val="23"/>
      <w:shd w:val="clear" w:color="auto" w:fill="FFFFFF"/>
      <w:lang w:val="en-US" w:eastAsia="en-US"/>
    </w:rPr>
  </w:style>
  <w:style w:type="character" w:customStyle="1" w:styleId="244">
    <w:name w:val="正文2 Char"/>
    <w:link w:val="245"/>
    <w:qFormat/>
    <w:uiPriority w:val="0"/>
    <w:rPr>
      <w:rFonts w:ascii="楷体" w:eastAsia="楷体"/>
      <w:b/>
      <w:color w:val="0000FF"/>
      <w:kern w:val="2"/>
      <w:sz w:val="21"/>
      <w:szCs w:val="22"/>
      <w:lang w:val="en-US" w:eastAsia="zh-CN" w:bidi="ar-SA"/>
    </w:rPr>
  </w:style>
  <w:style w:type="paragraph" w:customStyle="1" w:styleId="245">
    <w:name w:val="正文2"/>
    <w:link w:val="244"/>
    <w:qFormat/>
    <w:uiPriority w:val="0"/>
    <w:pPr>
      <w:widowControl w:val="0"/>
      <w:adjustRightInd w:val="0"/>
      <w:snapToGrid w:val="0"/>
      <w:spacing w:line="360" w:lineRule="auto"/>
      <w:ind w:firstLine="200" w:firstLineChars="200"/>
      <w:jc w:val="both"/>
      <w:textAlignment w:val="baseline"/>
    </w:pPr>
    <w:rPr>
      <w:rFonts w:ascii="楷体" w:hAnsi="Times New Roman" w:eastAsia="楷体" w:cs="Times New Roman"/>
      <w:b/>
      <w:color w:val="0000FF"/>
      <w:kern w:val="2"/>
      <w:sz w:val="21"/>
      <w:szCs w:val="22"/>
      <w:lang w:val="en-US" w:eastAsia="zh-CN" w:bidi="ar-SA"/>
    </w:rPr>
  </w:style>
  <w:style w:type="paragraph" w:customStyle="1" w:styleId="246">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247">
    <w:name w:val="正文文本 (2)_"/>
    <w:link w:val="248"/>
    <w:qFormat/>
    <w:locked/>
    <w:uiPriority w:val="99"/>
    <w:rPr>
      <w:rFonts w:ascii="MingLiU" w:eastAsia="MingLiU" w:cs="MingLiU"/>
      <w:spacing w:val="20"/>
      <w:sz w:val="22"/>
      <w:shd w:val="clear" w:color="auto" w:fill="FFFFFF"/>
    </w:rPr>
  </w:style>
  <w:style w:type="paragraph" w:customStyle="1" w:styleId="248">
    <w:name w:val="正文文本 (2)1"/>
    <w:basedOn w:val="1"/>
    <w:link w:val="247"/>
    <w:qFormat/>
    <w:uiPriority w:val="99"/>
    <w:pPr>
      <w:shd w:val="clear" w:color="auto" w:fill="FFFFFF"/>
      <w:spacing w:before="300" w:line="439" w:lineRule="exact"/>
      <w:jc w:val="distribute"/>
    </w:pPr>
    <w:rPr>
      <w:rFonts w:ascii="MingLiU" w:eastAsia="MingLiU"/>
      <w:spacing w:val="20"/>
      <w:kern w:val="0"/>
      <w:sz w:val="22"/>
      <w:szCs w:val="20"/>
    </w:rPr>
  </w:style>
  <w:style w:type="character" w:customStyle="1" w:styleId="249">
    <w:name w:val="正文文本 (2) + 间距 0 pt5"/>
    <w:qFormat/>
    <w:uiPriority w:val="99"/>
    <w:rPr>
      <w:rFonts w:ascii="MingLiU" w:eastAsia="MingLiU" w:cs="MingLiU"/>
      <w:spacing w:val="0"/>
      <w:sz w:val="22"/>
      <w:shd w:val="clear" w:color="auto" w:fill="FFFFFF"/>
    </w:rPr>
  </w:style>
  <w:style w:type="paragraph" w:customStyle="1" w:styleId="250">
    <w:name w:val="Table Paragraph"/>
    <w:basedOn w:val="1"/>
    <w:qFormat/>
    <w:uiPriority w:val="1"/>
    <w:pPr>
      <w:jc w:val="left"/>
    </w:pPr>
    <w:rPr>
      <w:rFonts w:ascii="Calibri" w:hAnsi="Calibri"/>
      <w:kern w:val="0"/>
      <w:sz w:val="22"/>
      <w:szCs w:val="22"/>
      <w:lang w:eastAsia="en-US"/>
    </w:rPr>
  </w:style>
  <w:style w:type="paragraph" w:customStyle="1" w:styleId="251">
    <w:name w:val="A 正文"/>
    <w:qFormat/>
    <w:uiPriority w:val="0"/>
    <w:pPr>
      <w:spacing w:afterLines="50" w:line="360" w:lineRule="auto"/>
      <w:ind w:firstLine="200" w:firstLineChars="200"/>
    </w:pPr>
    <w:rPr>
      <w:rFonts w:ascii="Times New Roman" w:hAnsi="Times New Roman" w:eastAsia="宋体" w:cs="Times New Roman"/>
      <w:kern w:val="2"/>
      <w:sz w:val="24"/>
      <w:szCs w:val="24"/>
      <w:lang w:val="en-US" w:eastAsia="zh-CN" w:bidi="ar-SA"/>
    </w:rPr>
  </w:style>
  <w:style w:type="character" w:customStyle="1" w:styleId="252">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中国石油大学</Company>
  <Pages>117</Pages>
  <Words>63416</Words>
  <Characters>66208</Characters>
  <Lines>530</Lines>
  <Paragraphs>149</Paragraphs>
  <TotalTime>7</TotalTime>
  <ScaleCrop>false</ScaleCrop>
  <LinksUpToDate>false</LinksUpToDate>
  <CharactersWithSpaces>71473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2022-12-19T02:18:00Z</dcterms:created>
  <dc:creator>User</dc:creator>
  <cp:lastModifiedBy>凌宵</cp:lastModifiedBy>
  <cp:lastPrinted>2019-10-30T02:02:00Z</cp:lastPrinted>
  <dcterms:modified xsi:type="dcterms:W3CDTF">2023-12-20T06:59:26Z</dcterms:modified>
  <dc:title>第二章  投标人须知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EA422C5185F444C183A6BF250EF4FF97</vt:lpwstr>
  </property>
</Properties>
</file>